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6B4F"/>
        </w:rPr>
        <w:t>ExploreDVO</w:t>
      </w:r>
    </w:p>
    <w:p>
      <w:pPr>
        <w:jc w:val="center"/>
      </w:pPr>
      <w:r>
        <w:rPr>
          <w:b/>
          <w:sz w:val="40"/>
        </w:rPr>
        <w:t>Day 1: Project Foundation</w:t>
      </w:r>
    </w:p>
    <w:p>
      <w:pPr>
        <w:jc w:val="center"/>
      </w:pPr>
      <w:r>
        <w:rPr>
          <w:b/>
        </w:rPr>
        <w:t>A dedicated technical record of the very first phase of development — before any UI, feature, or business logic existed.</w:t>
        <w:br/>
      </w:r>
      <w:r>
        <w:t>Covers: project creation, database engine choice, the full 28-table migration set, Eloquent models, and</w:t>
        <w:br/>
      </w:r>
      <w:r>
        <w:t>multi-guard authentication scaffolding. Documented using the same twelve-category structure used for</w:t>
        <w:br/>
      </w:r>
      <w:r>
        <w:t>every other module in this system.</w:t>
        <w:br/>
      </w:r>
      <w:r>
        <w:t>Prepared as a study reference for thesis defense preparation. Document created: August 9, 2026.</w:t>
      </w:r>
    </w:p>
    <w:p>
      <w:r>
        <w:br w:type="page"/>
      </w:r>
    </w:p>
    <w:p>
      <w:pPr>
        <w:pStyle w:val="Heading1"/>
      </w:pPr>
      <w:r>
        <w:rPr>
          <w:color w:val="1B3A2B"/>
        </w:rPr>
        <w:t>How to Use This Document</w:t>
      </w:r>
    </w:p>
    <w:p>
      <w:r>
        <w:rPr>
          <w:b w:val="0"/>
          <w:i w:val="0"/>
          <w:sz w:val="22"/>
        </w:rPr>
        <w:t>This is a standalone companion to “ExploreDVO_Development_Documentation.docx”, which documents every module of the system from §3.1 onward. That document deliberately summarizes the very first phase of work in a short bullet list (its own “Phase 1: Project Foundation” entry), because its stated purpose was to record the system module by module as those modules were being actively built — and the foundational scaffolding work had already happened by the time that document was started.</w:t>
      </w:r>
    </w:p>
    <w:p>
      <w:r>
        <w:rPr>
          <w:b w:val="0"/>
          <w:i w:val="0"/>
          <w:sz w:val="22"/>
        </w:rPr>
        <w:t>This document exists specifically to go back and give that first phase the same full twelve-category treatment as every other module, before the reasoning behind it is forgotten: why the database schema looks the way it does, why three separate guards instead of one users table, why the migrations are ordered the way they are, and what problems came up while getting from an empty folder to a project with 28 working tables and three authentication systems. It is written as a study reference for defense preparation, not as a change log.</w:t>
      </w:r>
    </w:p>
    <w:p>
      <w:r>
        <w:rPr>
          <w:b w:val="0"/>
          <w:i/>
          <w:sz w:val="22"/>
        </w:rPr>
        <w:t>A note on sourcing: this project is not under git version control, so there is no commit history to replay for this phase. The account below is reconstructed from two reliable sources: the project’s own task-tracking record (which confirms, in order, that the project was created, the database engine was chosen, all 28 migrations were written, models were created, multi-guard auth was scaffolded, and migrations were verified to run cleanly, before any further work began), and direct inspection of the actual migration, model, and config files as they exist today, several of which still carry their original explanatory comments from this phase. Where a later phase is known to have modified something built in this phase (for example, adding an archived_at column to a Day 1 table), that is called out explicitly rather than presented as if it were part of the original schema.</w:t>
      </w:r>
    </w:p>
    <w:p>
      <w:r>
        <w:br w:type="page"/>
      </w:r>
    </w:p>
    <w:p>
      <w:pPr>
        <w:pStyle w:val="Heading1"/>
      </w:pPr>
      <w:r>
        <w:rPr>
          <w:color w:val="1B3A2B"/>
        </w:rPr>
        <w:t>Day 1: Project Foundation</w:t>
      </w:r>
    </w:p>
    <w:p>
      <w:r>
        <w:rPr>
          <w:b/>
        </w:rPr>
        <w:t xml:space="preserve">Objective: </w:t>
      </w:r>
      <w:r>
        <w:t>Establish the entire structural foundation of ExploreDVO before any page, feature, or business logic was built: a working Laravel project, a database engine decision, the complete 28-table schema translated directly from the approved proposal’s data dictionary (Tables 13–40), Eloquent models for every table with their relationships, and authentication scaffolding for the three distinct actor types the paper defines in Sec. 2.3.2 (Tourist, DOT-Accredited Establishment, Tourism Administrator). The expected result was a project that could run php artisan migrate cleanly end-to-end and log in as any of the three actor types, with nothing yet built on top — a solid, verified base for every phase that followed.</w:t>
      </w:r>
    </w:p>
    <w:p>
      <w:r>
        <w:rPr>
          <w:b w:val="0"/>
          <w:i w:val="0"/>
          <w:sz w:val="22"/>
        </w:rPr>
      </w:r>
    </w:p>
    <w:p>
      <w:r>
        <w:rPr>
          <w:b/>
        </w:rPr>
        <w:t xml:space="preserve">Planning and Approach: </w:t>
      </w:r>
      <w:r>
        <w:t>The build order was deliberately schema-first, not page-first: writing every table before writing a single view or controller means every later feature is built against a schema that already matches the approved proposal, instead of a schema growing ad hoc around whatever page is being built that day. Three sequencing decisions were made at this stage:</w:t>
      </w:r>
    </w:p>
    <w:p>
      <w:pPr>
        <w:pStyle w:val="ListBullet"/>
      </w:pPr>
      <w:r>
        <w:rPr>
          <w:b/>
        </w:rPr>
        <w:t xml:space="preserve">Database engine: SQLite first, PostgreSQL later → </w:t>
      </w:r>
      <w:r>
        <w:t>PostgreSQL 18 is what the proposal specifies (Table 2) and what the finished system runs on, but standing up a local Postgres server was not needed to start writing and testing migrations. SQLite (a single file, zero setup) was used as the working database for this bootstrapping stage, with the explicit understanding that the migrations themselves are engine-agnostic Laravel Schema Builder calls, not raw SQL, so switching DB_CONNECTION from sqlite to pgsql later would not require rewriting them. (This is visible today in .env, which still has a commented-out DB_CONNECTION=sqlite line above the live DB_CONNECTION=pgsql line — a deliberate trace of that decision, not leftover clutter.)</w:t>
      </w:r>
    </w:p>
    <w:p>
      <w:pPr>
        <w:pStyle w:val="ListBullet"/>
      </w:pPr>
      <w:r>
        <w:rPr>
          <w:b/>
        </w:rPr>
        <w:t xml:space="preserve">All 28 tables written up front, not incrementally → </w:t>
      </w:r>
      <w:r>
        <w:t>the approved proposal’s data dictionary already specified all 28 tables in full, including several whose features would not actually be built until much later (itineraries, itinerary_matches, itinerary_items, chatbot_logs, notifications, tourist_health_profiles/conditions). Rather than building tables incrementally as each feature was reached, the entire 28-table schema was written up front, exactly as specified. This means the AI/recommendation engine and chatbot modules built roughly two months later (§3.17–3.22 of the main documentation) did not require any new tables for their core data model — itineraries, itinerary_matches, itinerary_items, and chatbot_logs were already there, sitting unused, waiting for that logic to be written.</w:t>
      </w:r>
    </w:p>
    <w:p>
      <w:pPr>
        <w:pStyle w:val="ListBullet"/>
      </w:pPr>
      <w:r>
        <w:rPr>
          <w:b/>
        </w:rPr>
        <w:t xml:space="preserve">Three actor tables from the start, not one → </w:t>
      </w:r>
      <w:r>
        <w:t>Laravel’s single default users table with a role column was rejected in favor of three fully separate actor tables (tourists, admin_users, establishment_accounts), each behind its own auth guard. This is the same reasoning documented in full in §2.2 and §3.1 of the main development documentation: a shared users table would need constant conditional logic to hide fields that only make sense for one actor (health profile fields only apply to tourists, accreditation fields only to establishments), where three tables keep each actor’s data model honest from the start.</w:t>
      </w:r>
    </w:p>
    <w:p>
      <w:r>
        <w:rPr>
          <w:b w:val="0"/>
          <w:i w:val="0"/>
          <w:sz w:val="22"/>
        </w:rPr>
      </w:r>
    </w:p>
    <w:p>
      <w:r>
        <w:rPr>
          <w:b/>
        </w:rPr>
        <w:t xml:space="preserve">System Logic: </w:t>
      </w:r>
      <w:r>
        <w:t>Laravel executes migration files in filename order, and several of the 28 tables have real foreign-key dependencies on each other (a destination cannot reference a region that does not exist yet; an establishment_accounts row’s reviewed_by column cannot reference an admin_users row that does not exist yet). The 28 migration files are named 2025_06_01_000001 through 2025_06_01_000028, in an order that satisfies every dependency: regions (000001) before destinations (000004) which references it; admin_users (000002) before establishment_accounts (000014) whose reviewed_by column references it; and so on through the rest of the set. This was not automatic — it required reading the data dictionary’s own foreign-key relationships before assigning each table its migration number, rather than transcribing the tables in whatever order they appeared in the proposal document.</w:t>
      </w:r>
    </w:p>
    <w:p>
      <w:r>
        <w:rPr>
          <w:b w:val="0"/>
          <w:i w:val="0"/>
          <w:sz w:val="22"/>
        </w:rPr>
      </w:r>
    </w:p>
    <w:p>
      <w:pPr>
        <w:pStyle w:val="Heading2"/>
      </w:pPr>
      <w:r>
        <w:rPr>
          <w:color w:val="1B3A2B"/>
        </w:rPr>
        <w:t>Database Design</w:t>
      </w:r>
    </w:p>
    <w:p>
      <w:r>
        <w:rPr>
          <w:b w:val="0"/>
          <w:i w:val="0"/>
          <w:sz w:val="22"/>
        </w:rPr>
        <w:t>The full 28-table schema, translated field-for-field from the approved proposal’s data dictionary:</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val="clear" w:color="auto" w:fill="2F5233"/>
          </w:tcPr>
          <w:p>
            <w:r>
              <w:rPr>
                <w:b/>
                <w:color w:val="FFFFFF"/>
              </w:rPr>
              <w:t>#</w:t>
            </w:r>
          </w:p>
        </w:tc>
        <w:tc>
          <w:tcPr>
            <w:tcW w:type="dxa" w:w="2880"/>
            <w:shd w:val="clear" w:color="auto" w:fill="2F5233"/>
          </w:tcPr>
          <w:p>
            <w:r>
              <w:rPr>
                <w:b/>
                <w:color w:val="FFFFFF"/>
              </w:rPr>
              <w:t>Table</w:t>
            </w:r>
          </w:p>
        </w:tc>
        <w:tc>
          <w:tcPr>
            <w:tcW w:type="dxa" w:w="6624"/>
            <w:shd w:val="clear" w:color="auto" w:fill="2F5233"/>
          </w:tcPr>
          <w:p>
            <w:r>
              <w:rPr>
                <w:b/>
                <w:color w:val="FFFFFF"/>
              </w:rPr>
              <w:t>Purpose</w:t>
            </w:r>
          </w:p>
        </w:tc>
      </w:tr>
      <w:tr>
        <w:tc>
          <w:tcPr>
            <w:tcW w:type="dxa" w:w="576"/>
          </w:tcPr>
          <w:p>
            <w:pPr>
              <w:spacing w:after="40"/>
            </w:pPr>
            <w:r>
              <w:rPr>
                <w:sz w:val="20"/>
              </w:rPr>
              <w:t>1</w:t>
            </w:r>
          </w:p>
        </w:tc>
        <w:tc>
          <w:tcPr>
            <w:tcW w:type="dxa" w:w="2880"/>
          </w:tcPr>
          <w:p>
            <w:pPr>
              <w:spacing w:after="40"/>
            </w:pPr>
            <w:r>
              <w:rPr>
                <w:sz w:val="20"/>
              </w:rPr>
              <w:t>regions</w:t>
            </w:r>
          </w:p>
        </w:tc>
        <w:tc>
          <w:tcPr>
            <w:tcW w:type="dxa" w:w="6624"/>
          </w:tcPr>
          <w:p>
            <w:pPr>
              <w:spacing w:after="40"/>
            </w:pPr>
            <w:r>
              <w:rPr>
                <w:sz w:val="20"/>
              </w:rPr>
              <w:t>Lookup table of Davao Region provinces/areas; referenced by every listing type.</w:t>
            </w:r>
          </w:p>
        </w:tc>
      </w:tr>
      <w:tr>
        <w:tc>
          <w:tcPr>
            <w:tcW w:type="dxa" w:w="576"/>
          </w:tcPr>
          <w:p>
            <w:pPr>
              <w:spacing w:after="40"/>
            </w:pPr>
            <w:r>
              <w:rPr>
                <w:sz w:val="20"/>
              </w:rPr>
              <w:t>2</w:t>
            </w:r>
          </w:p>
        </w:tc>
        <w:tc>
          <w:tcPr>
            <w:tcW w:type="dxa" w:w="2880"/>
          </w:tcPr>
          <w:p>
            <w:pPr>
              <w:spacing w:after="40"/>
            </w:pPr>
            <w:r>
              <w:rPr>
                <w:sz w:val="20"/>
              </w:rPr>
              <w:t>admin_users</w:t>
            </w:r>
          </w:p>
        </w:tc>
        <w:tc>
          <w:tcPr>
            <w:tcW w:type="dxa" w:w="6624"/>
          </w:tcPr>
          <w:p>
            <w:pPr>
              <w:spacing w:after="40"/>
            </w:pPr>
            <w:r>
              <w:rPr>
                <w:sz w:val="20"/>
              </w:rPr>
              <w:t>DOT Tourism Administrator accounts (one of the three auth actors).</w:t>
            </w:r>
          </w:p>
        </w:tc>
      </w:tr>
      <w:tr>
        <w:tc>
          <w:tcPr>
            <w:tcW w:type="dxa" w:w="576"/>
          </w:tcPr>
          <w:p>
            <w:pPr>
              <w:spacing w:after="40"/>
            </w:pPr>
            <w:r>
              <w:rPr>
                <w:sz w:val="20"/>
              </w:rPr>
              <w:t>3</w:t>
            </w:r>
          </w:p>
        </w:tc>
        <w:tc>
          <w:tcPr>
            <w:tcW w:type="dxa" w:w="2880"/>
          </w:tcPr>
          <w:p>
            <w:pPr>
              <w:spacing w:after="40"/>
            </w:pPr>
            <w:r>
              <w:rPr>
                <w:sz w:val="20"/>
              </w:rPr>
              <w:t>tourists</w:t>
            </w:r>
          </w:p>
        </w:tc>
        <w:tc>
          <w:tcPr>
            <w:tcW w:type="dxa" w:w="6624"/>
          </w:tcPr>
          <w:p>
            <w:pPr>
              <w:spacing w:after="40"/>
            </w:pPr>
            <w:r>
              <w:rPr>
                <w:sz w:val="20"/>
              </w:rPr>
              <w:t>Tourist accounts (one of the three auth actors).</w:t>
            </w:r>
          </w:p>
        </w:tc>
      </w:tr>
      <w:tr>
        <w:tc>
          <w:tcPr>
            <w:tcW w:type="dxa" w:w="576"/>
          </w:tcPr>
          <w:p>
            <w:pPr>
              <w:spacing w:after="40"/>
            </w:pPr>
            <w:r>
              <w:rPr>
                <w:sz w:val="20"/>
              </w:rPr>
              <w:t>4</w:t>
            </w:r>
          </w:p>
        </w:tc>
        <w:tc>
          <w:tcPr>
            <w:tcW w:type="dxa" w:w="2880"/>
          </w:tcPr>
          <w:p>
            <w:pPr>
              <w:spacing w:after="40"/>
            </w:pPr>
            <w:r>
              <w:rPr>
                <w:sz w:val="20"/>
              </w:rPr>
              <w:t>destinations</w:t>
            </w:r>
          </w:p>
        </w:tc>
        <w:tc>
          <w:tcPr>
            <w:tcW w:type="dxa" w:w="6624"/>
          </w:tcPr>
          <w:p>
            <w:pPr>
              <w:spacing w:after="40"/>
            </w:pPr>
            <w:r>
              <w:rPr>
                <w:sz w:val="20"/>
              </w:rPr>
              <w:t>Public attractions (beaches, parks, heritage sites, etc.).</w:t>
            </w:r>
          </w:p>
        </w:tc>
      </w:tr>
      <w:tr>
        <w:tc>
          <w:tcPr>
            <w:tcW w:type="dxa" w:w="576"/>
          </w:tcPr>
          <w:p>
            <w:pPr>
              <w:spacing w:after="40"/>
            </w:pPr>
            <w:r>
              <w:rPr>
                <w:sz w:val="20"/>
              </w:rPr>
              <w:t>5</w:t>
            </w:r>
          </w:p>
        </w:tc>
        <w:tc>
          <w:tcPr>
            <w:tcW w:type="dxa" w:w="2880"/>
          </w:tcPr>
          <w:p>
            <w:pPr>
              <w:spacing w:after="40"/>
            </w:pPr>
            <w:r>
              <w:rPr>
                <w:sz w:val="20"/>
              </w:rPr>
              <w:t>destination_tags</w:t>
            </w:r>
          </w:p>
        </w:tc>
        <w:tc>
          <w:tcPr>
            <w:tcW w:type="dxa" w:w="6624"/>
          </w:tcPr>
          <w:p>
            <w:pPr>
              <w:spacing w:after="40"/>
            </w:pPr>
            <w:r>
              <w:rPr>
                <w:sz w:val="20"/>
              </w:rPr>
              <w:t>Free-form category/amenity tags per destination (later reused as the Content-Based recommendation engine’s amenity/interest signal).</w:t>
            </w:r>
          </w:p>
        </w:tc>
      </w:tr>
      <w:tr>
        <w:tc>
          <w:tcPr>
            <w:tcW w:type="dxa" w:w="576"/>
          </w:tcPr>
          <w:p>
            <w:pPr>
              <w:spacing w:after="40"/>
            </w:pPr>
            <w:r>
              <w:rPr>
                <w:sz w:val="20"/>
              </w:rPr>
              <w:t>6</w:t>
            </w:r>
          </w:p>
        </w:tc>
        <w:tc>
          <w:tcPr>
            <w:tcW w:type="dxa" w:w="2880"/>
          </w:tcPr>
          <w:p>
            <w:pPr>
              <w:spacing w:after="40"/>
            </w:pPr>
            <w:r>
              <w:rPr>
                <w:sz w:val="20"/>
              </w:rPr>
              <w:t>accommodations</w:t>
            </w:r>
          </w:p>
        </w:tc>
        <w:tc>
          <w:tcPr>
            <w:tcW w:type="dxa" w:w="6624"/>
          </w:tcPr>
          <w:p>
            <w:pPr>
              <w:spacing w:after="40"/>
            </w:pPr>
            <w:r>
              <w:rPr>
                <w:sz w:val="20"/>
              </w:rPr>
              <w:t>Hotels, resorts, homestays.</w:t>
            </w:r>
          </w:p>
        </w:tc>
      </w:tr>
      <w:tr>
        <w:tc>
          <w:tcPr>
            <w:tcW w:type="dxa" w:w="576"/>
          </w:tcPr>
          <w:p>
            <w:pPr>
              <w:spacing w:after="40"/>
            </w:pPr>
            <w:r>
              <w:rPr>
                <w:sz w:val="20"/>
              </w:rPr>
              <w:t>7</w:t>
            </w:r>
          </w:p>
        </w:tc>
        <w:tc>
          <w:tcPr>
            <w:tcW w:type="dxa" w:w="2880"/>
          </w:tcPr>
          <w:p>
            <w:pPr>
              <w:spacing w:after="40"/>
            </w:pPr>
            <w:r>
              <w:rPr>
                <w:sz w:val="20"/>
              </w:rPr>
              <w:t>accommodation_room_types</w:t>
            </w:r>
          </w:p>
        </w:tc>
        <w:tc>
          <w:tcPr>
            <w:tcW w:type="dxa" w:w="6624"/>
          </w:tcPr>
          <w:p>
            <w:pPr>
              <w:spacing w:after="40"/>
            </w:pPr>
            <w:r>
              <w:rPr>
                <w:sz w:val="20"/>
              </w:rPr>
              <w:t>Room-type detail rows per accommodation.</w:t>
            </w:r>
          </w:p>
        </w:tc>
      </w:tr>
      <w:tr>
        <w:tc>
          <w:tcPr>
            <w:tcW w:type="dxa" w:w="576"/>
          </w:tcPr>
          <w:p>
            <w:pPr>
              <w:spacing w:after="40"/>
            </w:pPr>
            <w:r>
              <w:rPr>
                <w:sz w:val="20"/>
              </w:rPr>
              <w:t>8</w:t>
            </w:r>
          </w:p>
        </w:tc>
        <w:tc>
          <w:tcPr>
            <w:tcW w:type="dxa" w:w="2880"/>
          </w:tcPr>
          <w:p>
            <w:pPr>
              <w:spacing w:after="40"/>
            </w:pPr>
            <w:r>
              <w:rPr>
                <w:sz w:val="20"/>
              </w:rPr>
              <w:t>packages</w:t>
            </w:r>
          </w:p>
        </w:tc>
        <w:tc>
          <w:tcPr>
            <w:tcW w:type="dxa" w:w="6624"/>
          </w:tcPr>
          <w:p>
            <w:pPr>
              <w:spacing w:after="40"/>
            </w:pPr>
            <w:r>
              <w:rPr>
                <w:sz w:val="20"/>
              </w:rPr>
              <w:t>Bundled tour packages.</w:t>
            </w:r>
          </w:p>
        </w:tc>
      </w:tr>
      <w:tr>
        <w:tc>
          <w:tcPr>
            <w:tcW w:type="dxa" w:w="576"/>
          </w:tcPr>
          <w:p>
            <w:pPr>
              <w:spacing w:after="40"/>
            </w:pPr>
            <w:r>
              <w:rPr>
                <w:sz w:val="20"/>
              </w:rPr>
              <w:t>9</w:t>
            </w:r>
          </w:p>
        </w:tc>
        <w:tc>
          <w:tcPr>
            <w:tcW w:type="dxa" w:w="2880"/>
          </w:tcPr>
          <w:p>
            <w:pPr>
              <w:spacing w:after="40"/>
            </w:pPr>
            <w:r>
              <w:rPr>
                <w:sz w:val="20"/>
              </w:rPr>
              <w:t>package_inclusions</w:t>
            </w:r>
          </w:p>
        </w:tc>
        <w:tc>
          <w:tcPr>
            <w:tcW w:type="dxa" w:w="6624"/>
          </w:tcPr>
          <w:p>
            <w:pPr>
              <w:spacing w:after="40"/>
            </w:pPr>
            <w:r>
              <w:rPr>
                <w:sz w:val="20"/>
              </w:rPr>
              <w:t>Line-item inclusions per package.</w:t>
            </w:r>
          </w:p>
        </w:tc>
      </w:tr>
      <w:tr>
        <w:tc>
          <w:tcPr>
            <w:tcW w:type="dxa" w:w="576"/>
          </w:tcPr>
          <w:p>
            <w:pPr>
              <w:spacing w:after="40"/>
            </w:pPr>
            <w:r>
              <w:rPr>
                <w:sz w:val="20"/>
              </w:rPr>
              <w:t>10</w:t>
            </w:r>
          </w:p>
        </w:tc>
        <w:tc>
          <w:tcPr>
            <w:tcW w:type="dxa" w:w="2880"/>
          </w:tcPr>
          <w:p>
            <w:pPr>
              <w:spacing w:after="40"/>
            </w:pPr>
            <w:r>
              <w:rPr>
                <w:sz w:val="20"/>
              </w:rPr>
              <w:t>souvenir_centers</w:t>
            </w:r>
          </w:p>
        </w:tc>
        <w:tc>
          <w:tcPr>
            <w:tcW w:type="dxa" w:w="6624"/>
          </w:tcPr>
          <w:p>
            <w:pPr>
              <w:spacing w:after="40"/>
            </w:pPr>
            <w:r>
              <w:rPr>
                <w:sz w:val="20"/>
              </w:rPr>
              <w:t>Souvenir/pasalubong shops.</w:t>
            </w:r>
          </w:p>
        </w:tc>
      </w:tr>
      <w:tr>
        <w:tc>
          <w:tcPr>
            <w:tcW w:type="dxa" w:w="576"/>
          </w:tcPr>
          <w:p>
            <w:pPr>
              <w:spacing w:after="40"/>
            </w:pPr>
            <w:r>
              <w:rPr>
                <w:sz w:val="20"/>
              </w:rPr>
              <w:t>11</w:t>
            </w:r>
          </w:p>
        </w:tc>
        <w:tc>
          <w:tcPr>
            <w:tcW w:type="dxa" w:w="2880"/>
          </w:tcPr>
          <w:p>
            <w:pPr>
              <w:spacing w:after="40"/>
            </w:pPr>
            <w:r>
              <w:rPr>
                <w:sz w:val="20"/>
              </w:rPr>
              <w:t>restaurants</w:t>
            </w:r>
          </w:p>
        </w:tc>
        <w:tc>
          <w:tcPr>
            <w:tcW w:type="dxa" w:w="6624"/>
          </w:tcPr>
          <w:p>
            <w:pPr>
              <w:spacing w:after="40"/>
            </w:pPr>
            <w:r>
              <w:rPr>
                <w:sz w:val="20"/>
              </w:rPr>
              <w:t>Dining establishments.</w:t>
            </w:r>
          </w:p>
        </w:tc>
      </w:tr>
      <w:tr>
        <w:tc>
          <w:tcPr>
            <w:tcW w:type="dxa" w:w="576"/>
          </w:tcPr>
          <w:p>
            <w:pPr>
              <w:spacing w:after="40"/>
            </w:pPr>
            <w:r>
              <w:rPr>
                <w:sz w:val="20"/>
              </w:rPr>
              <w:t>12</w:t>
            </w:r>
          </w:p>
        </w:tc>
        <w:tc>
          <w:tcPr>
            <w:tcW w:type="dxa" w:w="2880"/>
          </w:tcPr>
          <w:p>
            <w:pPr>
              <w:spacing w:after="40"/>
            </w:pPr>
            <w:r>
              <w:rPr>
                <w:sz w:val="20"/>
              </w:rPr>
              <w:t>accreditation_records</w:t>
            </w:r>
          </w:p>
        </w:tc>
        <w:tc>
          <w:tcPr>
            <w:tcW w:type="dxa" w:w="6624"/>
          </w:tcPr>
          <w:p>
            <w:pPr>
              <w:spacing w:after="40"/>
            </w:pPr>
            <w:r>
              <w:rPr>
                <w:sz w:val="20"/>
              </w:rPr>
              <w:t>Polymorphic accreditation status/expiry per listing (any of the listing types via listing_kind/listing_id).</w:t>
            </w:r>
          </w:p>
        </w:tc>
      </w:tr>
      <w:tr>
        <w:tc>
          <w:tcPr>
            <w:tcW w:type="dxa" w:w="576"/>
          </w:tcPr>
          <w:p>
            <w:pPr>
              <w:spacing w:after="40"/>
            </w:pPr>
            <w:r>
              <w:rPr>
                <w:sz w:val="20"/>
              </w:rPr>
              <w:t>13</w:t>
            </w:r>
          </w:p>
        </w:tc>
        <w:tc>
          <w:tcPr>
            <w:tcW w:type="dxa" w:w="2880"/>
          </w:tcPr>
          <w:p>
            <w:pPr>
              <w:spacing w:after="40"/>
            </w:pPr>
            <w:r>
              <w:rPr>
                <w:sz w:val="20"/>
              </w:rPr>
              <w:t>reviews</w:t>
            </w:r>
          </w:p>
        </w:tc>
        <w:tc>
          <w:tcPr>
            <w:tcW w:type="dxa" w:w="6624"/>
          </w:tcPr>
          <w:p>
            <w:pPr>
              <w:spacing w:after="40"/>
            </w:pPr>
            <w:r>
              <w:rPr>
                <w:sz w:val="20"/>
              </w:rPr>
              <w:t>Polymorphic tourist reviews per listing.</w:t>
            </w:r>
          </w:p>
        </w:tc>
      </w:tr>
      <w:tr>
        <w:tc>
          <w:tcPr>
            <w:tcW w:type="dxa" w:w="576"/>
          </w:tcPr>
          <w:p>
            <w:pPr>
              <w:spacing w:after="40"/>
            </w:pPr>
            <w:r>
              <w:rPr>
                <w:sz w:val="20"/>
              </w:rPr>
              <w:t>14</w:t>
            </w:r>
          </w:p>
        </w:tc>
        <w:tc>
          <w:tcPr>
            <w:tcW w:type="dxa" w:w="2880"/>
          </w:tcPr>
          <w:p>
            <w:pPr>
              <w:spacing w:after="40"/>
            </w:pPr>
            <w:r>
              <w:rPr>
                <w:sz w:val="20"/>
              </w:rPr>
              <w:t>establishment_accounts</w:t>
            </w:r>
          </w:p>
        </w:tc>
        <w:tc>
          <w:tcPr>
            <w:tcW w:type="dxa" w:w="6624"/>
          </w:tcPr>
          <w:p>
            <w:pPr>
              <w:spacing w:after="40"/>
            </w:pPr>
            <w:r>
              <w:rPr>
                <w:sz w:val="20"/>
              </w:rPr>
              <w:t>Establishment/business owner accounts (one of the three auth actors); reviewed_by references admin_users.</w:t>
            </w:r>
          </w:p>
        </w:tc>
      </w:tr>
      <w:tr>
        <w:tc>
          <w:tcPr>
            <w:tcW w:type="dxa" w:w="576"/>
          </w:tcPr>
          <w:p>
            <w:pPr>
              <w:spacing w:after="40"/>
            </w:pPr>
            <w:r>
              <w:rPr>
                <w:sz w:val="20"/>
              </w:rPr>
              <w:t>15</w:t>
            </w:r>
          </w:p>
        </w:tc>
        <w:tc>
          <w:tcPr>
            <w:tcW w:type="dxa" w:w="2880"/>
          </w:tcPr>
          <w:p>
            <w:pPr>
              <w:spacing w:after="40"/>
            </w:pPr>
            <w:r>
              <w:rPr>
                <w:sz w:val="20"/>
              </w:rPr>
              <w:t>tourist_preferences</w:t>
            </w:r>
          </w:p>
        </w:tc>
        <w:tc>
          <w:tcPr>
            <w:tcW w:type="dxa" w:w="6624"/>
          </w:tcPr>
          <w:p>
            <w:pPr>
              <w:spacing w:after="40"/>
            </w:pPr>
            <w:r>
              <w:rPr>
                <w:sz w:val="20"/>
              </w:rPr>
              <w:t>A tourist’s travel-preference survey answers (later the direct input to the Content-Based Recommendation engine).</w:t>
            </w:r>
          </w:p>
        </w:tc>
      </w:tr>
      <w:tr>
        <w:tc>
          <w:tcPr>
            <w:tcW w:type="dxa" w:w="576"/>
          </w:tcPr>
          <w:p>
            <w:pPr>
              <w:spacing w:after="40"/>
            </w:pPr>
            <w:r>
              <w:rPr>
                <w:sz w:val="20"/>
              </w:rPr>
              <w:t>16</w:t>
            </w:r>
          </w:p>
        </w:tc>
        <w:tc>
          <w:tcPr>
            <w:tcW w:type="dxa" w:w="2880"/>
          </w:tcPr>
          <w:p>
            <w:pPr>
              <w:spacing w:after="40"/>
            </w:pPr>
            <w:r>
              <w:rPr>
                <w:sz w:val="20"/>
              </w:rPr>
              <w:t>preference_activities</w:t>
            </w:r>
          </w:p>
        </w:tc>
        <w:tc>
          <w:tcPr>
            <w:tcW w:type="dxa" w:w="6624"/>
          </w:tcPr>
          <w:p>
            <w:pPr>
              <w:spacing w:after="40"/>
            </w:pPr>
            <w:r>
              <w:rPr>
                <w:sz w:val="20"/>
              </w:rPr>
              <w:t>Multi-select interest/activity child rows per preference.</w:t>
            </w:r>
          </w:p>
        </w:tc>
      </w:tr>
      <w:tr>
        <w:tc>
          <w:tcPr>
            <w:tcW w:type="dxa" w:w="576"/>
          </w:tcPr>
          <w:p>
            <w:pPr>
              <w:spacing w:after="40"/>
            </w:pPr>
            <w:r>
              <w:rPr>
                <w:sz w:val="20"/>
              </w:rPr>
              <w:t>17</w:t>
            </w:r>
          </w:p>
        </w:tc>
        <w:tc>
          <w:tcPr>
            <w:tcW w:type="dxa" w:w="2880"/>
          </w:tcPr>
          <w:p>
            <w:pPr>
              <w:spacing w:after="40"/>
            </w:pPr>
            <w:r>
              <w:rPr>
                <w:sz w:val="20"/>
              </w:rPr>
              <w:t>preference_amenities</w:t>
            </w:r>
          </w:p>
        </w:tc>
        <w:tc>
          <w:tcPr>
            <w:tcW w:type="dxa" w:w="6624"/>
          </w:tcPr>
          <w:p>
            <w:pPr>
              <w:spacing w:after="40"/>
            </w:pPr>
            <w:r>
              <w:rPr>
                <w:sz w:val="20"/>
              </w:rPr>
              <w:t>Multi-select amenity child rows per preference.</w:t>
            </w:r>
          </w:p>
        </w:tc>
      </w:tr>
      <w:tr>
        <w:tc>
          <w:tcPr>
            <w:tcW w:type="dxa" w:w="576"/>
          </w:tcPr>
          <w:p>
            <w:pPr>
              <w:spacing w:after="40"/>
            </w:pPr>
            <w:r>
              <w:rPr>
                <w:sz w:val="20"/>
              </w:rPr>
              <w:t>18</w:t>
            </w:r>
          </w:p>
        </w:tc>
        <w:tc>
          <w:tcPr>
            <w:tcW w:type="dxa" w:w="2880"/>
          </w:tcPr>
          <w:p>
            <w:pPr>
              <w:spacing w:after="40"/>
            </w:pPr>
            <w:r>
              <w:rPr>
                <w:sz w:val="20"/>
              </w:rPr>
              <w:t>tourist_visits</w:t>
            </w:r>
          </w:p>
        </w:tc>
        <w:tc>
          <w:tcPr>
            <w:tcW w:type="dxa" w:w="6624"/>
          </w:tcPr>
          <w:p>
            <w:pPr>
              <w:spacing w:after="40"/>
            </w:pPr>
            <w:r>
              <w:rPr>
                <w:sz w:val="20"/>
              </w:rPr>
              <w:t>Historical visitation records per tourist (later the raw input to Apriori).</w:t>
            </w:r>
          </w:p>
        </w:tc>
      </w:tr>
      <w:tr>
        <w:tc>
          <w:tcPr>
            <w:tcW w:type="dxa" w:w="576"/>
          </w:tcPr>
          <w:p>
            <w:pPr>
              <w:spacing w:after="40"/>
            </w:pPr>
            <w:r>
              <w:rPr>
                <w:sz w:val="20"/>
              </w:rPr>
              <w:t>19</w:t>
            </w:r>
          </w:p>
        </w:tc>
        <w:tc>
          <w:tcPr>
            <w:tcW w:type="dxa" w:w="2880"/>
          </w:tcPr>
          <w:p>
            <w:pPr>
              <w:spacing w:after="40"/>
            </w:pPr>
            <w:r>
              <w:rPr>
                <w:sz w:val="20"/>
              </w:rPr>
              <w:t>saved_destinations</w:t>
            </w:r>
          </w:p>
        </w:tc>
        <w:tc>
          <w:tcPr>
            <w:tcW w:type="dxa" w:w="6624"/>
          </w:tcPr>
          <w:p>
            <w:pPr>
              <w:spacing w:after="40"/>
            </w:pPr>
            <w:r>
              <w:rPr>
                <w:sz w:val="20"/>
              </w:rPr>
              <w:t>A tourist’s bookmarked destinations.</w:t>
            </w:r>
          </w:p>
        </w:tc>
      </w:tr>
      <w:tr>
        <w:tc>
          <w:tcPr>
            <w:tcW w:type="dxa" w:w="576"/>
          </w:tcPr>
          <w:p>
            <w:pPr>
              <w:spacing w:after="40"/>
            </w:pPr>
            <w:r>
              <w:rPr>
                <w:sz w:val="20"/>
              </w:rPr>
              <w:t>20</w:t>
            </w:r>
          </w:p>
        </w:tc>
        <w:tc>
          <w:tcPr>
            <w:tcW w:type="dxa" w:w="2880"/>
          </w:tcPr>
          <w:p>
            <w:pPr>
              <w:spacing w:after="40"/>
            </w:pPr>
            <w:r>
              <w:rPr>
                <w:sz w:val="20"/>
              </w:rPr>
              <w:t>itineraries</w:t>
            </w:r>
          </w:p>
        </w:tc>
        <w:tc>
          <w:tcPr>
            <w:tcW w:type="dxa" w:w="6624"/>
          </w:tcPr>
          <w:p>
            <w:pPr>
              <w:spacing w:after="40"/>
            </w:pPr>
            <w:r>
              <w:rPr>
                <w:sz w:val="20"/>
              </w:rPr>
              <w:t>A generated trip plan header row (unused until the AI/recommendation phase, §3.19 of the main documentation).</w:t>
            </w:r>
          </w:p>
        </w:tc>
      </w:tr>
      <w:tr>
        <w:tc>
          <w:tcPr>
            <w:tcW w:type="dxa" w:w="576"/>
          </w:tcPr>
          <w:p>
            <w:pPr>
              <w:spacing w:after="40"/>
            </w:pPr>
            <w:r>
              <w:rPr>
                <w:sz w:val="20"/>
              </w:rPr>
              <w:t>21</w:t>
            </w:r>
          </w:p>
        </w:tc>
        <w:tc>
          <w:tcPr>
            <w:tcW w:type="dxa" w:w="2880"/>
          </w:tcPr>
          <w:p>
            <w:pPr>
              <w:spacing w:after="40"/>
            </w:pPr>
            <w:r>
              <w:rPr>
                <w:sz w:val="20"/>
              </w:rPr>
              <w:t>itinerary_matches</w:t>
            </w:r>
          </w:p>
        </w:tc>
        <w:tc>
          <w:tcPr>
            <w:tcW w:type="dxa" w:w="6624"/>
          </w:tcPr>
          <w:p>
            <w:pPr>
              <w:spacing w:after="40"/>
            </w:pPr>
            <w:r>
              <w:rPr>
                <w:sz w:val="20"/>
              </w:rPr>
              <w:t>Full ranked destination list per itinerary (unused until §3.19).</w:t>
            </w:r>
          </w:p>
        </w:tc>
      </w:tr>
      <w:tr>
        <w:tc>
          <w:tcPr>
            <w:tcW w:type="dxa" w:w="576"/>
          </w:tcPr>
          <w:p>
            <w:pPr>
              <w:spacing w:after="40"/>
            </w:pPr>
            <w:r>
              <w:rPr>
                <w:sz w:val="20"/>
              </w:rPr>
              <w:t>22</w:t>
            </w:r>
          </w:p>
        </w:tc>
        <w:tc>
          <w:tcPr>
            <w:tcW w:type="dxa" w:w="2880"/>
          </w:tcPr>
          <w:p>
            <w:pPr>
              <w:spacing w:after="40"/>
            </w:pPr>
            <w:r>
              <w:rPr>
                <w:sz w:val="20"/>
              </w:rPr>
              <w:t>itinerary_items</w:t>
            </w:r>
          </w:p>
        </w:tc>
        <w:tc>
          <w:tcPr>
            <w:tcW w:type="dxa" w:w="6624"/>
          </w:tcPr>
          <w:p>
            <w:pPr>
              <w:spacing w:after="40"/>
            </w:pPr>
            <w:r>
              <w:rPr>
                <w:sz w:val="20"/>
              </w:rPr>
              <w:t>Day-by-day stops per itinerary (unused until §3.19).</w:t>
            </w:r>
          </w:p>
        </w:tc>
      </w:tr>
      <w:tr>
        <w:tc>
          <w:tcPr>
            <w:tcW w:type="dxa" w:w="576"/>
          </w:tcPr>
          <w:p>
            <w:pPr>
              <w:spacing w:after="40"/>
            </w:pPr>
            <w:r>
              <w:rPr>
                <w:sz w:val="20"/>
              </w:rPr>
              <w:t>23</w:t>
            </w:r>
          </w:p>
        </w:tc>
        <w:tc>
          <w:tcPr>
            <w:tcW w:type="dxa" w:w="2880"/>
          </w:tcPr>
          <w:p>
            <w:pPr>
              <w:spacing w:after="40"/>
            </w:pPr>
            <w:r>
              <w:rPr>
                <w:sz w:val="20"/>
              </w:rPr>
              <w:t>exit_surveys</w:t>
            </w:r>
          </w:p>
        </w:tc>
        <w:tc>
          <w:tcPr>
            <w:tcW w:type="dxa" w:w="6624"/>
          </w:tcPr>
          <w:p>
            <w:pPr>
              <w:spacing w:after="40"/>
            </w:pPr>
            <w:r>
              <w:rPr>
                <w:sz w:val="20"/>
              </w:rPr>
              <w:t>Post-trip survey responses (later Apriori’s transaction records).</w:t>
            </w:r>
          </w:p>
        </w:tc>
      </w:tr>
      <w:tr>
        <w:tc>
          <w:tcPr>
            <w:tcW w:type="dxa" w:w="576"/>
          </w:tcPr>
          <w:p>
            <w:pPr>
              <w:spacing w:after="40"/>
            </w:pPr>
            <w:r>
              <w:rPr>
                <w:sz w:val="20"/>
              </w:rPr>
              <w:t>24</w:t>
            </w:r>
          </w:p>
        </w:tc>
        <w:tc>
          <w:tcPr>
            <w:tcW w:type="dxa" w:w="2880"/>
          </w:tcPr>
          <w:p>
            <w:pPr>
              <w:spacing w:after="40"/>
            </w:pPr>
            <w:r>
              <w:rPr>
                <w:sz w:val="20"/>
              </w:rPr>
              <w:t>chatbot_logs</w:t>
            </w:r>
          </w:p>
        </w:tc>
        <w:tc>
          <w:tcPr>
            <w:tcW w:type="dxa" w:w="6624"/>
          </w:tcPr>
          <w:p>
            <w:pPr>
              <w:spacing w:after="40"/>
            </w:pPr>
            <w:r>
              <w:rPr>
                <w:sz w:val="20"/>
              </w:rPr>
              <w:t>Chatbot query/response/intent log (unused until §3.20 of the main documentation).</w:t>
            </w:r>
          </w:p>
        </w:tc>
      </w:tr>
      <w:tr>
        <w:tc>
          <w:tcPr>
            <w:tcW w:type="dxa" w:w="576"/>
          </w:tcPr>
          <w:p>
            <w:pPr>
              <w:spacing w:after="40"/>
            </w:pPr>
            <w:r>
              <w:rPr>
                <w:sz w:val="20"/>
              </w:rPr>
              <w:t>25</w:t>
            </w:r>
          </w:p>
        </w:tc>
        <w:tc>
          <w:tcPr>
            <w:tcW w:type="dxa" w:w="2880"/>
          </w:tcPr>
          <w:p>
            <w:pPr>
              <w:spacing w:after="40"/>
            </w:pPr>
            <w:r>
              <w:rPr>
                <w:sz w:val="20"/>
              </w:rPr>
              <w:t>notifications</w:t>
            </w:r>
          </w:p>
        </w:tc>
        <w:tc>
          <w:tcPr>
            <w:tcW w:type="dxa" w:w="6624"/>
          </w:tcPr>
          <w:p>
            <w:pPr>
              <w:spacing w:after="40"/>
            </w:pPr>
            <w:r>
              <w:rPr>
                <w:sz w:val="20"/>
              </w:rPr>
              <w:t>In-app alerts (unused until much later, Phase 7 of the main documentation).</w:t>
            </w:r>
          </w:p>
        </w:tc>
      </w:tr>
      <w:tr>
        <w:tc>
          <w:tcPr>
            <w:tcW w:type="dxa" w:w="576"/>
          </w:tcPr>
          <w:p>
            <w:pPr>
              <w:spacing w:after="40"/>
            </w:pPr>
            <w:r>
              <w:rPr>
                <w:sz w:val="20"/>
              </w:rPr>
              <w:t>26</w:t>
            </w:r>
          </w:p>
        </w:tc>
        <w:tc>
          <w:tcPr>
            <w:tcW w:type="dxa" w:w="2880"/>
          </w:tcPr>
          <w:p>
            <w:pPr>
              <w:spacing w:after="40"/>
            </w:pPr>
            <w:r>
              <w:rPr>
                <w:sz w:val="20"/>
              </w:rPr>
              <w:t>system_audit_logs</w:t>
            </w:r>
          </w:p>
        </w:tc>
        <w:tc>
          <w:tcPr>
            <w:tcW w:type="dxa" w:w="6624"/>
          </w:tcPr>
          <w:p>
            <w:pPr>
              <w:spacing w:after="40"/>
            </w:pPr>
            <w:r>
              <w:rPr>
                <w:sz w:val="20"/>
              </w:rPr>
              <w:t>Admin action audit trail.</w:t>
            </w:r>
          </w:p>
        </w:tc>
      </w:tr>
      <w:tr>
        <w:tc>
          <w:tcPr>
            <w:tcW w:type="dxa" w:w="576"/>
          </w:tcPr>
          <w:p>
            <w:pPr>
              <w:spacing w:after="40"/>
            </w:pPr>
            <w:r>
              <w:rPr>
                <w:sz w:val="20"/>
              </w:rPr>
              <w:t>27</w:t>
            </w:r>
          </w:p>
        </w:tc>
        <w:tc>
          <w:tcPr>
            <w:tcW w:type="dxa" w:w="2880"/>
          </w:tcPr>
          <w:p>
            <w:pPr>
              <w:spacing w:after="40"/>
            </w:pPr>
            <w:r>
              <w:rPr>
                <w:sz w:val="20"/>
              </w:rPr>
              <w:t>tourist_health_profiles</w:t>
            </w:r>
          </w:p>
        </w:tc>
        <w:tc>
          <w:tcPr>
            <w:tcW w:type="dxa" w:w="6624"/>
          </w:tcPr>
          <w:p>
            <w:pPr>
              <w:spacing w:after="40"/>
            </w:pPr>
            <w:r>
              <w:rPr>
                <w:sz w:val="20"/>
              </w:rPr>
              <w:t>Consent-gated accessibility/health profile per tourist.</w:t>
            </w:r>
          </w:p>
        </w:tc>
      </w:tr>
      <w:tr>
        <w:tc>
          <w:tcPr>
            <w:tcW w:type="dxa" w:w="576"/>
          </w:tcPr>
          <w:p>
            <w:pPr>
              <w:spacing w:after="40"/>
            </w:pPr>
            <w:r>
              <w:rPr>
                <w:sz w:val="20"/>
              </w:rPr>
              <w:t>28</w:t>
            </w:r>
          </w:p>
        </w:tc>
        <w:tc>
          <w:tcPr>
            <w:tcW w:type="dxa" w:w="2880"/>
          </w:tcPr>
          <w:p>
            <w:pPr>
              <w:spacing w:after="40"/>
            </w:pPr>
            <w:r>
              <w:rPr>
                <w:sz w:val="20"/>
              </w:rPr>
              <w:t>tourist_health_conditions</w:t>
            </w:r>
          </w:p>
        </w:tc>
        <w:tc>
          <w:tcPr>
            <w:tcW w:type="dxa" w:w="6624"/>
          </w:tcPr>
          <w:p>
            <w:pPr>
              <w:spacing w:after="40"/>
            </w:pPr>
            <w:r>
              <w:rPr>
                <w:sz w:val="20"/>
              </w:rPr>
              <w:t>Multi-select condition child rows per health profile.</w:t>
            </w:r>
          </w:p>
        </w:tc>
      </w:tr>
    </w:tbl>
    <w:p/>
    <w:p>
      <w:r>
        <w:rPr>
          <w:b w:val="0"/>
          <w:i w:val="0"/>
          <w:sz w:val="22"/>
        </w:rPr>
        <w:t>Three schema-wide conventions were established here and then followed consistently by every table added in every later phase, rather than being redecided each time:</w:t>
      </w:r>
    </w:p>
    <w:p>
      <w:pPr>
        <w:pStyle w:val="ListBullet"/>
      </w:pPr>
      <w:r>
        <w:rPr>
          <w:b/>
        </w:rPr>
        <w:t xml:space="preserve">UUID primary keys for actor tables, auto-increment for everything else → </w:t>
      </w:r>
      <w:r>
        <w:t>the three actor tables (tourists, admin_users, establishment_accounts) use a UUID primary key (Illuminate’s HasUuids trait on the model side), while every catalog/listing table (destinations, accommodations, reviews, and so on) uses a standard auto-incrementing integer id. The practical benefit for the actor tables is that account IDs are not sequential or guessable from the outside (a tourist cannot infer how many other tourists exist, or enumerate other accounts, from their own ID) — a reasonable property for identifiers that appear in URLs and session data, even though the system does not currently expose actor IDs directly to end users.</w:t>
      </w:r>
    </w:p>
    <w:p>
      <w:pPr>
        <w:pStyle w:val="ListBullet"/>
      </w:pPr>
      <w:r>
        <w:rPr>
          <w:b/>
        </w:rPr>
        <w:t xml:space="preserve">created_at only, no updated_at → </w:t>
      </w:r>
      <w:r>
        <w:t>every table in the original data dictionary has a created_at timestamp but deliberately no updated_at column — matching models set const UPDATED_AT = null so Eloquent does not try to write to a column that does not exist. This mirrors the proposal’s own data dictionary, which never specifies an updated_at field for any table; rows in this system are treated as created-once records (a review, a survey response, a visit) rather than documents that get silently edited in place.</w:t>
      </w:r>
    </w:p>
    <w:p>
      <w:pPr>
        <w:pStyle w:val="ListBullet"/>
      </w:pPr>
      <w:r>
        <w:rPr>
          <w:b/>
        </w:rPr>
        <w:t xml:space="preserve">password_hash, not password → </w:t>
      </w:r>
      <w:r>
        <w:t>the password column on all three actor tables is named password_hash, not Laravel’s default password column, to match the data dictionary’s own field naming exactly. Each actor model overrides getAuthPasswordName() to return 'password_hash' so Laravel’s Auth facade still works transparently against the non-default column name, and each model lists password_hash in its $hidden array so it is never accidentally serialized into a JSON response.</w:t>
      </w:r>
    </w:p>
    <w:p>
      <w:r>
        <w:rPr>
          <w:b w:val="0"/>
          <w:i w:val="0"/>
          <w:sz w:val="22"/>
        </w:rPr>
      </w:r>
    </w:p>
    <w:p>
      <w:pPr>
        <w:pStyle w:val="Heading2"/>
      </w:pPr>
      <w:r>
        <w:rPr>
          <w:color w:val="1B3A2B"/>
        </w:rPr>
        <w:t>UI/UX Decisions</w:t>
      </w:r>
    </w:p>
    <w:p>
      <w:r>
        <w:rPr>
          <w:b w:val="0"/>
          <w:i w:val="0"/>
          <w:sz w:val="22"/>
        </w:rPr>
        <w:t>Not applicable at this stage. No view, layout, or page existed yet — this phase produced only the database schema, models, and auth configuration that every later page would be built on top of. The design system and first real pages are documented separately in Phase 2 / §3.2 of the main development documentation.</w:t>
      </w:r>
    </w:p>
    <w:p>
      <w:r>
        <w:rPr>
          <w:b w:val="0"/>
          <w:i w:val="0"/>
          <w:sz w:val="22"/>
        </w:rPr>
      </w:r>
    </w:p>
    <w:p>
      <w:pPr>
        <w:pStyle w:val="Heading2"/>
      </w:pPr>
      <w:r>
        <w:rPr>
          <w:color w:val="1B3A2B"/>
        </w:rPr>
        <w:t>Security</w:t>
      </w:r>
    </w:p>
    <w:p>
      <w:r>
        <w:rPr>
          <w:b w:val="0"/>
          <w:i w:val="0"/>
          <w:sz w:val="22"/>
        </w:rPr>
        <w:t>Two security-relevant decisions were made at this foundational stage, ahead of any actual login form being built:</w:t>
      </w:r>
    </w:p>
    <w:p>
      <w:pPr>
        <w:pStyle w:val="ListBullet"/>
      </w:pPr>
      <w:r>
        <w:rPr>
          <w:b/>
        </w:rPr>
        <w:t xml:space="preserve">Guard separation established before any route existed → </w:t>
      </w:r>
      <w:r>
        <w:t>config/auth.php was configured with three independent guards (tourist, establishment, admin), each backed by its own Eloquent provider and table, from the very first auth-related commit rather than being retrofitted later. This means no page in the system has ever had a single, shared notion of “logged in” — authorization checks always have to specify which guard, which rules out an entire class of privilege-confusion bug (an admin session being mistaken for a tourist session, or vice versa) at the framework level rather than relying on every controller to check a role field correctly.</w:t>
      </w:r>
    </w:p>
    <w:p>
      <w:pPr>
        <w:pStyle w:val="ListBullet"/>
      </w:pPr>
      <w:r>
        <w:rPr>
          <w:b/>
        </w:rPr>
        <w:t xml:space="preserve">Hash column hidden from serialization by default → </w:t>
      </w:r>
      <w:r>
        <w:t>the password_hash column naming decision (above) was paired with hiding that column from model serialization by default ($hidden = ['password_hash']), so even an accidental early debugging dump of a Tourist/AdminUser/EstablishmentAccount model to JSON would not leak a password hash. This was set up before any registration form existed to actually populate the column, specifically so it would never be possible to forget later.</w:t>
      </w:r>
    </w:p>
    <w:p>
      <w:r>
        <w:rPr>
          <w:b w:val="0"/>
          <w:i w:val="0"/>
          <w:sz w:val="22"/>
        </w:rPr>
      </w:r>
    </w:p>
    <w:p>
      <w:pPr>
        <w:pStyle w:val="Heading2"/>
      </w:pPr>
      <w:r>
        <w:rPr>
          <w:color w:val="1B3A2B"/>
        </w:rPr>
        <w:t>Problem-Solving</w:t>
      </w:r>
    </w:p>
    <w:p>
      <w:r>
        <w:rPr>
          <w:b/>
          <w:i w:val="0"/>
          <w:sz w:val="22"/>
        </w:rPr>
        <w:t>Adapting Laravel’s Default Scaffold to a No-Single-Users-Table Architecture</w:t>
      </w:r>
    </w:p>
    <w:p>
      <w:r>
        <w:rPr>
          <w:b w:val="0"/>
          <w:i w:val="0"/>
          <w:sz w:val="22"/>
        </w:rPr>
      </w:r>
    </w:p>
    <w:p>
      <w:r>
        <w:rPr>
          <w:b/>
        </w:rPr>
        <w:t xml:space="preserve">What happened: </w:t>
      </w:r>
      <w:r>
        <w:t>Laravel 12’s default project scaffold ships a create_users_table migration (timestamped 0001_01_01_000000, deliberately earlier than every application migration so it always runs first). ExploreDVO has no generic users table at all — authentication is split across tourists, admin_users, and establishment_accounts, each behind its own guard, as decided above. Simply deleting the default migration was not a clean option, because Laravel’s session driver (database) still expects a sessions table to exist, and losing that migration slot would also mean losing its guaranteed-first execution order.</w:t>
      </w:r>
    </w:p>
    <w:p>
      <w:r>
        <w:rPr>
          <w:b w:val="0"/>
          <w:i w:val="0"/>
          <w:sz w:val="22"/>
        </w:rPr>
      </w:r>
    </w:p>
    <w:p>
      <w:r>
        <w:rPr>
          <w:b/>
        </w:rPr>
        <w:t xml:space="preserve">Solution implemented: </w:t>
      </w:r>
      <w:r>
        <w:t>The default migration file was kept at its original filename and position in the migration order, but its contents were replaced entirely: instead of creating a users table, it creates the sessions table that Laravel’s session handler actually needs. The file carries an explicit comment recording the reasoning directly in the migration itself, including the caveat that the session table’s user_id column is not a real foreign key, since Laravel’s DatabaseSessionHandler always writes the authenticated ID to a column literally named user_id regardless of which guard authenticated it, and that ID may belong to tourists, admin_users, or establishment_accounts depending on who is logged in.</w:t>
      </w:r>
    </w:p>
    <w:p>
      <w:r>
        <w:rPr>
          <w:b w:val="0"/>
          <w:i w:val="0"/>
          <w:sz w:val="22"/>
        </w:rPr>
      </w:r>
    </w:p>
    <w:p>
      <w:r>
        <w:rPr>
          <w:b/>
        </w:rPr>
        <w:t xml:space="preserve">Why this solution was selected: </w:t>
      </w:r>
      <w:r>
        <w:t>it preserves Laravel’s guaranteed migration-ordering behavior (this file still always runs first) while avoiding a users table this project has no use for, and it documents the non-obvious user_id caveat directly at the point where a future reader would otherwise be confused about why that column has no foreign-key constraint.</w:t>
      </w:r>
    </w:p>
    <w:p>
      <w:r>
        <w:rPr>
          <w:b w:val="0"/>
          <w:i w:val="0"/>
          <w:sz w:val="22"/>
        </w:rPr>
      </w:r>
    </w:p>
    <w:p>
      <w:r>
        <w:rPr>
          <w:b/>
        </w:rPr>
        <w:t xml:space="preserve">Result after fixing it: </w:t>
      </w:r>
      <w:r>
        <w:t>Session storage works identically to a stock Laravel project regardless of which of the three guards a visitor is authenticated on, with no generic users table anywhere in the schema.</w:t>
      </w:r>
    </w:p>
    <w:p>
      <w:r>
        <w:rPr>
          <w:b w:val="0"/>
          <w:i w:val="0"/>
          <w:sz w:val="22"/>
        </w:rPr>
      </w:r>
    </w:p>
    <w:p>
      <w:pPr>
        <w:pStyle w:val="Heading2"/>
      </w:pPr>
      <w:r>
        <w:rPr>
          <w:color w:val="1B3A2B"/>
        </w:rPr>
        <w:t>Changes and Revisions</w:t>
      </w:r>
    </w:p>
    <w:p>
      <w:r>
        <w:rPr>
          <w:b w:val="0"/>
          <w:i w:val="0"/>
          <w:sz w:val="22"/>
        </w:rPr>
        <w:t>This Day 1 schema was the foundation, not the final state — several tables built here were extended in later, separately-documented phases. Recorded here only as forward references, since the detail lives in the main development documentation:</w:t>
      </w:r>
    </w:p>
    <w:p>
      <w:pPr>
        <w:pStyle w:val="ListBullet"/>
      </w:pPr>
      <w:r>
        <w:t>archived_at added to all five original listing tables, Phase 4 of the main documentation.</w:t>
      </w:r>
    </w:p>
    <w:p>
      <w:pPr>
        <w:pStyle w:val="ListBullet"/>
      </w:pPr>
      <w:r>
        <w:t>latitude/longitude added to accommodations, packages, and souvenir_centers (destinations and restaurants already had them from Day 1), Phase 6.</w:t>
      </w:r>
    </w:p>
    <w:p>
      <w:pPr>
        <w:pStyle w:val="ListBullet"/>
      </w:pPr>
      <w:r>
        <w:t>travel_purpose/visitor_type added to tourist_preferences; purpose_of_travel/actual days stayed added to exit_surveys, Phase 6.</w:t>
      </w:r>
    </w:p>
    <w:p>
      <w:pPr>
        <w:pStyle w:val="ListBullet"/>
      </w:pPr>
      <w:r>
        <w:t>owner_reply/owner_replied_at added to reviews, Phase 7.</w:t>
      </w:r>
    </w:p>
    <w:p>
      <w:pPr>
        <w:pStyle w:val="ListBullet"/>
      </w:pPr>
      <w:r>
        <w:t>exit_survey_visits and exit_survey_activities added as new child tables of exit_surveys, Phase 5.</w:t>
      </w:r>
    </w:p>
    <w:p>
      <w:pPr>
        <w:pStyle w:val="ListBullet"/>
      </w:pPr>
      <w:r>
        <w:t>listing_photos added as an entirely new table (not in the original 28), Phase 3, to support a real multi-photo gallery instead of the single image_path column every listing table started with.</w:t>
      </w:r>
    </w:p>
    <w:p>
      <w:pPr>
        <w:pStyle w:val="ListBullet"/>
      </w:pPr>
      <w:r>
        <w:t>tour_operators added as a genuinely new 29th table plus a tour_operator_id column on packages, Phase 8, in response to a DOT Regional Director meeting note.</w:t>
      </w:r>
    </w:p>
    <w:p>
      <w:r>
        <w:rPr>
          <w:b w:val="0"/>
          <w:i w:val="0"/>
          <w:sz w:val="22"/>
        </w:rPr>
      </w:r>
    </w:p>
    <w:p>
      <w:r>
        <w:rPr>
          <w:b w:val="0"/>
          <w:i w:val="0"/>
          <w:sz w:val="22"/>
        </w:rPr>
        <w:t>None of the 28 original tables were ever dropped or renamed after this phase — every later schema change was additive (new columns, new child tables), which is only possible because the original 28 were modeled carefully enough against the data dictionary to not need structural correction later.</w:t>
      </w:r>
    </w:p>
    <w:p>
      <w:r>
        <w:rPr>
          <w:b w:val="0"/>
          <w:i w:val="0"/>
          <w:sz w:val="22"/>
        </w:rPr>
      </w:r>
    </w:p>
    <w:p>
      <w:pPr>
        <w:pStyle w:val="Heading2"/>
      </w:pPr>
      <w:r>
        <w:rPr>
          <w:color w:val="1B3A2B"/>
        </w:rPr>
        <w:t>Ideas and Improvements</w:t>
      </w:r>
    </w:p>
    <w:p>
      <w:r>
        <w:rPr>
          <w:b w:val="0"/>
          <w:i w:val="0"/>
          <w:sz w:val="22"/>
        </w:rPr>
        <w:t>Recommended: none identified specifically for this phase — the schema-first, dependency-ordered approach held up through every later phase without requiring rework. Optional: UUID primary keys carry a small storage and index-size cost versus auto-increment integers (16 bytes versus 4 or 8), which was accepted for the three actor tables without being benchmarked, since none of them are expected to reach a size where that overhead is meaningful for a regional tourism platform. Future: if the system ever needs public-facing shareable IDs for tourists or establishments (e.g. in a URL), the existing UUID primary keys already support that directly without any migration.</w:t>
      </w:r>
    </w:p>
    <w:p>
      <w:r>
        <w:rPr>
          <w:b w:val="0"/>
          <w:i w:val="0"/>
          <w:sz w:val="22"/>
        </w:rPr>
      </w:r>
    </w:p>
    <w:p>
      <w:pPr>
        <w:pStyle w:val="Heading2"/>
      </w:pPr>
      <w:r>
        <w:rPr>
          <w:color w:val="1B3A2B"/>
        </w:rPr>
        <w:t>Testing</w:t>
      </w:r>
    </w:p>
    <w:p>
      <w:r>
        <w:rPr>
          <w:b w:val="0"/>
          <w:i w:val="0"/>
          <w:sz w:val="22"/>
        </w:rPr>
        <w:t>Per the project’s own task record, migrations were verified to run cleanly end-to-end before any UI work began (the explicit task was phrased “Verify migrations run cleanly (models/boot check comes after models)” and is recorded as completed), confirming the full 28-table set could be created from empty in one pass with every foreign key resolving correctly given the dependency-ordered filenames described above. Registration/login/logout for all three guards was verified once the first auth-facing pages existed shortly after (§3.1 of the main development documentation covers that verification in full, since it is really part of the auth module rather than this purely structural phase). This document does not claim any specific terminal output or exact test run from that day, since no transcript or version-control history from this phase survives to quote directly — the account above is reconstructed from the current state of the code and the project’s completed-task record, as noted at the top of this document.</w:t>
      </w:r>
    </w:p>
    <w:p>
      <w:r>
        <w:rPr>
          <w:b w:val="0"/>
          <w:i w:val="0"/>
          <w:sz w:val="22"/>
        </w:rPr>
      </w:r>
    </w:p>
    <w:p>
      <w:pPr>
        <w:pStyle w:val="Heading2"/>
      </w:pPr>
      <w:r>
        <w:rPr>
          <w:color w:val="1B3A2B"/>
        </w:rPr>
        <w:t>Final Explanation</w:t>
      </w:r>
    </w:p>
    <w:p>
      <w:r>
        <w:rPr>
          <w:b w:val="0"/>
          <w:i w:val="0"/>
          <w:sz w:val="22"/>
        </w:rPr>
        <w:t>This phase built no visible feature at all, and that was the point: it produced a Laravel 12 project wired to a working database (SQLite for convenience during this bootstrapping stage, PostgreSQL 18 for the real system), with all 28 tables from the approved proposal’s data dictionary translated into migrations in a dependency-safe order, Eloquent models for each with their relationships, and three independent authentication guards matching the paper’s three-actor model (Tourist, Establishment, Admin) instead of one shared users table. The main technical decisions — UUID keys for actor tables, no updated_at columns, a password_hash column name matched to the data dictionary, and repurposing Laravel’s default users migration into the sessions table it actually needed — were all made once, here, and then followed consistently by every table and every guard-related decision added in every later phase. Building every table up front, including ones for features (AI recommendations, the chatbot) that would not be built for another two months, meant those later phases could focus entirely on logic and never needed a schema-changing migration for their core data model. The main limitation of this phase, by design, is that it produced nothing a user could see or interact with; that gap is what Phase 2 onward (§3.2 of the main development documentation) closes.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