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960"/>
        <w:jc w:val="center"/>
      </w:pPr>
      <w:r>
        <w:rPr>
          <w:rFonts w:ascii="Arial" w:hAnsi="Arial" w:eastAsia="Arial"/>
          <w:b/>
          <w:color w:val="11B8DD"/>
          <w:sz w:val="18"/>
        </w:rPr>
        <w:t>MADEFORTH  /  PRODUCT SYSTEMS</w:t>
      </w:r>
    </w:p>
    <w:p>
      <w:pPr>
        <w:spacing w:after="80"/>
        <w:jc w:val="center"/>
      </w:pPr>
      <w:r>
        <w:rPr>
          <w:rFonts w:ascii="Arial" w:hAnsi="Arial" w:eastAsia="Arial"/>
          <w:b/>
          <w:color w:val="08131F"/>
          <w:sz w:val="68"/>
        </w:rPr>
        <w:t>APEX FLOW</w:t>
      </w:r>
    </w:p>
    <w:p>
      <w:pPr>
        <w:spacing w:after="320"/>
        <w:jc w:val="center"/>
      </w:pPr>
      <w:r>
        <w:rPr>
          <w:rFonts w:ascii="Arial" w:hAnsi="Arial" w:eastAsia="Arial"/>
          <w:b/>
          <w:color w:val="11B8DD"/>
          <w:sz w:val="36"/>
        </w:rPr>
        <w:t>Premium Typography &amp; Product Interface System</w:t>
      </w:r>
    </w:p>
    <w:p>
      <w:pPr>
        <w:spacing w:after="1000"/>
        <w:ind w:left="1008" w:right="1008"/>
        <w:jc w:val="center"/>
      </w:pPr>
      <w:r>
        <w:rPr>
          <w:rFonts w:ascii="Arial" w:hAnsi="Arial" w:eastAsia="Arial"/>
          <w:color w:val="5D6A76"/>
          <w:sz w:val="25"/>
        </w:rPr>
        <w:t>Antigravity tarafından doğrudan uygulanmak üzere hazırlanmış Flutter entegrasyon, tasarım token’ı, erişilebilirlik, migrasyon ve QA spesifikasyonu</w:t>
      </w:r>
    </w:p>
    <w:p>
      <w:pPr>
        <w:spacing w:after="160"/>
        <w:jc w:val="center"/>
      </w:pPr>
      <w:r>
        <w:rPr>
          <w:rFonts w:ascii="Arial" w:hAnsi="Arial" w:eastAsia="Arial"/>
          <w:b/>
          <w:color w:val="08131F"/>
          <w:sz w:val="30"/>
        </w:rPr>
        <w:t>GEIST SANS  +  GEIST MONO</w:t>
      </w:r>
      <w:r>
        <w:rPr>
          <w:rFonts w:ascii="Arial" w:hAnsi="Arial" w:eastAsia="Arial"/>
          <w:b/>
          <w:color w:val="F47A24"/>
          <w:sz w:val="30"/>
        </w:rPr>
        <w:t xml:space="preserve">   •   </w:t>
      </w:r>
      <w:r>
        <w:rPr>
          <w:rFonts w:ascii="Arial" w:hAnsi="Arial" w:eastAsia="Arial"/>
          <w:b/>
          <w:color w:val="08131F"/>
          <w:sz w:val="30"/>
        </w:rPr>
        <w:t>OFFLINE-FIRST</w:t>
      </w:r>
    </w:p>
    <w:p>
      <w:pPr>
        <w:spacing w:after="1400"/>
        <w:jc w:val="center"/>
      </w:pPr>
      <w:r>
        <w:rPr>
          <w:rFonts w:ascii="Arial" w:hAnsi="Arial" w:eastAsia="Arial"/>
          <w:b/>
          <w:color w:val="5D6A76"/>
          <w:sz w:val="19"/>
        </w:rPr>
        <w:t>V1.0  •  03 AĞUSTOS 2026  •  IMPLEMENTATION READY</w:t>
      </w:r>
    </w:p>
    <w:p>
      <w:pPr>
        <w:spacing w:after="0"/>
        <w:ind w:left="1296" w:right="1296"/>
        <w:jc w:val="center"/>
      </w:pPr>
      <w:r>
        <w:rPr>
          <w:rFonts w:ascii="Arial" w:hAnsi="Arial" w:eastAsia="Arial"/>
          <w:i/>
          <w:color w:val="152230"/>
          <w:sz w:val="22"/>
        </w:rPr>
        <w:t>Hedef: Apex Flow’un tipografisini, üst düzey bir global teknoloji şirketinin ürün tasarım ekibinden çıkmış kadar tutarlı, sakin, güvenilir ve rafine hâle getirmek.</w:t>
      </w:r>
    </w:p>
    <w:p>
      <w:r>
        <w:br w:type="page"/>
      </w:r>
    </w:p>
    <w:p>
      <w:pPr>
        <w:pStyle w:val="Heading1"/>
      </w:pPr>
      <w:r>
        <w:t>Belge kontrolü ve uygulama emri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08131F"/>
            <w:tcBorders>
              <w:top w:val="single" w:sz="6" w:color="08131F"/>
              <w:left w:val="single" w:sz="6" w:color="08131F"/>
              <w:bottom w:val="single" w:sz="6" w:color="08131F"/>
              <w:right w:val="single" w:sz="6" w:color="08131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6660"/>
            <w:shd w:fill="08131F"/>
            <w:tcBorders>
              <w:top w:val="single" w:sz="6" w:color="08131F"/>
              <w:left w:val="single" w:sz="6" w:color="08131F"/>
              <w:bottom w:val="single" w:sz="6" w:color="08131F"/>
              <w:right w:val="single" w:sz="6" w:color="08131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Tanım</w:t>
            </w:r>
          </w:p>
        </w:tc>
      </w:tr>
      <w:tr>
        <w:tc>
          <w:tcPr>
            <w:tcW w:type="dxa" w:w="27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152230"/>
                <w:sz w:val="18"/>
              </w:rPr>
              <w:t>Belge</w:t>
            </w:r>
          </w:p>
        </w:tc>
        <w:tc>
          <w:tcPr>
            <w:tcW w:type="dxa" w:w="666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8"/>
              </w:rPr>
              <w:t>Apex Flow Premium Typography System — Antigravity Specification V1</w:t>
            </w:r>
          </w:p>
        </w:tc>
      </w:tr>
      <w:tr>
        <w:tc>
          <w:tcPr>
            <w:tcW w:type="dxa" w:w="27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152230"/>
                <w:sz w:val="18"/>
              </w:rPr>
              <w:t>Ürün</w:t>
            </w:r>
          </w:p>
        </w:tc>
        <w:tc>
          <w:tcPr>
            <w:tcW w:type="dxa" w:w="666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8"/>
              </w:rPr>
              <w:t>Apex Flow motosiklet sürüş ve makine ilişkisi uygulaması</w:t>
            </w:r>
          </w:p>
        </w:tc>
      </w:tr>
      <w:tr>
        <w:tc>
          <w:tcPr>
            <w:tcW w:type="dxa" w:w="27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152230"/>
                <w:sz w:val="18"/>
              </w:rPr>
              <w:t>Sahip</w:t>
            </w:r>
          </w:p>
        </w:tc>
        <w:tc>
          <w:tcPr>
            <w:tcW w:type="dxa" w:w="666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8"/>
              </w:rPr>
              <w:t>Madeforth</w:t>
            </w:r>
          </w:p>
        </w:tc>
      </w:tr>
      <w:tr>
        <w:tc>
          <w:tcPr>
            <w:tcW w:type="dxa" w:w="27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152230"/>
                <w:sz w:val="18"/>
              </w:rPr>
              <w:t>Hedef platform</w:t>
            </w:r>
          </w:p>
        </w:tc>
        <w:tc>
          <w:tcPr>
            <w:tcW w:type="dxa" w:w="666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8"/>
              </w:rPr>
              <w:t>Öncelikle Flutter / Android; iOS uyumlu mimari</w:t>
            </w:r>
          </w:p>
        </w:tc>
      </w:tr>
      <w:tr>
        <w:tc>
          <w:tcPr>
            <w:tcW w:type="dxa" w:w="27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152230"/>
                <w:sz w:val="18"/>
              </w:rPr>
              <w:t>Karar</w:t>
            </w:r>
          </w:p>
        </w:tc>
        <w:tc>
          <w:tcPr>
            <w:tcW w:type="dxa" w:w="666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8"/>
              </w:rPr>
              <w:t>Geist Sans ana arayüz; Geist Mono seçili teknik metadata</w:t>
            </w:r>
          </w:p>
        </w:tc>
      </w:tr>
      <w:tr>
        <w:tc>
          <w:tcPr>
            <w:tcW w:type="dxa" w:w="27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152230"/>
                <w:sz w:val="18"/>
              </w:rPr>
              <w:t>Dağıtım</w:t>
            </w:r>
          </w:p>
        </w:tc>
        <w:tc>
          <w:tcPr>
            <w:tcW w:type="dxa" w:w="666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8"/>
              </w:rPr>
              <w:t>Font dosyaları uygulama paketine yerel asset olarak gömülecek</w:t>
            </w:r>
          </w:p>
        </w:tc>
      </w:tr>
      <w:tr>
        <w:tc>
          <w:tcPr>
            <w:tcW w:type="dxa" w:w="27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152230"/>
                <w:sz w:val="18"/>
              </w:rPr>
              <w:t>Kapsam dışı</w:t>
            </w:r>
          </w:p>
        </w:tc>
        <w:tc>
          <w:tcPr>
            <w:tcW w:type="dxa" w:w="666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8"/>
              </w:rPr>
              <w:t>Logo geometrisinin veya ürün işlevlerinin yeniden tasarlanması</w:t>
            </w:r>
          </w:p>
        </w:tc>
      </w:tr>
      <w:tr>
        <w:tc>
          <w:tcPr>
            <w:tcW w:type="dxa" w:w="27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152230"/>
                <w:sz w:val="18"/>
              </w:rPr>
              <w:t>Başarı ölçütü</w:t>
            </w:r>
          </w:p>
        </w:tc>
        <w:tc>
          <w:tcPr>
            <w:tcW w:type="dxa" w:w="666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8"/>
              </w:rPr>
              <w:t>Tutarlı hiyerarşi, çevrimdışı çalışma, 200% yazı ölçeğinde kırılmama</w:t>
            </w:r>
          </w:p>
        </w:tc>
      </w:tr>
    </w:tbl>
    <w:p>
      <w:pPr>
        <w:spacing w:before="80" w:after="80"/>
      </w:pPr>
    </w:p>
    <w:p>
      <w:pPr>
        <w:keepLines/>
        <w:spacing w:before="100" w:after="200" w:line="288" w:lineRule="auto"/>
        <w:ind w:left="173" w:right="115"/>
        <w:shd w:fill="FFF2E9"/>
        <w:pBdr>
          <w:left w:val="single" w:sz="22" w:space="10" w:color="F47A24"/>
        </w:pBdr>
      </w:pPr>
      <w:r>
        <w:rPr>
          <w:rFonts w:ascii="Arial" w:hAnsi="Arial" w:eastAsia="Arial"/>
          <w:b/>
          <w:color w:val="08131F"/>
          <w:sz w:val="18"/>
        </w:rPr>
        <w:t xml:space="preserve">BAĞLAYICI KARAR  </w:t>
      </w:r>
      <w:r>
        <w:rPr>
          <w:rFonts w:ascii="Arial" w:hAnsi="Arial" w:eastAsia="Arial"/>
          <w:color w:val="152230"/>
          <w:sz w:val="20"/>
        </w:rPr>
        <w:t>Antigravity bu belgeyi öneri listesi olarak değil, uygulanacak ürün tasarım sistemi sözleşmesi olarak ele almalıdır. Görünür marka adı her yerde “Apex Flow” şeklinde ayrı yazılacaktır.</w:t>
      </w:r>
    </w:p>
    <w:p>
      <w:pPr>
        <w:pStyle w:val="Heading2"/>
      </w:pPr>
      <w:r>
        <w:t>Belge haritası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Yönetici kararı ve hedef deneyim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Font ailesi, lisans ve marka uyumu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Tipografi token’ları ve bileşen kuralları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Flutter asset ve tema entegrasyonu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Erişilebilirlik, lokalizasyon ve telemetri rakamları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Migrasyon planı, QA matrisi ve kabul kriterleri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Antigravity için kopyalanabilir nihai uygulama görevi</w:t>
      </w:r>
    </w:p>
    <w:p>
      <w:pPr>
        <w:pStyle w:val="Heading1"/>
      </w:pPr>
      <w:r>
        <w:t>1. Yönetici kararı</w:t>
      </w:r>
    </w:p>
    <w:p>
      <w:pPr>
        <w:spacing w:after="120" w:line="300" w:lineRule="auto"/>
      </w:pPr>
      <w:r>
        <w:rPr>
          <w:rFonts w:ascii="Arial" w:hAnsi="Arial" w:eastAsia="Arial"/>
          <w:i w:val="0"/>
          <w:color w:val="152230"/>
          <w:sz w:val="21"/>
        </w:rPr>
        <w:t>Apex Flow için önerilen üretim tipografi sistemi Geist Sans + Geist Mono’dur. Geist Sans, tüm ana kullanıcı arayüzünün ve büyük telemetri değerlerinin temelidir. Geist Mono yalnızca teknik kimlikler, kısa durum kodları, zaman/GPS metadata’sı ve hizalı yardımcı değerlerde kullanılacaktır.</w:t>
      </w:r>
    </w:p>
    <w:p>
      <w:pPr>
        <w:spacing w:after="120" w:line="300" w:lineRule="auto"/>
      </w:pPr>
      <w:r>
        <w:rPr>
          <w:rFonts w:ascii="Arial" w:hAnsi="Arial" w:eastAsia="Arial"/>
          <w:i w:val="0"/>
          <w:color w:val="152230"/>
          <w:sz w:val="21"/>
        </w:rPr>
        <w:t>Bu kararın amacı uygulamayı bir yarış oyunu veya modifiye motosiklet göstergesi gibi göstermek değil; Meta, Vercel veya üst düzey bir Avrupa ürün tasarım ekibinin üreteceği ölçüde kontrollü, sessiz ve güven veren bir teknoloji ürününe dönüştürmektir.</w:t>
      </w:r>
    </w:p>
    <w:p>
      <w:pPr>
        <w:pStyle w:val="Heading2"/>
      </w:pPr>
      <w:r>
        <w:t>1.1 Neden önceki Manrope + Barlow önerisi değişti?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500"/>
        <w:gridCol w:w="4960"/>
      </w:tblGrid>
      <w:tr>
        <w:trPr>
          <w:tblHeader w:val="true"/>
        </w:trPr>
        <w:tc>
          <w:tcPr>
            <w:tcW w:type="dxa" w:w="1900"/>
            <w:shd w:fill="08131F"/>
            <w:tcBorders>
              <w:top w:val="single" w:sz="6" w:color="08131F"/>
              <w:left w:val="single" w:sz="6" w:color="08131F"/>
              <w:bottom w:val="single" w:sz="6" w:color="08131F"/>
              <w:right w:val="single" w:sz="6" w:color="08131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Seçim</w:t>
            </w:r>
          </w:p>
        </w:tc>
        <w:tc>
          <w:tcPr>
            <w:tcW w:type="dxa" w:w="2500"/>
            <w:shd w:fill="08131F"/>
            <w:tcBorders>
              <w:top w:val="single" w:sz="6" w:color="08131F"/>
              <w:left w:val="single" w:sz="6" w:color="08131F"/>
              <w:bottom w:val="single" w:sz="6" w:color="08131F"/>
              <w:right w:val="single" w:sz="6" w:color="08131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Güçlü taraf</w:t>
            </w:r>
          </w:p>
        </w:tc>
        <w:tc>
          <w:tcPr>
            <w:tcW w:type="dxa" w:w="4960"/>
            <w:shd w:fill="08131F"/>
            <w:tcBorders>
              <w:top w:val="single" w:sz="6" w:color="08131F"/>
              <w:left w:val="single" w:sz="6" w:color="08131F"/>
              <w:bottom w:val="single" w:sz="6" w:color="08131F"/>
              <w:right w:val="single" w:sz="6" w:color="08131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Apex Flow açısından değerlendirme</w:t>
            </w:r>
          </w:p>
        </w:tc>
      </w:tr>
      <w:tr>
        <w:tc>
          <w:tcPr>
            <w:tcW w:type="dxa" w:w="19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7"/>
              </w:rPr>
              <w:t>Manrope</w:t>
            </w:r>
          </w:p>
        </w:tc>
        <w:tc>
          <w:tcPr>
            <w:tcW w:type="dxa" w:w="25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7"/>
              </w:rPr>
              <w:t>Temiz, modern ve okunaklı</w:t>
            </w:r>
          </w:p>
        </w:tc>
        <w:tc>
          <w:tcPr>
            <w:tcW w:type="dxa" w:w="496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7"/>
              </w:rPr>
              <w:t>İyi fakat çok sayıda mobil üründe görüldüğü için marka özgünlüğü sınırlı kalabilir.</w:t>
            </w:r>
          </w:p>
        </w:tc>
      </w:tr>
      <w:tr>
        <w:tc>
          <w:tcPr>
            <w:tcW w:type="dxa" w:w="19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7"/>
              </w:rPr>
              <w:t>Barlow Semi Condensed</w:t>
            </w:r>
          </w:p>
        </w:tc>
        <w:tc>
          <w:tcPr>
            <w:tcW w:type="dxa" w:w="25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7"/>
              </w:rPr>
              <w:t>Ulaşım ve gösterge karakteri güçlü</w:t>
            </w:r>
          </w:p>
        </w:tc>
        <w:tc>
          <w:tcPr>
            <w:tcW w:type="dxa" w:w="496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7"/>
              </w:rPr>
              <w:t>Tüm ürüne yayılırsa yarış oyunu veya satış sonrası gösterge hissi oluşturabilir.</w:t>
            </w:r>
          </w:p>
        </w:tc>
      </w:tr>
      <w:tr>
        <w:tc>
          <w:tcPr>
            <w:tcW w:type="dxa" w:w="19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7"/>
              </w:rPr>
              <w:t>Geist Sans</w:t>
            </w:r>
          </w:p>
        </w:tc>
        <w:tc>
          <w:tcPr>
            <w:tcW w:type="dxa" w:w="25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7"/>
              </w:rPr>
              <w:t>Sade, hassas ve ürün odaklı</w:t>
            </w:r>
          </w:p>
        </w:tc>
        <w:tc>
          <w:tcPr>
            <w:tcW w:type="dxa" w:w="496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7"/>
              </w:rPr>
              <w:t>Premium teknoloji uygulaması karakterine daha dengeli uyum sağlar.</w:t>
            </w:r>
          </w:p>
        </w:tc>
      </w:tr>
      <w:tr>
        <w:tc>
          <w:tcPr>
            <w:tcW w:type="dxa" w:w="19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7"/>
              </w:rPr>
              <w:t>Geist Mono</w:t>
            </w:r>
          </w:p>
        </w:tc>
        <w:tc>
          <w:tcPr>
            <w:tcW w:type="dxa" w:w="25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7"/>
              </w:rPr>
              <w:t>Teknik ve hizalı bilgi sunumu</w:t>
            </w:r>
          </w:p>
        </w:tc>
        <w:tc>
          <w:tcPr>
            <w:tcW w:type="dxa" w:w="496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7"/>
              </w:rPr>
              <w:t>Sınırlı kullanımda telemetri katmanını güçlendirir; aşırı kullanımda terminal hissi yaratır.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1.2 Tek cümlelik yaratıcı yön</w:t>
      </w:r>
    </w:p>
    <w:p>
      <w:pPr>
        <w:keepLines/>
        <w:spacing w:before="100" w:after="200" w:line="288" w:lineRule="auto"/>
        <w:ind w:left="173" w:right="115"/>
        <w:shd w:fill="E9F8FC"/>
        <w:pBdr>
          <w:left w:val="single" w:sz="22" w:space="10" w:color="11B8DD"/>
        </w:pBdr>
      </w:pPr>
      <w:r>
        <w:rPr>
          <w:rFonts w:ascii="Arial" w:hAnsi="Arial" w:eastAsia="Arial"/>
          <w:b/>
          <w:color w:val="08131F"/>
          <w:sz w:val="18"/>
        </w:rPr>
        <w:t xml:space="preserve">CREATIVE NORTH STAR  </w:t>
      </w:r>
      <w:r>
        <w:rPr>
          <w:rFonts w:ascii="Arial" w:hAnsi="Arial" w:eastAsia="Arial"/>
          <w:color w:val="152230"/>
          <w:sz w:val="20"/>
        </w:rPr>
        <w:t>Sürücünün telefonunda çalışan sakin bir yarış mühendisliği ürünü: yüksek teknik güven, düşük görsel gürültü.</w:t>
      </w:r>
    </w:p>
    <w:p>
      <w:pPr>
        <w:pStyle w:val="Heading1"/>
      </w:pPr>
      <w:r>
        <w:t>2. Marka ve deneyim hedefi</w:t>
      </w:r>
    </w:p>
    <w:p>
      <w:pPr>
        <w:pStyle w:val="Heading2"/>
      </w:pPr>
      <w:r>
        <w:t>2.1 Marka karakteri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b/>
          <w:color w:val="152230"/>
          <w:sz w:val="20"/>
        </w:rPr>
        <w:t>Premium:</w:t>
      </w:r>
      <w:r>
        <w:rPr>
          <w:rFonts w:ascii="Arial" w:hAnsi="Arial" w:eastAsia="Arial"/>
          <w:color w:val="152230"/>
          <w:sz w:val="20"/>
        </w:rPr>
        <w:t xml:space="preserve"> Gösterişli değil; hassas boşluk, doğru ağırlık ve kontrollü renk kullanımıyla değerli görünür.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b/>
          <w:color w:val="152230"/>
          <w:sz w:val="20"/>
        </w:rPr>
        <w:t>Endüstriyel:</w:t>
      </w:r>
      <w:r>
        <w:rPr>
          <w:rFonts w:ascii="Arial" w:hAnsi="Arial" w:eastAsia="Arial"/>
          <w:color w:val="152230"/>
          <w:sz w:val="20"/>
        </w:rPr>
        <w:t xml:space="preserve"> Motosiklet teknolojisine referans verir fakat fiziksel gösterge panelini taklit etmez.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b/>
          <w:color w:val="152230"/>
          <w:sz w:val="20"/>
        </w:rPr>
        <w:t>Sakin:</w:t>
      </w:r>
      <w:r>
        <w:rPr>
          <w:rFonts w:ascii="Arial" w:hAnsi="Arial" w:eastAsia="Arial"/>
          <w:color w:val="152230"/>
          <w:sz w:val="20"/>
        </w:rPr>
        <w:t xml:space="preserve"> Neon, agresif italik, aşırı dar font ve sürekli büyük harf kullanımından kaçınır.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b/>
          <w:color w:val="152230"/>
          <w:sz w:val="20"/>
        </w:rPr>
        <w:t>Güvenilir:</w:t>
      </w:r>
      <w:r>
        <w:rPr>
          <w:rFonts w:ascii="Arial" w:hAnsi="Arial" w:eastAsia="Arial"/>
          <w:color w:val="152230"/>
          <w:sz w:val="20"/>
        </w:rPr>
        <w:t xml:space="preserve"> Telemetri değerleri hizalı, okunaklı ve bilgi hiyerarşisi açısından tartışmasızdır.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b/>
          <w:color w:val="152230"/>
          <w:sz w:val="20"/>
        </w:rPr>
        <w:t>Global:</w:t>
      </w:r>
      <w:r>
        <w:rPr>
          <w:rFonts w:ascii="Arial" w:hAnsi="Arial" w:eastAsia="Arial"/>
          <w:color w:val="152230"/>
          <w:sz w:val="20"/>
        </w:rPr>
        <w:t xml:space="preserve"> Türkçe, İngilizce ve Almanca metinlerde aynı kaliteyi korur.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b/>
          <w:color w:val="152230"/>
          <w:sz w:val="20"/>
        </w:rPr>
        <w:t>Offline-first:</w:t>
      </w:r>
      <w:r>
        <w:rPr>
          <w:rFonts w:ascii="Arial" w:hAnsi="Arial" w:eastAsia="Arial"/>
          <w:color w:val="152230"/>
          <w:sz w:val="20"/>
        </w:rPr>
        <w:t xml:space="preserve"> Font hiçbir zaman ağdan indirilmez; paket içinde teslim edilir.</w:t>
      </w:r>
    </w:p>
    <w:p>
      <w:pPr>
        <w:pStyle w:val="Heading2"/>
      </w:pPr>
      <w:r>
        <w:t>2.2 Görsel kaliteyi fonttan daha fazla etkileyen kararlar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Bir ekranda en fazla üç belirgin tipografik seviye görünmelidir.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Büyük rakamların çevresinde geniş negatif alan bırakılmalıdır.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Kart başlıkları ile gövde metni arasındaki fark yalnız boyutla değil, ağırlık ve renk kontrastıyla kurulmalıdır.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Birincil cyan yalnız seçili odak, aktif durum ve veri vurgularında kullanılmalıdır.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Turuncu, kritik apex/uyarı/özel vurgu rengidir; başlık rengi olarak yaygınlaştırılmamalıdır.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Köşe yuvarlaklığı, ikon çizgi kalınlığı, boşluk ve tipografi aynı token sisteminden yönetilmelidir.</w:t>
      </w:r>
    </w:p>
    <w:p>
      <w:pPr>
        <w:pStyle w:val="Heading2"/>
      </w:pPr>
      <w:r>
        <w:t>2.3 Yasaklanan estetik davranışlar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08131F"/>
            <w:tcBorders>
              <w:top w:val="single" w:sz="6" w:color="08131F"/>
              <w:left w:val="single" w:sz="6" w:color="08131F"/>
              <w:bottom w:val="single" w:sz="6" w:color="08131F"/>
              <w:right w:val="single" w:sz="6" w:color="08131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Yasak</w:t>
            </w:r>
          </w:p>
        </w:tc>
        <w:tc>
          <w:tcPr>
            <w:tcW w:type="dxa" w:w="6360"/>
            <w:shd w:fill="08131F"/>
            <w:tcBorders>
              <w:top w:val="single" w:sz="6" w:color="08131F"/>
              <w:left w:val="single" w:sz="6" w:color="08131F"/>
              <w:bottom w:val="single" w:sz="6" w:color="08131F"/>
              <w:right w:val="single" w:sz="6" w:color="08131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Neden</w:t>
            </w:r>
          </w:p>
        </w:tc>
      </w:tr>
      <w:tr>
        <w:tc>
          <w:tcPr>
            <w:tcW w:type="dxa" w:w="30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152230"/>
                <w:sz w:val="18"/>
              </w:rPr>
              <w:t>Orbitron, Audiowide, Rajdhani, Oxanium</w:t>
            </w:r>
          </w:p>
        </w:tc>
        <w:tc>
          <w:tcPr>
            <w:tcW w:type="dxa" w:w="636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8"/>
              </w:rPr>
              <w:t>Sistemi premium ürün yerine oyun/aftermarket gösterge estetiğine taşır.</w:t>
            </w:r>
          </w:p>
        </w:tc>
      </w:tr>
      <w:tr>
        <w:tc>
          <w:tcPr>
            <w:tcW w:type="dxa" w:w="30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152230"/>
                <w:sz w:val="18"/>
              </w:rPr>
              <w:t>Tüm başlıkları büyük harf yapmak</w:t>
            </w:r>
          </w:p>
        </w:tc>
        <w:tc>
          <w:tcPr>
            <w:tcW w:type="dxa" w:w="636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8"/>
              </w:rPr>
              <w:t>Okuma hızını düşürür ve sürekli bağıran bir ton oluşturur.</w:t>
            </w:r>
          </w:p>
        </w:tc>
      </w:tr>
      <w:tr>
        <w:tc>
          <w:tcPr>
            <w:tcW w:type="dxa" w:w="30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152230"/>
                <w:sz w:val="18"/>
              </w:rPr>
              <w:t>800–900 ağırlıkları yaygın kullanmak</w:t>
            </w:r>
          </w:p>
        </w:tc>
        <w:tc>
          <w:tcPr>
            <w:tcW w:type="dxa" w:w="636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8"/>
              </w:rPr>
              <w:t>Karanlık arayüzde kaba bloklar yaratır; görsel hiyerarşiyi öldürür.</w:t>
            </w:r>
          </w:p>
        </w:tc>
      </w:tr>
      <w:tr>
        <w:tc>
          <w:tcPr>
            <w:tcW w:type="dxa" w:w="30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152230"/>
                <w:sz w:val="18"/>
              </w:rPr>
              <w:t>Mono fontu bütün telemetride kullanmak</w:t>
            </w:r>
          </w:p>
        </w:tc>
        <w:tc>
          <w:tcPr>
            <w:tcW w:type="dxa" w:w="636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8"/>
              </w:rPr>
              <w:t>Kullanıcı ürünü yerine geliştirici konsolu hissi üretir.</w:t>
            </w:r>
          </w:p>
        </w:tc>
      </w:tr>
      <w:tr>
        <w:tc>
          <w:tcPr>
            <w:tcW w:type="dxa" w:w="30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152230"/>
                <w:sz w:val="18"/>
              </w:rPr>
              <w:t>Her widget içinde ayrı TextStyle yazmak</w:t>
            </w:r>
          </w:p>
        </w:tc>
        <w:tc>
          <w:tcPr>
            <w:tcW w:type="dxa" w:w="636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8"/>
              </w:rPr>
              <w:t>Ekranlar arasında drift ve bakım maliyeti oluşturur.</w:t>
            </w:r>
          </w:p>
        </w:tc>
      </w:tr>
      <w:tr>
        <w:tc>
          <w:tcPr>
            <w:tcW w:type="dxa" w:w="30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152230"/>
                <w:sz w:val="18"/>
              </w:rPr>
              <w:t>Fontu çalışma anında internetten çekmek</w:t>
            </w:r>
          </w:p>
        </w:tc>
        <w:tc>
          <w:tcPr>
            <w:tcW w:type="dxa" w:w="636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8"/>
              </w:rPr>
              <w:t>Offline-first ilkesini, açılış tutarlılığını ve gizliliği zedeler.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t>3. Font ailesi ve lisans kararı</w:t>
      </w:r>
    </w:p>
    <w:p>
      <w:pPr>
        <w:pStyle w:val="Heading2"/>
      </w:pPr>
      <w:r>
        <w:t>3.1 Üretim ailesi: Geist</w:t>
      </w:r>
    </w:p>
    <w:p>
      <w:pPr>
        <w:spacing w:after="120" w:line="300" w:lineRule="auto"/>
      </w:pPr>
      <w:r>
        <w:rPr>
          <w:rFonts w:ascii="Arial" w:hAnsi="Arial" w:eastAsia="Arial"/>
          <w:i w:val="0"/>
          <w:color w:val="152230"/>
          <w:sz w:val="21"/>
        </w:rPr>
        <w:t>Geist, Vercel tarafından Basement Studio ve Andrés Briganti ile geliştirilen; okunabilirlik, sadelik, hız ve İsviçre tipografisi ilkelerini temel alan bir font ailesidir. Geist Sans ve Geist Mono aynı tasarım sisteminin parçaları olduğu için arayüz ile teknik veriler arasında doğal bir akrabalık kurar.</w:t>
      </w:r>
    </w:p>
    <w:p>
      <w:pPr>
        <w:keepLines/>
        <w:spacing w:before="100" w:after="200" w:line="288" w:lineRule="auto"/>
        <w:ind w:left="173" w:right="115"/>
        <w:shd w:fill="E9F8FC"/>
        <w:pBdr>
          <w:left w:val="single" w:sz="22" w:space="10" w:color="11B8DD"/>
        </w:pBdr>
      </w:pPr>
      <w:r>
        <w:rPr>
          <w:rFonts w:ascii="Arial" w:hAnsi="Arial" w:eastAsia="Arial"/>
          <w:b/>
          <w:color w:val="08131F"/>
          <w:sz w:val="18"/>
        </w:rPr>
        <w:t xml:space="preserve">LISANS  </w:t>
      </w:r>
      <w:r>
        <w:rPr>
          <w:rFonts w:ascii="Arial" w:hAnsi="Arial" w:eastAsia="Arial"/>
          <w:color w:val="152230"/>
          <w:sz w:val="20"/>
        </w:rPr>
        <w:t>Geist SIL Open Font License 1.1 ile yayımlanır. Font dosyaları ticari uygulamaya gömülebilir. OFL lisans metni kaynak repoda korunmalı ve uygulamanın açık kaynak lisansları ekranına eklenmelidir.</w:t>
      </w:r>
    </w:p>
    <w:p>
      <w:pPr>
        <w:pStyle w:val="Heading2"/>
      </w:pPr>
      <w:r>
        <w:t>3.2 Dosya seçimi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000"/>
        <w:gridCol w:w="3760"/>
      </w:tblGrid>
      <w:tr>
        <w:trPr>
          <w:tblHeader w:val="true"/>
        </w:trPr>
        <w:tc>
          <w:tcPr>
            <w:tcW w:type="dxa" w:w="2600"/>
            <w:shd w:fill="08131F"/>
            <w:tcBorders>
              <w:top w:val="single" w:sz="6" w:color="08131F"/>
              <w:left w:val="single" w:sz="6" w:color="08131F"/>
              <w:bottom w:val="single" w:sz="6" w:color="08131F"/>
              <w:right w:val="single" w:sz="6" w:color="08131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Dosya</w:t>
            </w:r>
          </w:p>
        </w:tc>
        <w:tc>
          <w:tcPr>
            <w:tcW w:type="dxa" w:w="3000"/>
            <w:shd w:fill="08131F"/>
            <w:tcBorders>
              <w:top w:val="single" w:sz="6" w:color="08131F"/>
              <w:left w:val="single" w:sz="6" w:color="08131F"/>
              <w:bottom w:val="single" w:sz="6" w:color="08131F"/>
              <w:right w:val="single" w:sz="6" w:color="08131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Projede yeniden adlandırma</w:t>
            </w:r>
          </w:p>
        </w:tc>
        <w:tc>
          <w:tcPr>
            <w:tcW w:type="dxa" w:w="3760"/>
            <w:shd w:fill="08131F"/>
            <w:tcBorders>
              <w:top w:val="single" w:sz="6" w:color="08131F"/>
              <w:left w:val="single" w:sz="6" w:color="08131F"/>
              <w:bottom w:val="single" w:sz="6" w:color="08131F"/>
              <w:right w:val="single" w:sz="6" w:color="08131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Kullanım</w:t>
            </w:r>
          </w:p>
        </w:tc>
      </w:tr>
      <w:tr>
        <w:tc>
          <w:tcPr>
            <w:tcW w:type="dxa" w:w="26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7"/>
              </w:rPr>
              <w:t>Geist[wght].ttf</w:t>
            </w:r>
          </w:p>
        </w:tc>
        <w:tc>
          <w:tcPr>
            <w:tcW w:type="dxa" w:w="30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7"/>
              </w:rPr>
              <w:t>Geist-Variable.ttf</w:t>
            </w:r>
          </w:p>
        </w:tc>
        <w:tc>
          <w:tcPr>
            <w:tcW w:type="dxa" w:w="376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7"/>
              </w:rPr>
              <w:t>Ana kullanıcı arayüzü ve büyük telemetri</w:t>
            </w:r>
          </w:p>
        </w:tc>
      </w:tr>
      <w:tr>
        <w:tc>
          <w:tcPr>
            <w:tcW w:type="dxa" w:w="26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7"/>
              </w:rPr>
              <w:t>GeistMono[wght].ttf</w:t>
            </w:r>
          </w:p>
        </w:tc>
        <w:tc>
          <w:tcPr>
            <w:tcW w:type="dxa" w:w="30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7"/>
              </w:rPr>
              <w:t>GeistMono-Variable.ttf</w:t>
            </w:r>
          </w:p>
        </w:tc>
        <w:tc>
          <w:tcPr>
            <w:tcW w:type="dxa" w:w="376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7"/>
              </w:rPr>
              <w:t>Teknik metadata ve hizalı yardımcı değer</w:t>
            </w:r>
          </w:p>
        </w:tc>
      </w:tr>
      <w:tr>
        <w:tc>
          <w:tcPr>
            <w:tcW w:type="dxa" w:w="26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7"/>
              </w:rPr>
              <w:t>OFL.txt</w:t>
            </w:r>
          </w:p>
        </w:tc>
        <w:tc>
          <w:tcPr>
            <w:tcW w:type="dxa" w:w="30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7"/>
              </w:rPr>
              <w:t>OFL.txt</w:t>
            </w:r>
          </w:p>
        </w:tc>
        <w:tc>
          <w:tcPr>
            <w:tcW w:type="dxa" w:w="376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7"/>
              </w:rPr>
              <w:t>Lisans bildirimi</w:t>
            </w:r>
          </w:p>
        </w:tc>
      </w:tr>
    </w:tbl>
    <w:p>
      <w:pPr>
        <w:spacing w:before="80" w:after="80"/>
      </w:pPr>
    </w:p>
    <w:p>
      <w:pPr>
        <w:spacing w:after="120" w:line="300" w:lineRule="auto"/>
      </w:pPr>
      <w:r>
        <w:rPr>
          <w:rFonts w:ascii="Arial" w:hAnsi="Arial" w:eastAsia="Arial"/>
          <w:i w:val="0"/>
          <w:color w:val="5D6A76"/>
          <w:sz w:val="19"/>
        </w:rPr>
        <w:t>Dosya adları projede sadeleştirilebilir; ancak fontun iç family adı değiştirilmemeli ve türetilmiş bir font adı oluşturulmamalıdır. Font dosyaları yalnız resmî Vercel veya Google Fonts kaynağından alınmalıdır.</w:t>
      </w:r>
    </w:p>
    <w:p>
      <w:pPr>
        <w:pStyle w:val="Heading2"/>
      </w:pPr>
      <w:r>
        <w:t>3.3 Gelecekte ücretli yükseltme</w:t>
      </w:r>
    </w:p>
    <w:p>
      <w:pPr>
        <w:spacing w:after="120" w:line="300" w:lineRule="auto"/>
      </w:pPr>
      <w:r>
        <w:rPr>
          <w:rFonts w:ascii="Arial" w:hAnsi="Arial" w:eastAsia="Arial"/>
          <w:i w:val="0"/>
          <w:color w:val="152230"/>
          <w:sz w:val="21"/>
        </w:rPr>
        <w:t>GT America, bütçe ve mobil uygulama lisansı ayrıldığında değerlendirilebilecek üst segment alternatiftir. Ancak V1 uygulamasında satın alınmamalı veya deneme fontu üretime gömülmemelidir. V1 için Geist kararı kesindir.</w:t>
      </w:r>
    </w:p>
    <w:p>
      <w:pPr>
        <w:keepLines/>
        <w:spacing w:before="100" w:after="200" w:line="288" w:lineRule="auto"/>
        <w:ind w:left="173" w:right="115"/>
        <w:shd w:fill="FFF2E9"/>
        <w:pBdr>
          <w:left w:val="single" w:sz="22" w:space="10" w:color="F47A24"/>
        </w:pBdr>
      </w:pPr>
      <w:r>
        <w:rPr>
          <w:rFonts w:ascii="Arial" w:hAnsi="Arial" w:eastAsia="Arial"/>
          <w:b/>
          <w:color w:val="08131F"/>
          <w:sz w:val="18"/>
        </w:rPr>
        <w:t xml:space="preserve">ÜRETIM GÜVENLIĞI  </w:t>
      </w:r>
      <w:r>
        <w:rPr>
          <w:rFonts w:ascii="Arial" w:hAnsi="Arial" w:eastAsia="Arial"/>
          <w:color w:val="152230"/>
          <w:sz w:val="20"/>
        </w:rPr>
        <w:t>Antigravity, internette bulunan lisanssız GT America dosyalarını indirmeyecek veya projeye eklemeyecektir.</w:t>
      </w:r>
    </w:p>
    <w:p>
      <w:pPr>
        <w:pStyle w:val="Heading1"/>
      </w:pPr>
      <w:r>
        <w:t>4. Tipografi token sistemi</w:t>
      </w:r>
    </w:p>
    <w:p>
      <w:pPr>
        <w:pStyle w:val="Heading2"/>
      </w:pPr>
      <w:r>
        <w:t>4.1 Temel ilkeler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Tüm metin stilleri tek bir merkezi sınıftan üretilmelidir.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Widget seviyesinde ham fontFamily, fontSize ve letterSpacing tekrarı bırakılmamalıdır.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Ağırlıklar tasarım token’ı olarak tanımlanmalı; 400, 500, 600 ve seçili yerlerde 650/700 kullanılmalıdır.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Büyük başlıklarda çok hafif negatif letterSpacing; gövde metninde sıfır veya nötr letterSpacing kullanılmalıdır.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Line-height değerleri kullanıcı metin ölçeği büyüdüğünde kırpılmayacak kadar açık tutulmalıdır.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Renk, tipografi sınıfının içine sabitlenmemeli; tema veya parametre üzerinden aktarılmalıdır.</w:t>
      </w:r>
    </w:p>
    <w:p>
      <w:pPr>
        <w:pStyle w:val="Heading2"/>
      </w:pPr>
      <w:r>
        <w:t>4.2 Üretim ölçeği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450"/>
        <w:gridCol w:w="760"/>
        <w:gridCol w:w="760"/>
        <w:gridCol w:w="700"/>
        <w:gridCol w:w="960"/>
        <w:gridCol w:w="3330"/>
      </w:tblGrid>
      <w:tr>
        <w:trPr>
          <w:tblHeader w:val="true"/>
        </w:trPr>
        <w:tc>
          <w:tcPr>
            <w:tcW w:type="dxa" w:w="1400"/>
            <w:shd w:fill="08131F"/>
            <w:tcBorders>
              <w:top w:val="single" w:sz="6" w:color="08131F"/>
              <w:left w:val="single" w:sz="6" w:color="08131F"/>
              <w:bottom w:val="single" w:sz="6" w:color="08131F"/>
              <w:right w:val="single" w:sz="6" w:color="08131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Token</w:t>
            </w:r>
          </w:p>
        </w:tc>
        <w:tc>
          <w:tcPr>
            <w:tcW w:type="dxa" w:w="1450"/>
            <w:shd w:fill="08131F"/>
            <w:tcBorders>
              <w:top w:val="single" w:sz="6" w:color="08131F"/>
              <w:left w:val="single" w:sz="6" w:color="08131F"/>
              <w:bottom w:val="single" w:sz="6" w:color="08131F"/>
              <w:right w:val="single" w:sz="6" w:color="08131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Font</w:t>
            </w:r>
          </w:p>
        </w:tc>
        <w:tc>
          <w:tcPr>
            <w:tcW w:type="dxa" w:w="760"/>
            <w:shd w:fill="08131F"/>
            <w:tcBorders>
              <w:top w:val="single" w:sz="6" w:color="08131F"/>
              <w:left w:val="single" w:sz="6" w:color="08131F"/>
              <w:bottom w:val="single" w:sz="6" w:color="08131F"/>
              <w:right w:val="single" w:sz="6" w:color="08131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Boyut</w:t>
            </w:r>
          </w:p>
        </w:tc>
        <w:tc>
          <w:tcPr>
            <w:tcW w:type="dxa" w:w="760"/>
            <w:shd w:fill="08131F"/>
            <w:tcBorders>
              <w:top w:val="single" w:sz="6" w:color="08131F"/>
              <w:left w:val="single" w:sz="6" w:color="08131F"/>
              <w:bottom w:val="single" w:sz="6" w:color="08131F"/>
              <w:right w:val="single" w:sz="6" w:color="08131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Ağırlık</w:t>
            </w:r>
          </w:p>
        </w:tc>
        <w:tc>
          <w:tcPr>
            <w:tcW w:type="dxa" w:w="700"/>
            <w:shd w:fill="08131F"/>
            <w:tcBorders>
              <w:top w:val="single" w:sz="6" w:color="08131F"/>
              <w:left w:val="single" w:sz="6" w:color="08131F"/>
              <w:bottom w:val="single" w:sz="6" w:color="08131F"/>
              <w:right w:val="single" w:sz="6" w:color="08131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Satır</w:t>
            </w:r>
          </w:p>
        </w:tc>
        <w:tc>
          <w:tcPr>
            <w:tcW w:type="dxa" w:w="960"/>
            <w:shd w:fill="08131F"/>
            <w:tcBorders>
              <w:top w:val="single" w:sz="6" w:color="08131F"/>
              <w:left w:val="single" w:sz="6" w:color="08131F"/>
              <w:bottom w:val="single" w:sz="6" w:color="08131F"/>
              <w:right w:val="single" w:sz="6" w:color="08131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Harf aralığı</w:t>
            </w:r>
          </w:p>
        </w:tc>
        <w:tc>
          <w:tcPr>
            <w:tcW w:type="dxa" w:w="3330"/>
            <w:shd w:fill="08131F"/>
            <w:tcBorders>
              <w:top w:val="single" w:sz="6" w:color="08131F"/>
              <w:left w:val="single" w:sz="6" w:color="08131F"/>
              <w:bottom w:val="single" w:sz="6" w:color="08131F"/>
              <w:right w:val="single" w:sz="6" w:color="08131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Kullanım</w:t>
            </w:r>
          </w:p>
        </w:tc>
      </w:tr>
      <w:tr>
        <w:tc>
          <w:tcPr>
            <w:tcW w:type="dxa" w:w="14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displayHero</w:t>
            </w:r>
          </w:p>
        </w:tc>
        <w:tc>
          <w:tcPr>
            <w:tcW w:type="dxa" w:w="145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Geist Sans</w:t>
            </w:r>
          </w:p>
        </w:tc>
        <w:tc>
          <w:tcPr>
            <w:tcW w:type="dxa" w:w="76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56 sp</w:t>
            </w:r>
          </w:p>
        </w:tc>
        <w:tc>
          <w:tcPr>
            <w:tcW w:type="dxa" w:w="76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650</w:t>
            </w:r>
          </w:p>
        </w:tc>
        <w:tc>
          <w:tcPr>
            <w:tcW w:type="dxa" w:w="7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0.96</w:t>
            </w:r>
          </w:p>
        </w:tc>
        <w:tc>
          <w:tcPr>
            <w:tcW w:type="dxa" w:w="96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−1.1</w:t>
            </w:r>
          </w:p>
        </w:tc>
        <w:tc>
          <w:tcPr>
            <w:tcW w:type="dxa" w:w="333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Birincil telemetri kahraman değeri</w:t>
            </w:r>
          </w:p>
        </w:tc>
      </w:tr>
      <w:tr>
        <w:tc>
          <w:tcPr>
            <w:tcW w:type="dxa" w:w="14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displayLarge</w:t>
            </w:r>
          </w:p>
        </w:tc>
        <w:tc>
          <w:tcPr>
            <w:tcW w:type="dxa" w:w="145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Geist Sans</w:t>
            </w:r>
          </w:p>
        </w:tc>
        <w:tc>
          <w:tcPr>
            <w:tcW w:type="dxa" w:w="76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44 sp</w:t>
            </w:r>
          </w:p>
        </w:tc>
        <w:tc>
          <w:tcPr>
            <w:tcW w:type="dxa" w:w="76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650</w:t>
            </w:r>
          </w:p>
        </w:tc>
        <w:tc>
          <w:tcPr>
            <w:tcW w:type="dxa" w:w="7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1.00</w:t>
            </w:r>
          </w:p>
        </w:tc>
        <w:tc>
          <w:tcPr>
            <w:tcW w:type="dxa" w:w="96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−0.8</w:t>
            </w:r>
          </w:p>
        </w:tc>
        <w:tc>
          <w:tcPr>
            <w:tcW w:type="dxa" w:w="333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İkincil büyük veri</w:t>
            </w:r>
          </w:p>
        </w:tc>
      </w:tr>
      <w:tr>
        <w:tc>
          <w:tcPr>
            <w:tcW w:type="dxa" w:w="14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headlineLarge</w:t>
            </w:r>
          </w:p>
        </w:tc>
        <w:tc>
          <w:tcPr>
            <w:tcW w:type="dxa" w:w="145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Geist Sans</w:t>
            </w:r>
          </w:p>
        </w:tc>
        <w:tc>
          <w:tcPr>
            <w:tcW w:type="dxa" w:w="76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30 sp</w:t>
            </w:r>
          </w:p>
        </w:tc>
        <w:tc>
          <w:tcPr>
            <w:tcW w:type="dxa" w:w="76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650</w:t>
            </w:r>
          </w:p>
        </w:tc>
        <w:tc>
          <w:tcPr>
            <w:tcW w:type="dxa" w:w="7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1.10</w:t>
            </w:r>
          </w:p>
        </w:tc>
        <w:tc>
          <w:tcPr>
            <w:tcW w:type="dxa" w:w="96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−0.5</w:t>
            </w:r>
          </w:p>
        </w:tc>
        <w:tc>
          <w:tcPr>
            <w:tcW w:type="dxa" w:w="333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Ana ekran başlığı</w:t>
            </w:r>
          </w:p>
        </w:tc>
      </w:tr>
      <w:tr>
        <w:tc>
          <w:tcPr>
            <w:tcW w:type="dxa" w:w="14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headlineMedium</w:t>
            </w:r>
          </w:p>
        </w:tc>
        <w:tc>
          <w:tcPr>
            <w:tcW w:type="dxa" w:w="145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Geist Sans</w:t>
            </w:r>
          </w:p>
        </w:tc>
        <w:tc>
          <w:tcPr>
            <w:tcW w:type="dxa" w:w="76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24 sp</w:t>
            </w:r>
          </w:p>
        </w:tc>
        <w:tc>
          <w:tcPr>
            <w:tcW w:type="dxa" w:w="76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600</w:t>
            </w:r>
          </w:p>
        </w:tc>
        <w:tc>
          <w:tcPr>
            <w:tcW w:type="dxa" w:w="7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1.17</w:t>
            </w:r>
          </w:p>
        </w:tc>
        <w:tc>
          <w:tcPr>
            <w:tcW w:type="dxa" w:w="96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−0.3</w:t>
            </w:r>
          </w:p>
        </w:tc>
        <w:tc>
          <w:tcPr>
            <w:tcW w:type="dxa" w:w="333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Sayfa başlığı</w:t>
            </w:r>
          </w:p>
        </w:tc>
      </w:tr>
      <w:tr>
        <w:tc>
          <w:tcPr>
            <w:tcW w:type="dxa" w:w="14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titleLarge</w:t>
            </w:r>
          </w:p>
        </w:tc>
        <w:tc>
          <w:tcPr>
            <w:tcW w:type="dxa" w:w="145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Geist Sans</w:t>
            </w:r>
          </w:p>
        </w:tc>
        <w:tc>
          <w:tcPr>
            <w:tcW w:type="dxa" w:w="76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20 sp</w:t>
            </w:r>
          </w:p>
        </w:tc>
        <w:tc>
          <w:tcPr>
            <w:tcW w:type="dxa" w:w="76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600</w:t>
            </w:r>
          </w:p>
        </w:tc>
        <w:tc>
          <w:tcPr>
            <w:tcW w:type="dxa" w:w="7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1.20</w:t>
            </w:r>
          </w:p>
        </w:tc>
        <w:tc>
          <w:tcPr>
            <w:tcW w:type="dxa" w:w="96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−0.2</w:t>
            </w:r>
          </w:p>
        </w:tc>
        <w:tc>
          <w:tcPr>
            <w:tcW w:type="dxa" w:w="333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Büyük kart/section</w:t>
            </w:r>
          </w:p>
        </w:tc>
      </w:tr>
      <w:tr>
        <w:tc>
          <w:tcPr>
            <w:tcW w:type="dxa" w:w="14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titleMedium</w:t>
            </w:r>
          </w:p>
        </w:tc>
        <w:tc>
          <w:tcPr>
            <w:tcW w:type="dxa" w:w="145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Geist Sans</w:t>
            </w:r>
          </w:p>
        </w:tc>
        <w:tc>
          <w:tcPr>
            <w:tcW w:type="dxa" w:w="76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17 sp</w:t>
            </w:r>
          </w:p>
        </w:tc>
        <w:tc>
          <w:tcPr>
            <w:tcW w:type="dxa" w:w="76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600</w:t>
            </w:r>
          </w:p>
        </w:tc>
        <w:tc>
          <w:tcPr>
            <w:tcW w:type="dxa" w:w="7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1.29</w:t>
            </w:r>
          </w:p>
        </w:tc>
        <w:tc>
          <w:tcPr>
            <w:tcW w:type="dxa" w:w="96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−0.1</w:t>
            </w:r>
          </w:p>
        </w:tc>
        <w:tc>
          <w:tcPr>
            <w:tcW w:type="dxa" w:w="333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Kart başlığı</w:t>
            </w:r>
          </w:p>
        </w:tc>
      </w:tr>
      <w:tr>
        <w:tc>
          <w:tcPr>
            <w:tcW w:type="dxa" w:w="14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bodyLarge</w:t>
            </w:r>
          </w:p>
        </w:tc>
        <w:tc>
          <w:tcPr>
            <w:tcW w:type="dxa" w:w="145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Geist Sans</w:t>
            </w:r>
          </w:p>
        </w:tc>
        <w:tc>
          <w:tcPr>
            <w:tcW w:type="dxa" w:w="76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16 sp</w:t>
            </w:r>
          </w:p>
        </w:tc>
        <w:tc>
          <w:tcPr>
            <w:tcW w:type="dxa" w:w="76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400</w:t>
            </w:r>
          </w:p>
        </w:tc>
        <w:tc>
          <w:tcPr>
            <w:tcW w:type="dxa" w:w="7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1.50</w:t>
            </w:r>
          </w:p>
        </w:tc>
        <w:tc>
          <w:tcPr>
            <w:tcW w:type="dxa" w:w="96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0</w:t>
            </w:r>
          </w:p>
        </w:tc>
        <w:tc>
          <w:tcPr>
            <w:tcW w:type="dxa" w:w="333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Uzun açıklama</w:t>
            </w:r>
          </w:p>
        </w:tc>
      </w:tr>
      <w:tr>
        <w:tc>
          <w:tcPr>
            <w:tcW w:type="dxa" w:w="14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bodyMedium</w:t>
            </w:r>
          </w:p>
        </w:tc>
        <w:tc>
          <w:tcPr>
            <w:tcW w:type="dxa" w:w="145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Geist Sans</w:t>
            </w:r>
          </w:p>
        </w:tc>
        <w:tc>
          <w:tcPr>
            <w:tcW w:type="dxa" w:w="76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14 sp</w:t>
            </w:r>
          </w:p>
        </w:tc>
        <w:tc>
          <w:tcPr>
            <w:tcW w:type="dxa" w:w="76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400</w:t>
            </w:r>
          </w:p>
        </w:tc>
        <w:tc>
          <w:tcPr>
            <w:tcW w:type="dxa" w:w="7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1.43</w:t>
            </w:r>
          </w:p>
        </w:tc>
        <w:tc>
          <w:tcPr>
            <w:tcW w:type="dxa" w:w="96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0</w:t>
            </w:r>
          </w:p>
        </w:tc>
        <w:tc>
          <w:tcPr>
            <w:tcW w:type="dxa" w:w="333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Standart arayüz metni</w:t>
            </w:r>
          </w:p>
        </w:tc>
      </w:tr>
      <w:tr>
        <w:tc>
          <w:tcPr>
            <w:tcW w:type="dxa" w:w="14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labelLarge</w:t>
            </w:r>
          </w:p>
        </w:tc>
        <w:tc>
          <w:tcPr>
            <w:tcW w:type="dxa" w:w="145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Geist Sans</w:t>
            </w:r>
          </w:p>
        </w:tc>
        <w:tc>
          <w:tcPr>
            <w:tcW w:type="dxa" w:w="76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15 sp</w:t>
            </w:r>
          </w:p>
        </w:tc>
        <w:tc>
          <w:tcPr>
            <w:tcW w:type="dxa" w:w="76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600</w:t>
            </w:r>
          </w:p>
        </w:tc>
        <w:tc>
          <w:tcPr>
            <w:tcW w:type="dxa" w:w="7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1.33</w:t>
            </w:r>
          </w:p>
        </w:tc>
        <w:tc>
          <w:tcPr>
            <w:tcW w:type="dxa" w:w="96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+0.1</w:t>
            </w:r>
          </w:p>
        </w:tc>
        <w:tc>
          <w:tcPr>
            <w:tcW w:type="dxa" w:w="333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Birincil buton</w:t>
            </w:r>
          </w:p>
        </w:tc>
      </w:tr>
      <w:tr>
        <w:tc>
          <w:tcPr>
            <w:tcW w:type="dxa" w:w="14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labelMedium</w:t>
            </w:r>
          </w:p>
        </w:tc>
        <w:tc>
          <w:tcPr>
            <w:tcW w:type="dxa" w:w="145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Geist Sans</w:t>
            </w:r>
          </w:p>
        </w:tc>
        <w:tc>
          <w:tcPr>
            <w:tcW w:type="dxa" w:w="76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12 sp</w:t>
            </w:r>
          </w:p>
        </w:tc>
        <w:tc>
          <w:tcPr>
            <w:tcW w:type="dxa" w:w="76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500</w:t>
            </w:r>
          </w:p>
        </w:tc>
        <w:tc>
          <w:tcPr>
            <w:tcW w:type="dxa" w:w="7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1.33</w:t>
            </w:r>
          </w:p>
        </w:tc>
        <w:tc>
          <w:tcPr>
            <w:tcW w:type="dxa" w:w="96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+0.3</w:t>
            </w:r>
          </w:p>
        </w:tc>
        <w:tc>
          <w:tcPr>
            <w:tcW w:type="dxa" w:w="333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Kısa veri etiketi</w:t>
            </w:r>
          </w:p>
        </w:tc>
      </w:tr>
      <w:tr>
        <w:tc>
          <w:tcPr>
            <w:tcW w:type="dxa" w:w="14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caption</w:t>
            </w:r>
          </w:p>
        </w:tc>
        <w:tc>
          <w:tcPr>
            <w:tcW w:type="dxa" w:w="145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Geist Sans</w:t>
            </w:r>
          </w:p>
        </w:tc>
        <w:tc>
          <w:tcPr>
            <w:tcW w:type="dxa" w:w="76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11 sp</w:t>
            </w:r>
          </w:p>
        </w:tc>
        <w:tc>
          <w:tcPr>
            <w:tcW w:type="dxa" w:w="76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500</w:t>
            </w:r>
          </w:p>
        </w:tc>
        <w:tc>
          <w:tcPr>
            <w:tcW w:type="dxa" w:w="7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1.36</w:t>
            </w:r>
          </w:p>
        </w:tc>
        <w:tc>
          <w:tcPr>
            <w:tcW w:type="dxa" w:w="96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+0.2</w:t>
            </w:r>
          </w:p>
        </w:tc>
        <w:tc>
          <w:tcPr>
            <w:tcW w:type="dxa" w:w="333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Yardımcı bilgi</w:t>
            </w:r>
          </w:p>
        </w:tc>
      </w:tr>
      <w:tr>
        <w:tc>
          <w:tcPr>
            <w:tcW w:type="dxa" w:w="14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technical</w:t>
            </w:r>
          </w:p>
        </w:tc>
        <w:tc>
          <w:tcPr>
            <w:tcW w:type="dxa" w:w="145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Geist Mono</w:t>
            </w:r>
          </w:p>
        </w:tc>
        <w:tc>
          <w:tcPr>
            <w:tcW w:type="dxa" w:w="76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12 sp</w:t>
            </w:r>
          </w:p>
        </w:tc>
        <w:tc>
          <w:tcPr>
            <w:tcW w:type="dxa" w:w="76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500</w:t>
            </w:r>
          </w:p>
        </w:tc>
        <w:tc>
          <w:tcPr>
            <w:tcW w:type="dxa" w:w="7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1.33</w:t>
            </w:r>
          </w:p>
        </w:tc>
        <w:tc>
          <w:tcPr>
            <w:tcW w:type="dxa" w:w="96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0</w:t>
            </w:r>
          </w:p>
        </w:tc>
        <w:tc>
          <w:tcPr>
            <w:tcW w:type="dxa" w:w="333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5"/>
              </w:rPr>
              <w:t>ID, GPS ve kısa teknik değer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4.3 Renk bağlama kuralları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500"/>
        <w:gridCol w:w="4760"/>
      </w:tblGrid>
      <w:tr>
        <w:trPr>
          <w:tblHeader w:val="true"/>
        </w:trPr>
        <w:tc>
          <w:tcPr>
            <w:tcW w:type="dxa" w:w="2100"/>
            <w:shd w:fill="08131F"/>
            <w:tcBorders>
              <w:top w:val="single" w:sz="6" w:color="08131F"/>
              <w:left w:val="single" w:sz="6" w:color="08131F"/>
              <w:bottom w:val="single" w:sz="6" w:color="08131F"/>
              <w:right w:val="single" w:sz="6" w:color="08131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Rol</w:t>
            </w:r>
          </w:p>
        </w:tc>
        <w:tc>
          <w:tcPr>
            <w:tcW w:type="dxa" w:w="2500"/>
            <w:shd w:fill="08131F"/>
            <w:tcBorders>
              <w:top w:val="single" w:sz="6" w:color="08131F"/>
              <w:left w:val="single" w:sz="6" w:color="08131F"/>
              <w:bottom w:val="single" w:sz="6" w:color="08131F"/>
              <w:right w:val="single" w:sz="6" w:color="08131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Renk</w:t>
            </w:r>
          </w:p>
        </w:tc>
        <w:tc>
          <w:tcPr>
            <w:tcW w:type="dxa" w:w="4760"/>
            <w:shd w:fill="08131F"/>
            <w:tcBorders>
              <w:top w:val="single" w:sz="6" w:color="08131F"/>
              <w:left w:val="single" w:sz="6" w:color="08131F"/>
              <w:bottom w:val="single" w:sz="6" w:color="08131F"/>
              <w:right w:val="single" w:sz="6" w:color="08131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Kullanım</w:t>
            </w:r>
          </w:p>
        </w:tc>
      </w:tr>
      <w:tr>
        <w:tc>
          <w:tcPr>
            <w:tcW w:type="dxa" w:w="21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152230"/>
                <w:sz w:val="18"/>
              </w:rPr>
              <w:t>Primary text</w:t>
            </w:r>
          </w:p>
        </w:tc>
        <w:tc>
          <w:tcPr>
            <w:tcW w:type="dxa" w:w="25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8"/>
              </w:rPr>
              <w:t>#E8EDF2</w:t>
            </w:r>
          </w:p>
        </w:tc>
        <w:tc>
          <w:tcPr>
            <w:tcW w:type="dxa" w:w="476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8"/>
              </w:rPr>
              <w:t>Ana başlıklar ve kritik değerler</w:t>
            </w:r>
          </w:p>
        </w:tc>
      </w:tr>
      <w:tr>
        <w:tc>
          <w:tcPr>
            <w:tcW w:type="dxa" w:w="21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152230"/>
                <w:sz w:val="18"/>
              </w:rPr>
              <w:t>Secondary text</w:t>
            </w:r>
          </w:p>
        </w:tc>
        <w:tc>
          <w:tcPr>
            <w:tcW w:type="dxa" w:w="25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8"/>
              </w:rPr>
              <w:t>#E8EDF2 / %68–72 opaklık</w:t>
            </w:r>
          </w:p>
        </w:tc>
        <w:tc>
          <w:tcPr>
            <w:tcW w:type="dxa" w:w="476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8"/>
              </w:rPr>
              <w:t>Açıklama ve ikincil bilgi</w:t>
            </w:r>
          </w:p>
        </w:tc>
      </w:tr>
      <w:tr>
        <w:tc>
          <w:tcPr>
            <w:tcW w:type="dxa" w:w="21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152230"/>
                <w:sz w:val="18"/>
              </w:rPr>
              <w:t>Muted text</w:t>
            </w:r>
          </w:p>
        </w:tc>
        <w:tc>
          <w:tcPr>
            <w:tcW w:type="dxa" w:w="25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8"/>
              </w:rPr>
              <w:t>#E8EDF2 / %48–56 opaklık</w:t>
            </w:r>
          </w:p>
        </w:tc>
        <w:tc>
          <w:tcPr>
            <w:tcW w:type="dxa" w:w="476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8"/>
              </w:rPr>
              <w:t>Zaman damgası ve düşük öncelik</w:t>
            </w:r>
          </w:p>
        </w:tc>
      </w:tr>
      <w:tr>
        <w:tc>
          <w:tcPr>
            <w:tcW w:type="dxa" w:w="21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152230"/>
                <w:sz w:val="18"/>
              </w:rPr>
              <w:t>Interactive accent</w:t>
            </w:r>
          </w:p>
        </w:tc>
        <w:tc>
          <w:tcPr>
            <w:tcW w:type="dxa" w:w="25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8"/>
              </w:rPr>
              <w:t>#11B8DD</w:t>
            </w:r>
          </w:p>
        </w:tc>
        <w:tc>
          <w:tcPr>
            <w:tcW w:type="dxa" w:w="476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8"/>
              </w:rPr>
              <w:t>Aktif durum, odak, seçili navigasyon</w:t>
            </w:r>
          </w:p>
        </w:tc>
      </w:tr>
      <w:tr>
        <w:tc>
          <w:tcPr>
            <w:tcW w:type="dxa" w:w="21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152230"/>
                <w:sz w:val="18"/>
              </w:rPr>
              <w:t>Secondary accent</w:t>
            </w:r>
          </w:p>
        </w:tc>
        <w:tc>
          <w:tcPr>
            <w:tcW w:type="dxa" w:w="25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8"/>
              </w:rPr>
              <w:t>#48D4E8</w:t>
            </w:r>
          </w:p>
        </w:tc>
        <w:tc>
          <w:tcPr>
            <w:tcW w:type="dxa" w:w="476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8"/>
              </w:rPr>
              <w:t>Grafik/telemetri ikincil vurgusu</w:t>
            </w:r>
          </w:p>
        </w:tc>
      </w:tr>
      <w:tr>
        <w:tc>
          <w:tcPr>
            <w:tcW w:type="dxa" w:w="21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152230"/>
                <w:sz w:val="18"/>
              </w:rPr>
              <w:t>Apex / caution</w:t>
            </w:r>
          </w:p>
        </w:tc>
        <w:tc>
          <w:tcPr>
            <w:tcW w:type="dxa" w:w="25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8"/>
              </w:rPr>
              <w:t>#F47A24</w:t>
            </w:r>
          </w:p>
        </w:tc>
        <w:tc>
          <w:tcPr>
            <w:tcW w:type="dxa" w:w="476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8"/>
              </w:rPr>
              <w:t>Apex noktası, önemli uyarı ve seçili ödül</w:t>
            </w:r>
          </w:p>
        </w:tc>
      </w:tr>
      <w:tr>
        <w:tc>
          <w:tcPr>
            <w:tcW w:type="dxa" w:w="21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152230"/>
                <w:sz w:val="18"/>
              </w:rPr>
              <w:t>Background</w:t>
            </w:r>
          </w:p>
        </w:tc>
        <w:tc>
          <w:tcPr>
            <w:tcW w:type="dxa" w:w="25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8"/>
              </w:rPr>
              <w:t>#08131F</w:t>
            </w:r>
          </w:p>
        </w:tc>
        <w:tc>
          <w:tcPr>
            <w:tcW w:type="dxa" w:w="476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8"/>
              </w:rPr>
              <w:t>Ana koyu yüzey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t>5. Bileşen bazlı kullanım</w:t>
      </w:r>
    </w:p>
    <w:p>
      <w:pPr>
        <w:pStyle w:val="Heading2"/>
      </w:pPr>
      <w:r>
        <w:t>5.1 Telemetri kartı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400"/>
        <w:gridCol w:w="3860"/>
      </w:tblGrid>
      <w:tr>
        <w:trPr>
          <w:tblHeader w:val="true"/>
        </w:trPr>
        <w:tc>
          <w:tcPr>
            <w:tcW w:type="dxa" w:w="2100"/>
            <w:shd w:fill="08131F"/>
            <w:tcBorders>
              <w:top w:val="single" w:sz="6" w:color="08131F"/>
              <w:left w:val="single" w:sz="6" w:color="08131F"/>
              <w:bottom w:val="single" w:sz="6" w:color="08131F"/>
              <w:right w:val="single" w:sz="6" w:color="08131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Katman</w:t>
            </w:r>
          </w:p>
        </w:tc>
        <w:tc>
          <w:tcPr>
            <w:tcW w:type="dxa" w:w="3400"/>
            <w:shd w:fill="08131F"/>
            <w:tcBorders>
              <w:top w:val="single" w:sz="6" w:color="08131F"/>
              <w:left w:val="single" w:sz="6" w:color="08131F"/>
              <w:bottom w:val="single" w:sz="6" w:color="08131F"/>
              <w:right w:val="single" w:sz="6" w:color="08131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Stil</w:t>
            </w:r>
          </w:p>
        </w:tc>
        <w:tc>
          <w:tcPr>
            <w:tcW w:type="dxa" w:w="3860"/>
            <w:shd w:fill="08131F"/>
            <w:tcBorders>
              <w:top w:val="single" w:sz="6" w:color="08131F"/>
              <w:left w:val="single" w:sz="6" w:color="08131F"/>
              <w:bottom w:val="single" w:sz="6" w:color="08131F"/>
              <w:right w:val="single" w:sz="6" w:color="08131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Örnek</w:t>
            </w:r>
          </w:p>
        </w:tc>
      </w:tr>
      <w:tr>
        <w:tc>
          <w:tcPr>
            <w:tcW w:type="dxa" w:w="21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152230"/>
                <w:sz w:val="18"/>
              </w:rPr>
              <w:t>Etiket</w:t>
            </w:r>
          </w:p>
        </w:tc>
        <w:tc>
          <w:tcPr>
            <w:tcW w:type="dxa" w:w="34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8"/>
              </w:rPr>
              <w:t>labelMedium / titanium %68</w:t>
            </w:r>
          </w:p>
        </w:tc>
        <w:tc>
          <w:tcPr>
            <w:tcW w:type="dxa" w:w="386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8"/>
              </w:rPr>
              <w:t>DOĞRULANMIŞ MAKS. HIZ</w:t>
            </w:r>
          </w:p>
        </w:tc>
      </w:tr>
      <w:tr>
        <w:tc>
          <w:tcPr>
            <w:tcW w:type="dxa" w:w="21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152230"/>
                <w:sz w:val="18"/>
              </w:rPr>
              <w:t>Değer</w:t>
            </w:r>
          </w:p>
        </w:tc>
        <w:tc>
          <w:tcPr>
            <w:tcW w:type="dxa" w:w="34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8"/>
              </w:rPr>
              <w:t>displayHero / tabular figures</w:t>
            </w:r>
          </w:p>
        </w:tc>
        <w:tc>
          <w:tcPr>
            <w:tcW w:type="dxa" w:w="386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8"/>
              </w:rPr>
              <w:t>187</w:t>
            </w:r>
          </w:p>
        </w:tc>
      </w:tr>
      <w:tr>
        <w:tc>
          <w:tcPr>
            <w:tcW w:type="dxa" w:w="21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152230"/>
                <w:sz w:val="18"/>
              </w:rPr>
              <w:t>Birim</w:t>
            </w:r>
          </w:p>
        </w:tc>
        <w:tc>
          <w:tcPr>
            <w:tcW w:type="dxa" w:w="34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8"/>
              </w:rPr>
              <w:t>caption veya technical</w:t>
            </w:r>
          </w:p>
        </w:tc>
        <w:tc>
          <w:tcPr>
            <w:tcW w:type="dxa" w:w="386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8"/>
              </w:rPr>
              <w:t>km/sa</w:t>
            </w:r>
          </w:p>
        </w:tc>
      </w:tr>
      <w:tr>
        <w:tc>
          <w:tcPr>
            <w:tcW w:type="dxa" w:w="21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152230"/>
                <w:sz w:val="18"/>
              </w:rPr>
              <w:t>Güven/metadata</w:t>
            </w:r>
          </w:p>
        </w:tc>
        <w:tc>
          <w:tcPr>
            <w:tcW w:type="dxa" w:w="34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8"/>
              </w:rPr>
              <w:t>technical / cyan</w:t>
            </w:r>
          </w:p>
        </w:tc>
        <w:tc>
          <w:tcPr>
            <w:tcW w:type="dxa" w:w="386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8"/>
              </w:rPr>
              <w:t>GNSS • doğrulandı</w:t>
            </w:r>
          </w:p>
        </w:tc>
      </w:tr>
    </w:tbl>
    <w:p>
      <w:pPr>
        <w:spacing w:before="80" w:after="80"/>
      </w:pPr>
    </w:p>
    <w:p>
      <w:pPr>
        <w:keepLines/>
        <w:spacing w:before="100" w:after="200" w:line="288" w:lineRule="auto"/>
        <w:ind w:left="173" w:right="115"/>
        <w:shd w:fill="E9F8FC"/>
        <w:pBdr>
          <w:left w:val="single" w:sz="22" w:space="10" w:color="11B8DD"/>
        </w:pBdr>
      </w:pPr>
      <w:r>
        <w:rPr>
          <w:rFonts w:ascii="Arial" w:hAnsi="Arial" w:eastAsia="Arial"/>
          <w:b/>
          <w:color w:val="08131F"/>
          <w:sz w:val="18"/>
        </w:rPr>
        <w:t xml:space="preserve">KURAL  </w:t>
      </w:r>
      <w:r>
        <w:rPr>
          <w:rFonts w:ascii="Arial" w:hAnsi="Arial" w:eastAsia="Arial"/>
          <w:color w:val="152230"/>
          <w:sz w:val="20"/>
        </w:rPr>
        <w:t>Büyük telemetri değeri Geist Mono değil Geist Sans kullanır. Sayıların sabit genişlikte hizalanması FontFeature.tabularFigures() ile sağlanır. Birim değerin görsel rakibi olmamalıdır.</w:t>
      </w:r>
    </w:p>
    <w:p>
      <w:pPr>
        <w:pStyle w:val="Heading2"/>
      </w:pPr>
      <w:r>
        <w:t>5.2 Dashboard ve sürüş özeti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Ekran başlığı headlineMedium; bölüm başlıkları titleMedium kullanılmalıdır.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Bir kartta en fazla bir display stili bulunmalıdır.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Maksimum hız, ortalama hız, mesafe ve aktif süre aynı basamak çizgisinde hizalanmalıdır.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Değer değişirken yatay genişlik oynamamalıdır; tabular figures zorunludur.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Sıfır durumlarında ‘—’ veya ‘0’ kullanım kararı veri modeline göre tekleştirilmelidir.</w:t>
      </w:r>
    </w:p>
    <w:p>
      <w:pPr>
        <w:pStyle w:val="Heading2"/>
      </w:pPr>
      <w:r>
        <w:t>5.3 Achievement ve rozet ekranı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Achievement adı titleMedium, ilerleme metni bodyMedium, sayaç labelMedium kullanmalıdır.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Rozet görseli başlıktan daha baskın olabilir; tipografi yarışan bir dekorasyona dönüşmemelidir.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Kilitli achievement için yalnız opaklık düşürülmemeli; kilit ikonu ve metinsel durum birlikte gösterilmelidir.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Premium süre ödülü gibi kritik kazanımlar turuncu vurguyu yalnız küçük bir işaret veya etiket olarak kullanmalıdır.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Uzun Almanca başlıklarda iki satıra izin verilmeli; sabit kart yüksekliği kullanılmamalıdır.</w:t>
      </w:r>
    </w:p>
    <w:p>
      <w:pPr>
        <w:pStyle w:val="Heading2"/>
      </w:pPr>
      <w:r>
        <w:t>5.4 Butonlar, sekmeler ve navigasyon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700"/>
        <w:gridCol w:w="4360"/>
      </w:tblGrid>
      <w:tr>
        <w:trPr>
          <w:tblHeader w:val="true"/>
        </w:trPr>
        <w:tc>
          <w:tcPr>
            <w:tcW w:type="dxa" w:w="2300"/>
            <w:shd w:fill="08131F"/>
            <w:tcBorders>
              <w:top w:val="single" w:sz="6" w:color="08131F"/>
              <w:left w:val="single" w:sz="6" w:color="08131F"/>
              <w:bottom w:val="single" w:sz="6" w:color="08131F"/>
              <w:right w:val="single" w:sz="6" w:color="08131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2700"/>
            <w:shd w:fill="08131F"/>
            <w:tcBorders>
              <w:top w:val="single" w:sz="6" w:color="08131F"/>
              <w:left w:val="single" w:sz="6" w:color="08131F"/>
              <w:bottom w:val="single" w:sz="6" w:color="08131F"/>
              <w:right w:val="single" w:sz="6" w:color="08131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Stil</w:t>
            </w:r>
          </w:p>
        </w:tc>
        <w:tc>
          <w:tcPr>
            <w:tcW w:type="dxa" w:w="4360"/>
            <w:shd w:fill="08131F"/>
            <w:tcBorders>
              <w:top w:val="single" w:sz="6" w:color="08131F"/>
              <w:left w:val="single" w:sz="6" w:color="08131F"/>
              <w:bottom w:val="single" w:sz="6" w:color="08131F"/>
              <w:right w:val="single" w:sz="6" w:color="08131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Yasak</w:t>
            </w:r>
          </w:p>
        </w:tc>
      </w:tr>
      <w:tr>
        <w:tc>
          <w:tcPr>
            <w:tcW w:type="dxa" w:w="23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152230"/>
                <w:sz w:val="17"/>
              </w:rPr>
              <w:t>Primary button</w:t>
            </w:r>
          </w:p>
        </w:tc>
        <w:tc>
          <w:tcPr>
            <w:tcW w:type="dxa" w:w="27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7"/>
              </w:rPr>
              <w:t>labelLarge 600</w:t>
            </w:r>
          </w:p>
        </w:tc>
        <w:tc>
          <w:tcPr>
            <w:tcW w:type="dxa" w:w="436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7"/>
              </w:rPr>
              <w:t>Tamamı büyük harf</w:t>
            </w:r>
          </w:p>
        </w:tc>
      </w:tr>
      <w:tr>
        <w:tc>
          <w:tcPr>
            <w:tcW w:type="dxa" w:w="23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152230"/>
                <w:sz w:val="17"/>
              </w:rPr>
              <w:t>Secondary button</w:t>
            </w:r>
          </w:p>
        </w:tc>
        <w:tc>
          <w:tcPr>
            <w:tcW w:type="dxa" w:w="27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7"/>
              </w:rPr>
              <w:t>labelLarge 600</w:t>
            </w:r>
          </w:p>
        </w:tc>
        <w:tc>
          <w:tcPr>
            <w:tcW w:type="dxa" w:w="436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7"/>
              </w:rPr>
              <w:t>Primary ile aynı renk ağırlığı</w:t>
            </w:r>
          </w:p>
        </w:tc>
      </w:tr>
      <w:tr>
        <w:tc>
          <w:tcPr>
            <w:tcW w:type="dxa" w:w="23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152230"/>
                <w:sz w:val="17"/>
              </w:rPr>
              <w:t>Bottom navigation</w:t>
            </w:r>
          </w:p>
        </w:tc>
        <w:tc>
          <w:tcPr>
            <w:tcW w:type="dxa" w:w="27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7"/>
              </w:rPr>
              <w:t>caption 500</w:t>
            </w:r>
          </w:p>
        </w:tc>
        <w:tc>
          <w:tcPr>
            <w:tcW w:type="dxa" w:w="436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7"/>
              </w:rPr>
              <w:t>11 sp altı metin</w:t>
            </w:r>
          </w:p>
        </w:tc>
      </w:tr>
      <w:tr>
        <w:tc>
          <w:tcPr>
            <w:tcW w:type="dxa" w:w="23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152230"/>
                <w:sz w:val="17"/>
              </w:rPr>
              <w:t>Tab</w:t>
            </w:r>
          </w:p>
        </w:tc>
        <w:tc>
          <w:tcPr>
            <w:tcW w:type="dxa" w:w="27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7"/>
              </w:rPr>
              <w:t>labelMedium 600 seçili / 500 pasif</w:t>
            </w:r>
          </w:p>
        </w:tc>
        <w:tc>
          <w:tcPr>
            <w:tcW w:type="dxa" w:w="436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7"/>
              </w:rPr>
              <w:t>Renk + ağırlık + alt çizgi üçlüsünü aynı anda aşırı kullanmak</w:t>
            </w:r>
          </w:p>
        </w:tc>
      </w:tr>
      <w:tr>
        <w:tc>
          <w:tcPr>
            <w:tcW w:type="dxa" w:w="23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152230"/>
                <w:sz w:val="17"/>
              </w:rPr>
              <w:t>Chip</w:t>
            </w:r>
          </w:p>
        </w:tc>
        <w:tc>
          <w:tcPr>
            <w:tcW w:type="dxa" w:w="27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7"/>
              </w:rPr>
              <w:t>caption 500</w:t>
            </w:r>
          </w:p>
        </w:tc>
        <w:tc>
          <w:tcPr>
            <w:tcW w:type="dxa" w:w="436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7"/>
              </w:rPr>
              <w:t>Uzun açıklamayı chip içine sıkıştırmak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t>6. Telemetri ve sayısal tipografi</w:t>
      </w:r>
    </w:p>
    <w:p>
      <w:pPr>
        <w:pStyle w:val="Heading2"/>
      </w:pPr>
      <w:r>
        <w:t>6.1 Tabular figures</w:t>
      </w:r>
    </w:p>
    <w:p>
      <w:pPr>
        <w:spacing w:after="120" w:line="300" w:lineRule="auto"/>
      </w:pPr>
      <w:r>
        <w:rPr>
          <w:rFonts w:ascii="Arial" w:hAnsi="Arial" w:eastAsia="Arial"/>
          <w:i w:val="0"/>
          <w:color w:val="152230"/>
          <w:sz w:val="21"/>
        </w:rPr>
        <w:t>Telemetri değerlerinde rakamların genişliği sabit olmalıdır. Flutter’ın FontFeature.tabularFigures() özelliği OpenType tnum davranışını açar. Bu sayede 1, 8 veya 0 farklı genişlikte olsa bile sayaç ve kart hizası değişmez.</w:t>
      </w:r>
    </w:p>
    <w:p>
      <w:pPr>
        <w:keepNext/>
        <w:spacing w:before="100" w:after="40"/>
      </w:pPr>
      <w:r>
        <w:rPr>
          <w:rFonts w:ascii="Arial" w:hAnsi="Arial" w:eastAsia="Arial"/>
          <w:b/>
          <w:color w:val="11B8DD"/>
          <w:sz w:val="16"/>
        </w:rPr>
        <w:t>DART</w:t>
      </w:r>
    </w:p>
    <w:p>
      <w:pPr>
        <w:keepLines/>
        <w:spacing w:before="0" w:after="200" w:line="240" w:lineRule="auto"/>
        <w:ind w:left="173" w:right="115"/>
        <w:shd w:fill="0D1B28"/>
        <w:pBdr>
          <w:left w:val="single" w:sz="16" w:space="8" w:color="11B8DD"/>
        </w:pBdr>
      </w:pPr>
      <w:r>
        <w:rPr>
          <w:rFonts w:ascii="Courier New" w:hAnsi="Courier New" w:eastAsia="Courier New"/>
          <w:color w:val="E8EDF2"/>
          <w:sz w:val="16"/>
        </w:rPr>
        <w:t>const telemetryFeatures = &lt;FontFeature&gt;[</w:t>
        <w:br/>
        <w:t xml:space="preserve">  FontFeature.tabularFigures(),</w:t>
        <w:br/>
        <w:t>];</w:t>
      </w:r>
    </w:p>
    <w:p>
      <w:pPr>
        <w:pStyle w:val="Heading2"/>
      </w:pPr>
      <w:r>
        <w:t>6.2 Birim ve değer ayrımı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900"/>
        <w:gridCol w:w="3360"/>
      </w:tblGrid>
      <w:tr>
        <w:trPr>
          <w:tblHeader w:val="true"/>
        </w:trPr>
        <w:tc>
          <w:tcPr>
            <w:tcW w:type="dxa" w:w="2100"/>
            <w:shd w:fill="08131F"/>
            <w:tcBorders>
              <w:top w:val="single" w:sz="6" w:color="08131F"/>
              <w:left w:val="single" w:sz="6" w:color="08131F"/>
              <w:bottom w:val="single" w:sz="6" w:color="08131F"/>
              <w:right w:val="single" w:sz="6" w:color="08131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Değer</w:t>
            </w:r>
          </w:p>
        </w:tc>
        <w:tc>
          <w:tcPr>
            <w:tcW w:type="dxa" w:w="3900"/>
            <w:shd w:fill="08131F"/>
            <w:tcBorders>
              <w:top w:val="single" w:sz="6" w:color="08131F"/>
              <w:left w:val="single" w:sz="6" w:color="08131F"/>
              <w:bottom w:val="single" w:sz="6" w:color="08131F"/>
              <w:right w:val="single" w:sz="6" w:color="08131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3360"/>
            <w:shd w:fill="08131F"/>
            <w:tcBorders>
              <w:top w:val="single" w:sz="6" w:color="08131F"/>
              <w:left w:val="single" w:sz="6" w:color="08131F"/>
              <w:bottom w:val="single" w:sz="6" w:color="08131F"/>
              <w:right w:val="single" w:sz="6" w:color="08131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Örnek</w:t>
            </w:r>
          </w:p>
        </w:tc>
      </w:tr>
      <w:tr>
        <w:tc>
          <w:tcPr>
            <w:tcW w:type="dxa" w:w="21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152230"/>
                <w:sz w:val="18"/>
              </w:rPr>
              <w:t>Hız</w:t>
            </w:r>
          </w:p>
        </w:tc>
        <w:tc>
          <w:tcPr>
            <w:tcW w:type="dxa" w:w="39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8"/>
              </w:rPr>
              <w:t>0 veya 1 ondalık; ürün kararına göre sabit</w:t>
            </w:r>
          </w:p>
        </w:tc>
        <w:tc>
          <w:tcPr>
            <w:tcW w:type="dxa" w:w="336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8"/>
              </w:rPr>
              <w:t>187 km/sa veya 86,4 km/sa</w:t>
            </w:r>
          </w:p>
        </w:tc>
      </w:tr>
      <w:tr>
        <w:tc>
          <w:tcPr>
            <w:tcW w:type="dxa" w:w="21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152230"/>
                <w:sz w:val="18"/>
              </w:rPr>
              <w:t>Mesafe</w:t>
            </w:r>
          </w:p>
        </w:tc>
        <w:tc>
          <w:tcPr>
            <w:tcW w:type="dxa" w:w="39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8"/>
              </w:rPr>
              <w:t>Yerel ondalık ayırıcı</w:t>
            </w:r>
          </w:p>
        </w:tc>
        <w:tc>
          <w:tcPr>
            <w:tcW w:type="dxa" w:w="336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8"/>
              </w:rPr>
              <w:t>124,6 km</w:t>
            </w:r>
          </w:p>
        </w:tc>
      </w:tr>
      <w:tr>
        <w:tc>
          <w:tcPr>
            <w:tcW w:type="dxa" w:w="21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152230"/>
                <w:sz w:val="18"/>
              </w:rPr>
              <w:t>Aktif süre</w:t>
            </w:r>
          </w:p>
        </w:tc>
        <w:tc>
          <w:tcPr>
            <w:tcW w:type="dxa" w:w="39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8"/>
              </w:rPr>
              <w:t>HH:MM veya açık metin</w:t>
            </w:r>
          </w:p>
        </w:tc>
        <w:tc>
          <w:tcPr>
            <w:tcW w:type="dxa" w:w="336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8"/>
              </w:rPr>
              <w:t>01:42</w:t>
            </w:r>
          </w:p>
        </w:tc>
      </w:tr>
      <w:tr>
        <w:tc>
          <w:tcPr>
            <w:tcW w:type="dxa" w:w="21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152230"/>
                <w:sz w:val="18"/>
              </w:rPr>
              <w:t>Ortalama hız</w:t>
            </w:r>
          </w:p>
        </w:tc>
        <w:tc>
          <w:tcPr>
            <w:tcW w:type="dxa" w:w="39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8"/>
              </w:rPr>
              <w:t>1 ondalık</w:t>
            </w:r>
          </w:p>
        </w:tc>
        <w:tc>
          <w:tcPr>
            <w:tcW w:type="dxa" w:w="336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8"/>
              </w:rPr>
              <w:t>64,8 km/sa</w:t>
            </w:r>
          </w:p>
        </w:tc>
      </w:tr>
      <w:tr>
        <w:tc>
          <w:tcPr>
            <w:tcW w:type="dxa" w:w="21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152230"/>
                <w:sz w:val="18"/>
              </w:rPr>
              <w:t>Bug Report ID</w:t>
            </w:r>
          </w:p>
        </w:tc>
        <w:tc>
          <w:tcPr>
            <w:tcW w:type="dxa" w:w="39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8"/>
              </w:rPr>
              <w:t>Mono, seçilebilir ve kopyalanabilir</w:t>
            </w:r>
          </w:p>
        </w:tc>
        <w:tc>
          <w:tcPr>
            <w:tcW w:type="dxa" w:w="336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8"/>
              </w:rPr>
              <w:t>AFX-BUG-7F2K9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6.3 Yerelleştirme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Sayı biçimlendirmesi UI içinde string birleştirmeyle değil locale-aware formatter ile yapılmalıdır.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Türkçe görünür metinde ‘km/sa’; İngilizce ürün kararına göre ‘km/h’; Almanca ‘km/h’ kullanılabilir.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Ondalık ayırıcı locale’e göre değişmelidir; ham nokta karakteri zorlanmamalıdır.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Aynı veri kartında değer ile birim ayrı TextSpan veya ayrı widget olmalıdır.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Birimler çeviri dosyalarına alınmalı ve kod içine gömülmemelidir.</w:t>
      </w:r>
    </w:p>
    <w:p>
      <w:pPr>
        <w:pStyle w:val="Heading1"/>
      </w:pPr>
      <w:r>
        <w:t>7. Flutter dosya ve asset mimarisi</w:t>
      </w:r>
    </w:p>
    <w:p>
      <w:pPr>
        <w:pStyle w:val="Heading2"/>
      </w:pPr>
      <w:r>
        <w:t>7.1 Önerilen klasör yapısı</w:t>
      </w:r>
    </w:p>
    <w:p>
      <w:pPr>
        <w:keepNext/>
        <w:spacing w:before="100" w:after="40"/>
      </w:pPr>
      <w:r>
        <w:rPr>
          <w:rFonts w:ascii="Arial" w:hAnsi="Arial" w:eastAsia="Arial"/>
          <w:b/>
          <w:color w:val="11B8DD"/>
          <w:sz w:val="16"/>
        </w:rPr>
        <w:t>PROJECT TREE</w:t>
      </w:r>
    </w:p>
    <w:p>
      <w:pPr>
        <w:keepLines/>
        <w:spacing w:before="0" w:after="200" w:line="240" w:lineRule="auto"/>
        <w:ind w:left="173" w:right="115"/>
        <w:shd w:fill="0D1B28"/>
        <w:pBdr>
          <w:left w:val="single" w:sz="16" w:space="8" w:color="11B8DD"/>
        </w:pBdr>
      </w:pPr>
      <w:r>
        <w:rPr>
          <w:rFonts w:ascii="Courier New" w:hAnsi="Courier New" w:eastAsia="Courier New"/>
          <w:color w:val="E8EDF2"/>
          <w:sz w:val="16"/>
        </w:rPr>
        <w:t>assets/</w:t>
        <w:br/>
        <w:t xml:space="preserve">  fonts/</w:t>
        <w:br/>
        <w:t xml:space="preserve">    geist/</w:t>
        <w:br/>
        <w:t xml:space="preserve">      Geist-Variable.ttf</w:t>
        <w:br/>
        <w:t xml:space="preserve">      GeistMono-Variable.ttf</w:t>
        <w:br/>
        <w:t xml:space="preserve">      OFL.txt</w:t>
        <w:br/>
        <w:t>lib/</w:t>
        <w:br/>
        <w:t xml:space="preserve">  core/</w:t>
        <w:br/>
        <w:t xml:space="preserve">    design_system/</w:t>
        <w:br/>
        <w:t xml:space="preserve">      apex_colors.dart</w:t>
        <w:br/>
        <w:t xml:space="preserve">      apex_spacing.dart</w:t>
        <w:br/>
        <w:t xml:space="preserve">      apex_typography.dart</w:t>
        <w:br/>
        <w:t xml:space="preserve">      apex_theme.dart</w:t>
        <w:br/>
        <w:t>test/</w:t>
        <w:br/>
        <w:t xml:space="preserve">  design_system/</w:t>
        <w:br/>
        <w:t xml:space="preserve">    typography_glyph_test.dart</w:t>
        <w:br/>
        <w:t xml:space="preserve">    typography_scale_test.dart</w:t>
      </w:r>
    </w:p>
    <w:p>
      <w:pPr>
        <w:pStyle w:val="Heading2"/>
      </w:pPr>
      <w:r>
        <w:t>7.2 pubspec.yaml</w:t>
      </w:r>
    </w:p>
    <w:p>
      <w:pPr>
        <w:keepNext/>
        <w:spacing w:before="100" w:after="40"/>
      </w:pPr>
      <w:r>
        <w:rPr>
          <w:rFonts w:ascii="Arial" w:hAnsi="Arial" w:eastAsia="Arial"/>
          <w:b/>
          <w:color w:val="11B8DD"/>
          <w:sz w:val="16"/>
        </w:rPr>
        <w:t>YAML</w:t>
      </w:r>
    </w:p>
    <w:p>
      <w:pPr>
        <w:keepLines/>
        <w:spacing w:before="0" w:after="200" w:line="240" w:lineRule="auto"/>
        <w:ind w:left="173" w:right="115"/>
        <w:shd w:fill="0D1B28"/>
        <w:pBdr>
          <w:left w:val="single" w:sz="16" w:space="8" w:color="11B8DD"/>
        </w:pBdr>
      </w:pPr>
      <w:r>
        <w:rPr>
          <w:rFonts w:ascii="Courier New" w:hAnsi="Courier New" w:eastAsia="Courier New"/>
          <w:color w:val="E8EDF2"/>
          <w:sz w:val="16"/>
        </w:rPr>
        <w:t>flutter:</w:t>
        <w:br/>
        <w:t xml:space="preserve">  uses-material-design: true</w:t>
        <w:br/>
        <w:t xml:space="preserve">  fonts:</w:t>
        <w:br/>
        <w:t xml:space="preserve">    - family: Geist</w:t>
        <w:br/>
        <w:t xml:space="preserve">      fonts:</w:t>
        <w:br/>
        <w:t xml:space="preserve">        - asset: assets/fonts/geist/Geist-Variable.ttf</w:t>
        <w:br/>
        <w:t xml:space="preserve">    - family: GeistMono</w:t>
        <w:br/>
        <w:t xml:space="preserve">      fonts:</w:t>
        <w:br/>
        <w:t xml:space="preserve">        - asset: assets/fonts/geist/GeistMono-Variable.ttf</w:t>
        <w:br/>
        <w:t xml:space="preserve">  assets:</w:t>
        <w:br/>
        <w:t xml:space="preserve">    - assets/fonts/geist/OFL.txt</w:t>
      </w:r>
    </w:p>
    <w:p>
      <w:pPr>
        <w:keepLines/>
        <w:spacing w:before="100" w:after="200" w:line="288" w:lineRule="auto"/>
        <w:ind w:left="173" w:right="115"/>
        <w:shd w:fill="FFF2E9"/>
        <w:pBdr>
          <w:left w:val="single" w:sz="22" w:space="10" w:color="F47A24"/>
        </w:pBdr>
      </w:pPr>
      <w:r>
        <w:rPr>
          <w:rFonts w:ascii="Arial" w:hAnsi="Arial" w:eastAsia="Arial"/>
          <w:b/>
          <w:color w:val="08131F"/>
          <w:sz w:val="18"/>
        </w:rPr>
        <w:t xml:space="preserve">ÖNEMLI  </w:t>
      </w:r>
      <w:r>
        <w:rPr>
          <w:rFonts w:ascii="Arial" w:hAnsi="Arial" w:eastAsia="Arial"/>
          <w:color w:val="152230"/>
          <w:sz w:val="20"/>
        </w:rPr>
        <w:t>google_fonts paketi üzerinden çalışma anında font indirilmemelidir. Fontlar Flutter asset bundle içine girmeli ve uçak modunda ilk açılışta dahi aynı şekilde render edilmelidir.</w:t>
      </w:r>
    </w:p>
    <w:p>
      <w:pPr>
        <w:pStyle w:val="Heading2"/>
      </w:pPr>
      <w:r>
        <w:t>7.3 Asset doğrulaması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Dosya yolu ile pubspec girintisi birebir doğrulanmalıdır.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flutter clean yalnız gerçekten gerekli olduğunda; ardından flutter pub get çalıştırılmalıdır.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Release AAB/APK içinde font assetlerinin bulunduğu doğrulanmalıdır.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Font yüklenemediğinde sessiz sistem fontu fallback’i kabul edilmemeli; test aşamasında görünür hata üretilmelidir.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Lisans dosyasının sürüm kontrolüne girdiği doğrulanmalıdır.</w:t>
      </w:r>
    </w:p>
    <w:p>
      <w:pPr>
        <w:pStyle w:val="Heading1"/>
      </w:pPr>
      <w:r>
        <w:t>8. Flutter uygulama kodu</w:t>
      </w:r>
    </w:p>
    <w:p>
      <w:pPr>
        <w:spacing w:after="120" w:line="300" w:lineRule="auto"/>
      </w:pPr>
      <w:r>
        <w:rPr>
          <w:rFonts w:ascii="Arial" w:hAnsi="Arial" w:eastAsia="Arial"/>
          <w:i w:val="0"/>
          <w:color w:val="152230"/>
          <w:sz w:val="21"/>
        </w:rPr>
        <w:t>Bu bölümdeki kod, mevcut Apex Flow mimarisine uyarlanacak referans uygulamadır. Antigravity önce projedeki Flutter sürümünü, mevcut tema katmanını ve kullanılan state/navigation yapısını incelemeli; örnekleri körlemesine kopyalamamalıdır.</w:t>
      </w:r>
    </w:p>
    <w:p>
      <w:pPr>
        <w:pStyle w:val="Heading2"/>
      </w:pPr>
      <w:r>
        <w:t>8.0 Uygulama sözleşmesi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ApexTypography yalnız tipografi token’larını ve stil üreticilerini barındırmalıdır.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ApexTheme renk sistemi ile tipografiyi birleştirmeli; iş mantığı içermemelidir.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Yeni sınıflar mevcut tema giriş noktasına tek merkezden bağlanmalıdır.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Kod örnekleri mevcut Flutter SDK API’leriyle derlenebilir hâle uyarlanmalıdır.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Her fazdan sonra analyze, widget testi ve en az bir fiziksel cihaz önizlemesi yapılmalıdır.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Uygulama çevrimdışıyken font görünümü ilk açılışla sonraki açılışlarda aynı kalmalıdır.</w:t>
      </w:r>
    </w:p>
    <w:p>
      <w:pPr>
        <w:pStyle w:val="Heading2"/>
      </w:pPr>
      <w:r>
        <w:t>8.1 apex_typography.dart</w:t>
      </w:r>
    </w:p>
    <w:p>
      <w:pPr>
        <w:keepNext/>
        <w:spacing w:before="100" w:after="40"/>
      </w:pPr>
      <w:r>
        <w:rPr>
          <w:rFonts w:ascii="Arial" w:hAnsi="Arial" w:eastAsia="Arial"/>
          <w:b/>
          <w:color w:val="11B8DD"/>
          <w:sz w:val="16"/>
        </w:rPr>
        <w:t>DART</w:t>
      </w:r>
    </w:p>
    <w:p>
      <w:pPr>
        <w:keepLines/>
        <w:spacing w:before="0" w:after="200" w:line="240" w:lineRule="auto"/>
        <w:ind w:left="173" w:right="115"/>
        <w:shd w:fill="0D1B28"/>
        <w:pBdr>
          <w:left w:val="single" w:sz="16" w:space="8" w:color="11B8DD"/>
        </w:pBdr>
      </w:pPr>
      <w:r>
        <w:rPr>
          <w:rFonts w:ascii="Courier New" w:hAnsi="Courier New" w:eastAsia="Courier New"/>
          <w:color w:val="E8EDF2"/>
          <w:sz w:val="16"/>
        </w:rPr>
        <w:t>import 'dart:ui' show FontFeature, FontVariation;</w:t>
        <w:br/>
        <w:t>import 'package:flutter/material.dart';</w:t>
        <w:br/>
        <w:br/>
        <w:t>abstract final class ApexTypography {</w:t>
        <w:br/>
        <w:t xml:space="preserve">  static const String sans = 'Geist';</w:t>
        <w:br/>
        <w:t xml:space="preserve">  static const String mono = 'GeistMono';</w:t>
        <w:br/>
        <w:br/>
        <w:t xml:space="preserve">  static const List&lt;FontFeature&gt; tabular = &lt;FontFeature&gt;[</w:t>
        <w:br/>
        <w:t xml:space="preserve">    FontFeature.tabularFigures(),</w:t>
        <w:br/>
        <w:t xml:space="preserve">  ];</w:t>
        <w:br/>
        <w:br/>
        <w:t xml:space="preserve">  static TextStyle _sans({</w:t>
        <w:br/>
        <w:t xml:space="preserve">    required double size,</w:t>
        <w:br/>
        <w:t xml:space="preserve">    required double weight,</w:t>
        <w:br/>
        <w:t xml:space="preserve">    required double height,</w:t>
        <w:br/>
        <w:t xml:space="preserve">    required double tracking,</w:t>
        <w:br/>
        <w:t xml:space="preserve">    required Color color,</w:t>
        <w:br/>
        <w:t xml:space="preserve">    List&lt;FontFeature&gt;? features,</w:t>
        <w:br/>
        <w:t xml:space="preserve">  }) {</w:t>
        <w:br/>
        <w:t xml:space="preserve">    return TextStyle(</w:t>
        <w:br/>
        <w:t xml:space="preserve">      fontFamily: sans,</w:t>
        <w:br/>
        <w:t xml:space="preserve">      fontSize: size,</w:t>
        <w:br/>
        <w:t xml:space="preserve">      height: height,</w:t>
        <w:br/>
        <w:t xml:space="preserve">      letterSpacing: tracking,</w:t>
        <w:br/>
        <w:t xml:space="preserve">      color: color,</w:t>
        <w:br/>
        <w:t xml:space="preserve">      fontWeight: _semanticWeight(weight),</w:t>
        <w:br/>
        <w:t xml:space="preserve">      fontVariations: &lt;FontVariation&gt;[</w:t>
        <w:br/>
        <w:t xml:space="preserve">        FontVariation('wght', weight),</w:t>
        <w:br/>
        <w:t xml:space="preserve">      ],</w:t>
        <w:br/>
        <w:t xml:space="preserve">      fontFeatures: features,</w:t>
        <w:br/>
        <w:t xml:space="preserve">    );</w:t>
        <w:br/>
        <w:t xml:space="preserve">  }</w:t>
        <w:br/>
        <w:br/>
        <w:t xml:space="preserve">  static FontWeight _semanticWeight(double weight) {</w:t>
        <w:br/>
        <w:t xml:space="preserve">    if (weight &gt;= 650) return FontWeight.w700;</w:t>
        <w:br/>
        <w:t xml:space="preserve">    if (weight &gt;= 600) return FontWeight.w600;</w:t>
        <w:br/>
        <w:t xml:space="preserve">    if (weight &gt;= 500) return FontWeight.w500;</w:t>
        <w:br/>
        <w:t xml:space="preserve">    return FontWeight.w400;</w:t>
        <w:br/>
        <w:t xml:space="preserve">  }</w:t>
        <w:br/>
        <w:br/>
        <w:t xml:space="preserve">  static TextStyle telemetryHero(Color color) =&gt; _sans(</w:t>
        <w:br/>
        <w:t xml:space="preserve">    size: 56,</w:t>
        <w:br/>
        <w:t xml:space="preserve">    weight: 650,</w:t>
        <w:br/>
        <w:t xml:space="preserve">    height: .96,</w:t>
        <w:br/>
        <w:t xml:space="preserve">    tracking: -1.1,</w:t>
        <w:br/>
        <w:t xml:space="preserve">    color: color,</w:t>
        <w:br/>
        <w:t xml:space="preserve">    features: tabular,</w:t>
        <w:br/>
        <w:t xml:space="preserve">  );</w:t>
        <w:br/>
        <w:br/>
        <w:t xml:space="preserve">  static TextStyle technical(Color color) =&gt; TextStyle(</w:t>
        <w:br/>
        <w:t xml:space="preserve">    fontFamily: mono,</w:t>
        <w:br/>
        <w:t xml:space="preserve">    fontSize: 12,</w:t>
        <w:br/>
        <w:t xml:space="preserve">    height: 1.33,</w:t>
        <w:br/>
        <w:t xml:space="preserve">    fontWeight: FontWeight.w500,</w:t>
        <w:br/>
        <w:t xml:space="preserve">    fontVariations: const &lt;FontVariation&gt;[</w:t>
        <w:br/>
        <w:t xml:space="preserve">      FontVariation('wght', 500),</w:t>
        <w:br/>
        <w:t xml:space="preserve">    ],</w:t>
        <w:br/>
        <w:t xml:space="preserve">    fontFeatures: tabular,</w:t>
        <w:br/>
        <w:t xml:space="preserve">    color: color,</w:t>
        <w:br/>
        <w:t xml:space="preserve">  );</w:t>
        <w:br/>
        <w:t>}</w:t>
      </w:r>
    </w:p>
    <w:p>
      <w:pPr>
        <w:spacing w:after="120" w:line="300" w:lineRule="auto"/>
      </w:pPr>
      <w:r>
        <w:rPr>
          <w:rFonts w:ascii="Arial" w:hAnsi="Arial" w:eastAsia="Arial"/>
          <w:i w:val="0"/>
          <w:color w:val="5D6A76"/>
          <w:sz w:val="19"/>
        </w:rPr>
        <w:t>Not: Antigravity, kullanılan Flutter sürümünde variable font davranışını fiziksel cihazda doğrulamalıdır. FontVariation desteklenmiyorsa veya tutarsızsa resmî statik 400/500/600/700 dosyalarına geçilmeli; yapay bold üretimine güvenilmemelidir.</w:t>
      </w:r>
    </w:p>
    <w:p>
      <w:pPr>
        <w:pStyle w:val="Heading2"/>
      </w:pPr>
      <w:r>
        <w:t>8.2 TextTheme üretimi</w:t>
      </w:r>
    </w:p>
    <w:p>
      <w:pPr>
        <w:keepNext/>
        <w:spacing w:before="100" w:after="40"/>
      </w:pPr>
      <w:r>
        <w:rPr>
          <w:rFonts w:ascii="Arial" w:hAnsi="Arial" w:eastAsia="Arial"/>
          <w:b/>
          <w:color w:val="11B8DD"/>
          <w:sz w:val="16"/>
        </w:rPr>
        <w:t>DART — APEXTYPOGRAPHY SINIFINA EKLENECEK</w:t>
      </w:r>
    </w:p>
    <w:p>
      <w:pPr>
        <w:keepLines/>
        <w:spacing w:before="0" w:after="200" w:line="240" w:lineRule="auto"/>
        <w:ind w:left="173" w:right="115"/>
        <w:shd w:fill="0D1B28"/>
        <w:pBdr>
          <w:left w:val="single" w:sz="16" w:space="8" w:color="11B8DD"/>
        </w:pBdr>
      </w:pPr>
      <w:r>
        <w:rPr>
          <w:rFonts w:ascii="Courier New" w:hAnsi="Courier New" w:eastAsia="Courier New"/>
          <w:color w:val="E8EDF2"/>
          <w:sz w:val="16"/>
        </w:rPr>
        <w:t>static TextTheme textTheme({</w:t>
        <w:br/>
        <w:t xml:space="preserve">  required Color primary,</w:t>
        <w:br/>
        <w:t xml:space="preserve">  required Color secondary,</w:t>
        <w:br/>
        <w:t>}) {</w:t>
        <w:br/>
        <w:t xml:space="preserve">  return TextTheme(</w:t>
        <w:br/>
        <w:t xml:space="preserve">    headlineLarge: _sans(</w:t>
        <w:br/>
        <w:t xml:space="preserve">      size: 30, weight: 650, height: 1.10,</w:t>
        <w:br/>
        <w:t xml:space="preserve">      tracking: -.5, color: primary,</w:t>
        <w:br/>
        <w:t xml:space="preserve">    ),</w:t>
        <w:br/>
        <w:t xml:space="preserve">    headlineMedium: _sans(</w:t>
        <w:br/>
        <w:t xml:space="preserve">      size: 24, weight: 600, height: 1.17,</w:t>
        <w:br/>
        <w:t xml:space="preserve">      tracking: -.3, color: primary,</w:t>
        <w:br/>
        <w:t xml:space="preserve">    ),</w:t>
        <w:br/>
        <w:t xml:space="preserve">    titleLarge: _sans(</w:t>
        <w:br/>
        <w:t xml:space="preserve">      size: 20, weight: 600, height: 1.20,</w:t>
        <w:br/>
        <w:t xml:space="preserve">      tracking: -.2, color: primary,</w:t>
        <w:br/>
        <w:t xml:space="preserve">    ),</w:t>
        <w:br/>
        <w:t xml:space="preserve">    titleMedium: _sans(</w:t>
        <w:br/>
        <w:t xml:space="preserve">      size: 17, weight: 600, height: 1.29,</w:t>
        <w:br/>
        <w:t xml:space="preserve">      tracking: -.1, color: primary,</w:t>
        <w:br/>
        <w:t xml:space="preserve">    ),</w:t>
        <w:br/>
        <w:t xml:space="preserve">    bodyLarge: _sans(</w:t>
        <w:br/>
        <w:t xml:space="preserve">      size: 16, weight: 400, height: 1.50,</w:t>
        <w:br/>
        <w:t xml:space="preserve">      tracking: 0, color: primary,</w:t>
        <w:br/>
        <w:t xml:space="preserve">    ),</w:t>
        <w:br/>
        <w:t xml:space="preserve">    bodyMedium: _sans(</w:t>
        <w:br/>
        <w:t xml:space="preserve">      size: 14, weight: 400, height: 1.43,</w:t>
        <w:br/>
        <w:t xml:space="preserve">      tracking: 0, color: secondary,</w:t>
        <w:br/>
        <w:t xml:space="preserve">    ),</w:t>
        <w:br/>
        <w:t xml:space="preserve">    labelLarge: _sans(</w:t>
        <w:br/>
        <w:t xml:space="preserve">      size: 15, weight: 600, height: 1.33,</w:t>
        <w:br/>
        <w:t xml:space="preserve">      tracking: .1, color: primary,</w:t>
        <w:br/>
        <w:t xml:space="preserve">    ),</w:t>
        <w:br/>
        <w:t xml:space="preserve">    labelMedium: _sans(</w:t>
        <w:br/>
        <w:t xml:space="preserve">      size: 12, weight: 500, height: 1.33,</w:t>
        <w:br/>
        <w:t xml:space="preserve">      tracking: .3, color: secondary,</w:t>
        <w:br/>
        <w:t xml:space="preserve">    ),</w:t>
        <w:br/>
        <w:t xml:space="preserve">    bodySmall: _sans(</w:t>
        <w:br/>
        <w:t xml:space="preserve">      size: 11, weight: 500, height: 1.36,</w:t>
        <w:br/>
        <w:t xml:space="preserve">      tracking: .2, color: secondary,</w:t>
        <w:br/>
        <w:t xml:space="preserve">    ),</w:t>
        <w:br/>
        <w:t xml:space="preserve">  );</w:t>
        <w:br/>
        <w:t>}</w:t>
      </w:r>
    </w:p>
    <w:p>
      <w:pPr>
        <w:pStyle w:val="Heading2"/>
      </w:pPr>
      <w:r>
        <w:t>8.3 apex_theme.dart</w:t>
      </w:r>
    </w:p>
    <w:p>
      <w:pPr>
        <w:keepNext/>
        <w:spacing w:before="100" w:after="40"/>
      </w:pPr>
      <w:r>
        <w:rPr>
          <w:rFonts w:ascii="Arial" w:hAnsi="Arial" w:eastAsia="Arial"/>
          <w:b/>
          <w:color w:val="11B8DD"/>
          <w:sz w:val="16"/>
        </w:rPr>
        <w:t>DART</w:t>
      </w:r>
    </w:p>
    <w:p>
      <w:pPr>
        <w:keepLines/>
        <w:spacing w:before="0" w:after="200" w:line="240" w:lineRule="auto"/>
        <w:ind w:left="173" w:right="115"/>
        <w:shd w:fill="0D1B28"/>
        <w:pBdr>
          <w:left w:val="single" w:sz="16" w:space="8" w:color="11B8DD"/>
        </w:pBdr>
      </w:pPr>
      <w:r>
        <w:rPr>
          <w:rFonts w:ascii="Courier New" w:hAnsi="Courier New" w:eastAsia="Courier New"/>
          <w:color w:val="E8EDF2"/>
          <w:sz w:val="16"/>
        </w:rPr>
        <w:t>import 'package:flutter/material.dart';</w:t>
        <w:br/>
        <w:t>import 'apex_typography.dart';</w:t>
        <w:br/>
        <w:br/>
        <w:t>abstract final class ApexTheme {</w:t>
        <w:br/>
        <w:t xml:space="preserve">  static const Color navy = Color(0xFF08131F);</w:t>
        <w:br/>
        <w:t xml:space="preserve">  static const Color cyan = Color(0xFF11B8DD);</w:t>
        <w:br/>
        <w:t xml:space="preserve">  static const Color orange = Color(0xFFF47A24);</w:t>
        <w:br/>
        <w:t xml:space="preserve">  static const Color titanium = Color(0xFFE8EDF2);</w:t>
        <w:br/>
        <w:br/>
        <w:t xml:space="preserve">  static ThemeData dark() {</w:t>
        <w:br/>
        <w:t xml:space="preserve">    final secondary = titanium.withValues(alpha: .70);</w:t>
        <w:br/>
        <w:t xml:space="preserve">    return ThemeData(</w:t>
        <w:br/>
        <w:t xml:space="preserve">      useMaterial3: true,</w:t>
        <w:br/>
        <w:t xml:space="preserve">      brightness: Brightness.dark,</w:t>
        <w:br/>
        <w:t xml:space="preserve">      scaffoldBackgroundColor: navy,</w:t>
        <w:br/>
        <w:t xml:space="preserve">      fontFamily: ApexTypography.sans,</w:t>
        <w:br/>
        <w:t xml:space="preserve">      colorScheme: const ColorScheme.dark(</w:t>
        <w:br/>
        <w:t xml:space="preserve">        primary: cyan,</w:t>
        <w:br/>
        <w:t xml:space="preserve">        secondary: Color(0xFF48D4E8),</w:t>
        <w:br/>
        <w:t xml:space="preserve">        tertiary: orange,</w:t>
        <w:br/>
        <w:t xml:space="preserve">        surface: navy,</w:t>
        <w:br/>
        <w:t xml:space="preserve">        onSurface: titanium,</w:t>
        <w:br/>
        <w:t xml:space="preserve">      ),</w:t>
        <w:br/>
        <w:t xml:space="preserve">      textTheme: ApexTypography.textTheme(</w:t>
        <w:br/>
        <w:t xml:space="preserve">        primary: titanium,</w:t>
        <w:br/>
        <w:t xml:space="preserve">        secondary: secondary,</w:t>
        <w:br/>
        <w:t xml:space="preserve">      ),</w:t>
        <w:br/>
        <w:t xml:space="preserve">    );</w:t>
        <w:br/>
        <w:t xml:space="preserve">  }</w:t>
        <w:br/>
        <w:t>}</w:t>
      </w:r>
    </w:p>
    <w:p>
      <w:pPr>
        <w:keepLines/>
        <w:spacing w:before="100" w:after="200" w:line="288" w:lineRule="auto"/>
        <w:ind w:left="173" w:right="115"/>
        <w:shd w:fill="E9F8FC"/>
        <w:pBdr>
          <w:left w:val="single" w:sz="22" w:space="10" w:color="11B8DD"/>
        </w:pBdr>
      </w:pPr>
      <w:r>
        <w:rPr>
          <w:rFonts w:ascii="Arial" w:hAnsi="Arial" w:eastAsia="Arial"/>
          <w:b/>
          <w:color w:val="08131F"/>
          <w:sz w:val="18"/>
        </w:rPr>
        <w:t xml:space="preserve">UYUMLULUK  </w:t>
      </w:r>
      <w:r>
        <w:rPr>
          <w:rFonts w:ascii="Arial" w:hAnsi="Arial" w:eastAsia="Arial"/>
          <w:color w:val="152230"/>
          <w:sz w:val="20"/>
        </w:rPr>
        <w:t>withValues(alpha:) mevcut Flutter sürümünde yoksa aynı davranış withOpacity() ile uygulanabilir. Antigravity sürüm uyumluluğunu analiz etmeden toplu API değişikliği yapmamalıdır.</w:t>
      </w:r>
    </w:p>
    <w:p>
      <w:pPr>
        <w:pStyle w:val="Heading2"/>
      </w:pPr>
      <w:r>
        <w:t>8.4 Bileşen örneği</w:t>
      </w:r>
    </w:p>
    <w:p>
      <w:pPr>
        <w:keepNext/>
        <w:spacing w:before="100" w:after="40"/>
      </w:pPr>
      <w:r>
        <w:rPr>
          <w:rFonts w:ascii="Arial" w:hAnsi="Arial" w:eastAsia="Arial"/>
          <w:b/>
          <w:color w:val="11B8DD"/>
          <w:sz w:val="16"/>
        </w:rPr>
        <w:t>DART</w:t>
      </w:r>
    </w:p>
    <w:p>
      <w:pPr>
        <w:keepLines/>
        <w:spacing w:before="0" w:after="200" w:line="240" w:lineRule="auto"/>
        <w:ind w:left="173" w:right="115"/>
        <w:shd w:fill="0D1B28"/>
        <w:pBdr>
          <w:left w:val="single" w:sz="16" w:space="8" w:color="11B8DD"/>
        </w:pBdr>
      </w:pPr>
      <w:r>
        <w:rPr>
          <w:rFonts w:ascii="Courier New" w:hAnsi="Courier New" w:eastAsia="Courier New"/>
          <w:color w:val="E8EDF2"/>
          <w:sz w:val="16"/>
        </w:rPr>
        <w:t>Text.rich(</w:t>
        <w:br/>
        <w:t xml:space="preserve">  TextSpan(</w:t>
        <w:br/>
        <w:t xml:space="preserve">    children: &lt;InlineSpan&gt;[</w:t>
        <w:br/>
        <w:t xml:space="preserve">      TextSpan(</w:t>
        <w:br/>
        <w:t xml:space="preserve">        text: maxSpeed.toStringAsFixed(0),</w:t>
        <w:br/>
        <w:t xml:space="preserve">        style: ApexTypography.telemetryHero(</w:t>
        <w:br/>
        <w:t xml:space="preserve">          ApexTheme.titanium,</w:t>
        <w:br/>
        <w:t xml:space="preserve">        ),</w:t>
        <w:br/>
        <w:t xml:space="preserve">      ),</w:t>
        <w:br/>
        <w:t xml:space="preserve">      TextSpan(</w:t>
        <w:br/>
        <w:t xml:space="preserve">        text: ' ${l10n.kilometersPerHour}',</w:t>
        <w:br/>
        <w:t xml:space="preserve">        style: Theme.of(context).textTheme.bodySmall,</w:t>
        <w:br/>
        <w:t xml:space="preserve">      ),</w:t>
        <w:br/>
        <w:t xml:space="preserve">    ],</w:t>
        <w:br/>
        <w:t xml:space="preserve">  ),</w:t>
        <w:br/>
        <w:t xml:space="preserve">  maxLines: 1,</w:t>
        <w:br/>
        <w:t xml:space="preserve">  overflow: TextOverflow.fade,</w:t>
        <w:br/>
        <w:t>)</w:t>
      </w:r>
    </w:p>
    <w:p>
      <w:pPr>
        <w:pStyle w:val="Heading1"/>
      </w:pPr>
      <w:r>
        <w:t>9. Erişilebilirlik ve adaptif davranış</w:t>
      </w:r>
    </w:p>
    <w:p>
      <w:pPr>
        <w:pStyle w:val="Heading2"/>
      </w:pPr>
      <w:r>
        <w:t>9.1 Yazı ölçeği</w:t>
      </w:r>
    </w:p>
    <w:p>
      <w:pPr>
        <w:spacing w:after="120" w:line="300" w:lineRule="auto"/>
      </w:pPr>
      <w:r>
        <w:rPr>
          <w:rFonts w:ascii="Arial" w:hAnsi="Arial" w:eastAsia="Arial"/>
          <w:i w:val="0"/>
          <w:color w:val="152230"/>
          <w:sz w:val="21"/>
        </w:rPr>
        <w:t>Android 14 doğrusal olmayan font scaling yaklaşımı 200% seviyesine kadar kullanıcı ayarını etkileyebilir. Apex Flow kullanıcı yazı ölçeğini kapatmamalı, TextScaler.noScaling kullanmamalı ve küçük ekranlarda sabit yükseklikli metin kutularından kaçınmalıdır.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Test seviyeleri: 100%, 130%, 160% ve 200%.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Test genişlikleri: 320 dp, 360 dp, 412 dp ve tablet 600 dp.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Kart yüksekliği içerikten türemeli; fixed height yalnız kanıtlanmış özel bileşenlerde kullanılmalıdır.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Uzun metinler kırpılmamalı; başlıklar gerekli olduğunda iki satıra çıkabilmelidir.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Kritik CTA yalnız ikonla verilmemeli; erişilebilir metin etiketi bulunmalıdır.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Renk, durum bilgisinin tek taşıyıcısı olmamalıdır.</w:t>
      </w:r>
    </w:p>
    <w:p>
      <w:pPr>
        <w:pStyle w:val="Heading2"/>
      </w:pPr>
      <w:r>
        <w:t>9.2 Kontrast ve karanlık arayüz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Normal gövde metni için kontrast en az WCAG AA düzeyinde tutulmalıdır.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Muted metin opaklığı görsel olarak güzel görünse bile okunabilirlik testinden geçmiyorsa yükseltilmelidir.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Cyan metin uzun paragraf rengi olarak kullanılmamalıdır; vurgu ve durum rengi olmalıdır.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Turuncu küçük metinde yalnız yeterli kontrast sağlayan yüzeyde kullanılmalıdır.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Dinamik güneş ışığı koşulları nedeniyle gerçek motosiklet sürüşünde dış mekân okunabilirliği ayrıca test edilmelidir.</w:t>
      </w:r>
    </w:p>
    <w:p>
      <w:pPr>
        <w:pStyle w:val="Heading2"/>
      </w:pPr>
      <w:r>
        <w:t>9.3 Dil ve glyph doğrulama metni</w:t>
      </w:r>
    </w:p>
    <w:p>
      <w:pPr>
        <w:keepNext/>
        <w:spacing w:before="100" w:after="40"/>
      </w:pPr>
      <w:r>
        <w:rPr>
          <w:rFonts w:ascii="Arial" w:hAnsi="Arial" w:eastAsia="Arial"/>
          <w:b/>
          <w:color w:val="11B8DD"/>
          <w:sz w:val="16"/>
        </w:rPr>
        <w:t>QA SAMPLE</w:t>
      </w:r>
    </w:p>
    <w:p>
      <w:pPr>
        <w:keepLines/>
        <w:spacing w:before="0" w:after="200" w:line="240" w:lineRule="auto"/>
        <w:ind w:left="173" w:right="115"/>
        <w:shd w:fill="0D1B28"/>
        <w:pBdr>
          <w:left w:val="single" w:sz="16" w:space="8" w:color="11B8DD"/>
        </w:pBdr>
      </w:pPr>
      <w:r>
        <w:rPr>
          <w:rFonts w:ascii="Courier New" w:hAnsi="Courier New" w:eastAsia="Courier New"/>
          <w:color w:val="E8EDF2"/>
          <w:sz w:val="16"/>
        </w:rPr>
        <w:t>TR: ÇĞİÖŞÜ çğıöşü — Sürüş özeti, doğrulanmış maksimum hız</w:t>
        <w:br/>
        <w:t>EN: Ride summary, verified maximum speed</w:t>
        <w:br/>
        <w:t>DE: Höchstgeschwindigkeit, Straße, Größe, Überprüfung</w:t>
        <w:br/>
        <w:t>NUM: 0 1 2 3 4 5 6 7 8 9  •  00:00  •  188,8 km/sa</w:t>
      </w:r>
    </w:p>
    <w:p>
      <w:pPr>
        <w:pStyle w:val="Heading1"/>
      </w:pPr>
      <w:r>
        <w:t>10. Migrasyon planı</w:t>
      </w:r>
    </w:p>
    <w:p>
      <w:pPr>
        <w:pStyle w:val="Heading2"/>
      </w:pPr>
      <w:r>
        <w:t>10.1 Antigravity uygulama sırası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Arial" w:hAnsi="Arial" w:eastAsia="Arial"/>
          <w:b/>
          <w:color w:val="152230"/>
          <w:sz w:val="20"/>
        </w:rPr>
        <w:t>Envanter çıkar:</w:t>
      </w:r>
      <w:r>
        <w:rPr>
          <w:rFonts w:ascii="Arial" w:hAnsi="Arial" w:eastAsia="Arial"/>
          <w:color w:val="152230"/>
          <w:sz w:val="20"/>
        </w:rPr>
        <w:t xml:space="preserve"> Projede kullanılan ThemeData, TextTheme, TextStyle, GoogleFonts ve doğrudan fontFamily çağrılarını bul.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Arial" w:hAnsi="Arial" w:eastAsia="Arial"/>
          <w:b/>
          <w:color w:val="152230"/>
          <w:sz w:val="20"/>
        </w:rPr>
        <w:t>Mevcut davranışı koru:</w:t>
      </w:r>
      <w:r>
        <w:rPr>
          <w:rFonts w:ascii="Arial" w:hAnsi="Arial" w:eastAsia="Arial"/>
          <w:color w:val="152230"/>
          <w:sz w:val="20"/>
        </w:rPr>
        <w:t xml:space="preserve"> Önce ekran görüntüsü/golden referansları al; özellik veya layout mantığını değiştirme.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Arial" w:hAnsi="Arial" w:eastAsia="Arial"/>
          <w:b/>
          <w:color w:val="152230"/>
          <w:sz w:val="20"/>
        </w:rPr>
        <w:t>Assetleri ekle:</w:t>
      </w:r>
      <w:r>
        <w:rPr>
          <w:rFonts w:ascii="Arial" w:hAnsi="Arial" w:eastAsia="Arial"/>
          <w:color w:val="152230"/>
          <w:sz w:val="20"/>
        </w:rPr>
        <w:t xml:space="preserve"> Yalnız resmî Geist fontlarını ve OFL lisansını yerel assetlere yerleştir.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Arial" w:hAnsi="Arial" w:eastAsia="Arial"/>
          <w:b/>
          <w:color w:val="152230"/>
          <w:sz w:val="20"/>
        </w:rPr>
        <w:t>Token katmanını kur:</w:t>
      </w:r>
      <w:r>
        <w:rPr>
          <w:rFonts w:ascii="Arial" w:hAnsi="Arial" w:eastAsia="Arial"/>
          <w:color w:val="152230"/>
          <w:sz w:val="20"/>
        </w:rPr>
        <w:t xml:space="preserve"> ApexTypography ve ApexTheme sınıflarını ekle; mevcut renk sistemine kontrollü bağla.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Arial" w:hAnsi="Arial" w:eastAsia="Arial"/>
          <w:b/>
          <w:color w:val="152230"/>
          <w:sz w:val="20"/>
        </w:rPr>
        <w:t>Kritik ekran pilotu:</w:t>
      </w:r>
      <w:r>
        <w:rPr>
          <w:rFonts w:ascii="Arial" w:hAnsi="Arial" w:eastAsia="Arial"/>
          <w:color w:val="152230"/>
          <w:sz w:val="20"/>
        </w:rPr>
        <w:t xml:space="preserve"> Dashboard, sürüş özeti ve telemetri kartlarında yeni sistemi uygula.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Arial" w:hAnsi="Arial" w:eastAsia="Arial"/>
          <w:b/>
          <w:color w:val="152230"/>
          <w:sz w:val="20"/>
        </w:rPr>
        <w:t>Bileşen migrasyonu:</w:t>
      </w:r>
      <w:r>
        <w:rPr>
          <w:rFonts w:ascii="Arial" w:hAnsi="Arial" w:eastAsia="Arial"/>
          <w:color w:val="152230"/>
          <w:sz w:val="20"/>
        </w:rPr>
        <w:t xml:space="preserve"> Buton, kart, rozet, achievement, profil ve ayarlar ekranlarını sırayla taşı.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Arial" w:hAnsi="Arial" w:eastAsia="Arial"/>
          <w:b/>
          <w:color w:val="152230"/>
          <w:sz w:val="20"/>
        </w:rPr>
        <w:t>Hardcoded stilleri temizle:</w:t>
      </w:r>
      <w:r>
        <w:rPr>
          <w:rFonts w:ascii="Arial" w:hAnsi="Arial" w:eastAsia="Arial"/>
          <w:color w:val="152230"/>
          <w:sz w:val="20"/>
        </w:rPr>
        <w:t xml:space="preserve"> Eşdeğer token bulunan tüm dağınık TextStyle tanımlarını kaldır.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Arial" w:hAnsi="Arial" w:eastAsia="Arial"/>
          <w:b/>
          <w:color w:val="152230"/>
          <w:sz w:val="20"/>
        </w:rPr>
        <w:t>Lokalizasyon testi:</w:t>
      </w:r>
      <w:r>
        <w:rPr>
          <w:rFonts w:ascii="Arial" w:hAnsi="Arial" w:eastAsia="Arial"/>
          <w:color w:val="152230"/>
          <w:sz w:val="20"/>
        </w:rPr>
        <w:t xml:space="preserve"> TR/EN/DE glyph, satır kırılımı ve sayı formatlarını doğrula.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Arial" w:hAnsi="Arial" w:eastAsia="Arial"/>
          <w:b/>
          <w:color w:val="152230"/>
          <w:sz w:val="20"/>
        </w:rPr>
        <w:t>Erişilebilirlik testi:</w:t>
      </w:r>
      <w:r>
        <w:rPr>
          <w:rFonts w:ascii="Arial" w:hAnsi="Arial" w:eastAsia="Arial"/>
          <w:color w:val="152230"/>
          <w:sz w:val="20"/>
        </w:rPr>
        <w:t xml:space="preserve"> 200% text scaling ve küçük ekran testlerini çalıştır.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Arial" w:hAnsi="Arial" w:eastAsia="Arial"/>
          <w:b/>
          <w:color w:val="152230"/>
          <w:sz w:val="20"/>
        </w:rPr>
        <w:t>Release doğrulaması:</w:t>
      </w:r>
      <w:r>
        <w:rPr>
          <w:rFonts w:ascii="Arial" w:hAnsi="Arial" w:eastAsia="Arial"/>
          <w:color w:val="152230"/>
          <w:sz w:val="20"/>
        </w:rPr>
        <w:t xml:space="preserve"> Offline açılış, release AAB/APK asseti, performans ve görsel regresyonu doğrula.</w:t>
      </w:r>
    </w:p>
    <w:p>
      <w:pPr>
        <w:pStyle w:val="Heading2"/>
      </w:pPr>
      <w:r>
        <w:t>10.2 Güvenli migrasyon kuralları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Toplu search/replace ile bütün fontSize değerlerini körlemesine değiştirme.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Mevcut ekranın iş mantığını, state yönetimini veya veri modellerini tipografi görevi kapsamında değiştirme.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Kullanıcının mevcut erişilebilirlik ayarlarını override etme.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ThemeData güncellemesinden sonra modal, dialog, snackbar ve sistem sayfalarını ayrıca kontrol et.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Mevcut kullanıcı değişikliklerini ve alakasız dosyaları geri alma.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Her faz sonunda flutter analyze ve ilgili testleri çalıştır.</w:t>
      </w:r>
    </w:p>
    <w:p>
      <w:pPr>
        <w:pStyle w:val="Heading1"/>
      </w:pPr>
      <w:r>
        <w:t>11. QA matrisi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100"/>
        <w:gridCol w:w="4360"/>
      </w:tblGrid>
      <w:tr>
        <w:trPr>
          <w:tblHeader w:val="true"/>
        </w:trPr>
        <w:tc>
          <w:tcPr>
            <w:tcW w:type="dxa" w:w="1900"/>
            <w:shd w:fill="08131F"/>
            <w:tcBorders>
              <w:top w:val="single" w:sz="6" w:color="08131F"/>
              <w:left w:val="single" w:sz="6" w:color="08131F"/>
              <w:bottom w:val="single" w:sz="6" w:color="08131F"/>
              <w:right w:val="single" w:sz="6" w:color="08131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Test alanı</w:t>
            </w:r>
          </w:p>
        </w:tc>
        <w:tc>
          <w:tcPr>
            <w:tcW w:type="dxa" w:w="3100"/>
            <w:shd w:fill="08131F"/>
            <w:tcBorders>
              <w:top w:val="single" w:sz="6" w:color="08131F"/>
              <w:left w:val="single" w:sz="6" w:color="08131F"/>
              <w:bottom w:val="single" w:sz="6" w:color="08131F"/>
              <w:right w:val="single" w:sz="6" w:color="08131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Senaryo</w:t>
            </w:r>
          </w:p>
        </w:tc>
        <w:tc>
          <w:tcPr>
            <w:tcW w:type="dxa" w:w="4360"/>
            <w:shd w:fill="08131F"/>
            <w:tcBorders>
              <w:top w:val="single" w:sz="6" w:color="08131F"/>
              <w:left w:val="single" w:sz="6" w:color="08131F"/>
              <w:bottom w:val="single" w:sz="6" w:color="08131F"/>
              <w:right w:val="single" w:sz="6" w:color="08131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Beklenen sonuç</w:t>
            </w:r>
          </w:p>
        </w:tc>
      </w:tr>
      <w:tr>
        <w:tc>
          <w:tcPr>
            <w:tcW w:type="dxa" w:w="19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6"/>
              </w:rPr>
              <w:t>Asset</w:t>
            </w:r>
          </w:p>
        </w:tc>
        <w:tc>
          <w:tcPr>
            <w:tcW w:type="dxa" w:w="31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6"/>
              </w:rPr>
              <w:t>Uçak modunda ilk açılış</w:t>
            </w:r>
          </w:p>
        </w:tc>
        <w:tc>
          <w:tcPr>
            <w:tcW w:type="dxa" w:w="436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6"/>
              </w:rPr>
              <w:t>Geist fontu fallback olmadan yüklenir.</w:t>
            </w:r>
          </w:p>
        </w:tc>
      </w:tr>
      <w:tr>
        <w:tc>
          <w:tcPr>
            <w:tcW w:type="dxa" w:w="19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6"/>
              </w:rPr>
              <w:t>Türkçe</w:t>
            </w:r>
          </w:p>
        </w:tc>
        <w:tc>
          <w:tcPr>
            <w:tcW w:type="dxa" w:w="31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6"/>
              </w:rPr>
              <w:t>ÇĞİÖŞÜ çğıöşü</w:t>
            </w:r>
          </w:p>
        </w:tc>
        <w:tc>
          <w:tcPr>
            <w:tcW w:type="dxa" w:w="436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6"/>
              </w:rPr>
              <w:t>Eksik glyph veya sistem fontuna geçiş yoktur.</w:t>
            </w:r>
          </w:p>
        </w:tc>
      </w:tr>
      <w:tr>
        <w:tc>
          <w:tcPr>
            <w:tcW w:type="dxa" w:w="19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6"/>
              </w:rPr>
              <w:t>Almanca</w:t>
            </w:r>
          </w:p>
        </w:tc>
        <w:tc>
          <w:tcPr>
            <w:tcW w:type="dxa" w:w="31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6"/>
              </w:rPr>
              <w:t>Höchstgeschwindigkeit</w:t>
            </w:r>
          </w:p>
        </w:tc>
        <w:tc>
          <w:tcPr>
            <w:tcW w:type="dxa" w:w="436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6"/>
              </w:rPr>
              <w:t>Kart kırpılmaz; uygun şekilde sarar.</w:t>
            </w:r>
          </w:p>
        </w:tc>
      </w:tr>
      <w:tr>
        <w:tc>
          <w:tcPr>
            <w:tcW w:type="dxa" w:w="19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6"/>
              </w:rPr>
              <w:t>Telemetri</w:t>
            </w:r>
          </w:p>
        </w:tc>
        <w:tc>
          <w:tcPr>
            <w:tcW w:type="dxa" w:w="31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6"/>
              </w:rPr>
              <w:t>1→8→100 değeri değişimi</w:t>
            </w:r>
          </w:p>
        </w:tc>
        <w:tc>
          <w:tcPr>
            <w:tcW w:type="dxa" w:w="436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6"/>
              </w:rPr>
              <w:t>Kart genişliği ve baseline oynamaz.</w:t>
            </w:r>
          </w:p>
        </w:tc>
      </w:tr>
      <w:tr>
        <w:tc>
          <w:tcPr>
            <w:tcW w:type="dxa" w:w="19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6"/>
              </w:rPr>
              <w:t>Yazı ölçeği</w:t>
            </w:r>
          </w:p>
        </w:tc>
        <w:tc>
          <w:tcPr>
            <w:tcW w:type="dxa" w:w="31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6"/>
              </w:rPr>
              <w:t>200% sistem fontu</w:t>
            </w:r>
          </w:p>
        </w:tc>
        <w:tc>
          <w:tcPr>
            <w:tcW w:type="dxa" w:w="436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6"/>
              </w:rPr>
              <w:t>Kritik içerik kaybolmaz; CTA erişilebilir kalır.</w:t>
            </w:r>
          </w:p>
        </w:tc>
      </w:tr>
      <w:tr>
        <w:tc>
          <w:tcPr>
            <w:tcW w:type="dxa" w:w="19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6"/>
              </w:rPr>
              <w:t>Küçük ekran</w:t>
            </w:r>
          </w:p>
        </w:tc>
        <w:tc>
          <w:tcPr>
            <w:tcW w:type="dxa" w:w="31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6"/>
              </w:rPr>
              <w:t>320 dp genişlik</w:t>
            </w:r>
          </w:p>
        </w:tc>
        <w:tc>
          <w:tcPr>
            <w:tcW w:type="dxa" w:w="436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6"/>
              </w:rPr>
              <w:t>Taşma, sarı overflow şeridi veya kesik metin yoktur.</w:t>
            </w:r>
          </w:p>
        </w:tc>
      </w:tr>
      <w:tr>
        <w:tc>
          <w:tcPr>
            <w:tcW w:type="dxa" w:w="19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6"/>
              </w:rPr>
              <w:t>Güneş ışığı</w:t>
            </w:r>
          </w:p>
        </w:tc>
        <w:tc>
          <w:tcPr>
            <w:tcW w:type="dxa" w:w="31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6"/>
              </w:rPr>
              <w:t>Yüksek ekran parlaklığı / dış ortam</w:t>
            </w:r>
          </w:p>
        </w:tc>
        <w:tc>
          <w:tcPr>
            <w:tcW w:type="dxa" w:w="436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6"/>
              </w:rPr>
              <w:t>Ana veri ve CTA rahat okunur.</w:t>
            </w:r>
          </w:p>
        </w:tc>
      </w:tr>
      <w:tr>
        <w:tc>
          <w:tcPr>
            <w:tcW w:type="dxa" w:w="19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6"/>
              </w:rPr>
              <w:t>Tema</w:t>
            </w:r>
          </w:p>
        </w:tc>
        <w:tc>
          <w:tcPr>
            <w:tcW w:type="dxa" w:w="31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6"/>
              </w:rPr>
              <w:t>Dark theme tüm modal ve sheet’ler</w:t>
            </w:r>
          </w:p>
        </w:tc>
        <w:tc>
          <w:tcPr>
            <w:tcW w:type="dxa" w:w="436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6"/>
              </w:rPr>
              <w:t>Fallback beyaz/siyah veya yanlış font görünmez.</w:t>
            </w:r>
          </w:p>
        </w:tc>
      </w:tr>
      <w:tr>
        <w:tc>
          <w:tcPr>
            <w:tcW w:type="dxa" w:w="19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6"/>
              </w:rPr>
              <w:t>Release</w:t>
            </w:r>
          </w:p>
        </w:tc>
        <w:tc>
          <w:tcPr>
            <w:tcW w:type="dxa" w:w="31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6"/>
              </w:rPr>
              <w:t>Release AAB/APK</w:t>
            </w:r>
          </w:p>
        </w:tc>
        <w:tc>
          <w:tcPr>
            <w:tcW w:type="dxa" w:w="436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6"/>
              </w:rPr>
              <w:t>Font dosyaları paket içinde ve lisans bildirimi görünürdür.</w:t>
            </w:r>
          </w:p>
        </w:tc>
      </w:tr>
      <w:tr>
        <w:tc>
          <w:tcPr>
            <w:tcW w:type="dxa" w:w="19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6"/>
              </w:rPr>
              <w:t>Performans</w:t>
            </w:r>
          </w:p>
        </w:tc>
        <w:tc>
          <w:tcPr>
            <w:tcW w:type="dxa" w:w="31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6"/>
              </w:rPr>
              <w:t>Cold start ve ekran geçişi</w:t>
            </w:r>
          </w:p>
        </w:tc>
        <w:tc>
          <w:tcPr>
            <w:tcW w:type="dxa" w:w="436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6"/>
              </w:rPr>
              <w:t>Font yüzünden ağ isteği veya belirgin jank oluşmaz.</w:t>
            </w:r>
          </w:p>
        </w:tc>
      </w:tr>
      <w:tr>
        <w:tc>
          <w:tcPr>
            <w:tcW w:type="dxa" w:w="19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6"/>
              </w:rPr>
              <w:t>Snapshot</w:t>
            </w:r>
          </w:p>
        </w:tc>
        <w:tc>
          <w:tcPr>
            <w:tcW w:type="dxa" w:w="310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6"/>
              </w:rPr>
              <w:t>Kritik ekran golden testi</w:t>
            </w:r>
          </w:p>
        </w:tc>
        <w:tc>
          <w:tcPr>
            <w:tcW w:type="dxa" w:w="4360"/>
            <w:shd w:fill="FFFFFF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6"/>
              </w:rPr>
              <w:t>Onaylı referans dışında beklenmeyen fark yoktur.</w:t>
            </w:r>
          </w:p>
        </w:tc>
      </w:tr>
      <w:tr>
        <w:tc>
          <w:tcPr>
            <w:tcW w:type="dxa" w:w="19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6"/>
              </w:rPr>
              <w:t>Semantics</w:t>
            </w:r>
          </w:p>
        </w:tc>
        <w:tc>
          <w:tcPr>
            <w:tcW w:type="dxa" w:w="310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6"/>
              </w:rPr>
              <w:t>TalkBack gezinmesi</w:t>
            </w:r>
          </w:p>
        </w:tc>
        <w:tc>
          <w:tcPr>
            <w:tcW w:type="dxa" w:w="4360"/>
            <w:shd w:fill="F3F7F9"/>
            <w:tcBorders>
              <w:top w:val="single" w:sz="4" w:color="CAD6DD"/>
              <w:left w:val="single" w:sz="4" w:color="CAD6DD"/>
              <w:bottom w:val="single" w:sz="4" w:color="CAD6DD"/>
              <w:right w:val="single" w:sz="4" w:color="CAD6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152230"/>
                <w:sz w:val="16"/>
              </w:rPr>
              <w:t>Metin rolleri ve buton etiketleri anlamlıdır.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11.1 Telemetri sayı test seti</w:t>
      </w:r>
    </w:p>
    <w:p>
      <w:pPr>
        <w:keepNext/>
        <w:spacing w:before="100" w:after="40"/>
      </w:pPr>
      <w:r>
        <w:rPr>
          <w:rFonts w:ascii="Arial" w:hAnsi="Arial" w:eastAsia="Arial"/>
          <w:b/>
          <w:color w:val="11B8DD"/>
          <w:sz w:val="16"/>
        </w:rPr>
        <w:t>VISUAL REGRESSION INPUT</w:t>
      </w:r>
    </w:p>
    <w:p>
      <w:pPr>
        <w:keepLines/>
        <w:spacing w:before="0" w:after="200" w:line="240" w:lineRule="auto"/>
        <w:ind w:left="173" w:right="115"/>
        <w:shd w:fill="0D1B28"/>
        <w:pBdr>
          <w:left w:val="single" w:sz="16" w:space="8" w:color="11B8DD"/>
        </w:pBdr>
      </w:pPr>
      <w:r>
        <w:rPr>
          <w:rFonts w:ascii="Courier New" w:hAnsi="Courier New" w:eastAsia="Courier New"/>
          <w:color w:val="E8EDF2"/>
          <w:sz w:val="16"/>
        </w:rPr>
        <w:t>0  •  1  •  7  •  8  •  9  •  10  •  88  •  100  •  188</w:t>
        <w:br/>
        <w:t>0,0  •  9,9  •  88,8  •  100,0  •  999,9</w:t>
        <w:br/>
        <w:t>00:00  •  01:09  •  11:11  •  23:59</w:t>
        <w:br/>
        <w:t>AFX-BUG-7F2K9  •  GPS  •  GNSS  •  OFFLINE</w:t>
      </w:r>
    </w:p>
    <w:p>
      <w:pPr>
        <w:pStyle w:val="Heading2"/>
      </w:pPr>
      <w:r>
        <w:t>11.2 Otomatik kontrol beklentileri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flutter analyze sıfır hata ile tamamlanmalıdır.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Mevcut unit/widget testleri başarısız olmamalıdır.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En az bir typography glyph widget testi eklenmelidir.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En az dashboard ve sürüş özeti için görsel regresyon/golden testi bulunmalıdır.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Kod tabanında google_fonts üzerinden ağ yükleme veya eski fontFamily kalıntısı raporlanmalıdır.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Aynı tipografik rol için birden fazla farklı TextStyle oluşmadığı statik taramayla kontrol edilmelidir.</w:t>
      </w:r>
    </w:p>
    <w:p>
      <w:pPr>
        <w:pStyle w:val="Heading1"/>
      </w:pPr>
      <w:r>
        <w:t>12. Kabul kriterleri</w:t>
      </w:r>
    </w:p>
    <w:p>
      <w:pPr>
        <w:pStyle w:val="Heading2"/>
      </w:pPr>
      <w:r>
        <w:t>12.1 Zorunlu kabul maddeleri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☐ Görünür marka adı bütün yeni/etkilenen metinlerde ‘Apex Flow’ şeklinde ayrı yazılmıştır.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☐ Geist Sans ve Geist Mono resmî kaynaktan alınmış ve projeye yerel olarak gömülmüştür.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☐ OFL lisansı projede ve uygulamanın lisans bildirimlerinde yer alır.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☐ Ana font Geist Sans’tır; Geist Mono yalnız tanımlanmış teknik rollerde kullanılır.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☐ Telemetri değerlerinde tabular figures aktif ve görsel olarak doğrulanmıştır.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☐ Tüm kritik metin stilleri merkezi token katmanından gelir.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☐ TR/EN/DE örnekleri fallback veya clipping olmadan görüntülenir.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☐ 200% text scaling testinde kritik görev akışları tamamlanabilir.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☐ Uçak modunda ilk açılışta font aynı görünür; ağ isteği yapılmaz.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☐ flutter analyze ve mevcut testler geçer.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☐ Dashboard, sürüş özeti, achievement ve ayarlar ekranları görsel QA’dan geçer.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☐ Tipografi değişikliği nedeniyle uygulama işlevi veya veri modeli değişmemiştir.</w:t>
      </w:r>
    </w:p>
    <w:p>
      <w:pPr>
        <w:pStyle w:val="Heading2"/>
      </w:pPr>
      <w:r>
        <w:t>12.2 Başarısız sayılacak durumlar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Fontun runtime’da internetten indirilmesi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Türkçe karakterlerde sistem fontuna fallback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Büyük telemetri değerlerinin Geist Mono ile terminal görünümüne dönüşmesi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Kartların 200% yazı ölçeğinde kırpılması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Aynı rol için ekrandan ekrana farklı ağırlık ve letterSpacing kullanılması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Sırf sığdırmak için kullanıcı font ölçeğinin kapatılması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GT America deneme veya lisanssız dosyasının üretime eklenmesi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Arial"/>
          <w:color w:val="152230"/>
          <w:sz w:val="20"/>
        </w:rPr>
        <w:t>Görünür metinde ‘ApexFlow’ birleşik yazımının yeni alanlarda sürdürülmesi</w:t>
      </w:r>
    </w:p>
    <w:p>
      <w:pPr>
        <w:pStyle w:val="Heading1"/>
      </w:pPr>
      <w:r>
        <w:t>13. Antigravity için nihai uygulama görevi</w:t>
      </w:r>
    </w:p>
    <w:p>
      <w:pPr>
        <w:keepLines/>
        <w:spacing w:before="100" w:after="200" w:line="288" w:lineRule="auto"/>
        <w:ind w:left="173" w:right="115"/>
        <w:shd w:fill="E9F8FC"/>
        <w:pBdr>
          <w:left w:val="single" w:sz="22" w:space="10" w:color="11B8DD"/>
        </w:pBdr>
      </w:pPr>
      <w:r>
        <w:rPr>
          <w:rFonts w:ascii="Arial" w:hAnsi="Arial" w:eastAsia="Arial"/>
          <w:b/>
          <w:color w:val="08131F"/>
          <w:sz w:val="18"/>
        </w:rPr>
        <w:t xml:space="preserve">KULLANIM  </w:t>
      </w:r>
      <w:r>
        <w:rPr>
          <w:rFonts w:ascii="Arial" w:hAnsi="Arial" w:eastAsia="Arial"/>
          <w:color w:val="152230"/>
          <w:sz w:val="20"/>
        </w:rPr>
        <w:t>Aşağıdaki görev metni bu Word belgesiyle birlikte Antigravity’ye verilebilir. Antigravity önce projeyi analiz etmeli, sonra değişiklikleri fazlar hâlinde uygulamalı ve sonunda kanıt raporu üretmelidir.</w:t>
      </w:r>
    </w:p>
    <w:p>
      <w:pPr>
        <w:keepNext/>
        <w:spacing w:before="100" w:after="40"/>
      </w:pPr>
      <w:r>
        <w:rPr>
          <w:rFonts w:ascii="Arial" w:hAnsi="Arial" w:eastAsia="Arial"/>
          <w:b/>
          <w:color w:val="11B8DD"/>
          <w:sz w:val="16"/>
        </w:rPr>
        <w:t>ANTIGRAVITY MASTER TASK</w:t>
      </w:r>
    </w:p>
    <w:p>
      <w:pPr>
        <w:keepLines/>
        <w:spacing w:before="0" w:after="200" w:line="240" w:lineRule="auto"/>
        <w:ind w:left="173" w:right="115"/>
        <w:shd w:fill="0D1B28"/>
        <w:pBdr>
          <w:left w:val="single" w:sz="16" w:space="8" w:color="11B8DD"/>
        </w:pBdr>
      </w:pPr>
      <w:r>
        <w:rPr>
          <w:rFonts w:ascii="Courier New" w:hAnsi="Courier New" w:eastAsia="Courier New"/>
          <w:color w:val="E8EDF2"/>
          <w:sz w:val="16"/>
        </w:rPr>
        <w:t>ROL</w:t>
        <w:br/>
        <w:t>Apex Flow projesinde çalışan kıdemli Flutter Design Systems Engineer,</w:t>
        <w:br/>
        <w:t>Mobile UI Engineer ve QA Engineer olarak hareket et.</w:t>
        <w:br/>
        <w:br/>
        <w:t>AMAÇ</w:t>
        <w:br/>
        <w:t>Bu Word belgesindeki Apex Flow Premium Typography System V1'i mevcut</w:t>
        <w:br/>
        <w:t>uygulamaya güvenli biçimde uygula. Sonuç sakin, endüstriyel, premium ve</w:t>
        <w:br/>
        <w:t>üst düzey global teknoloji ürünü kalitesinde olmalıdır.</w:t>
        <w:br/>
        <w:br/>
        <w:t>BAĞLAYICI KARARLAR</w:t>
        <w:br/>
        <w:t>1. Görünür marka adı her yerde 'Apex Flow' şeklinde ayrı yazılacak.</w:t>
        <w:br/>
        <w:t>2. Ana UI fontu Geist Sans olacak.</w:t>
        <w:br/>
        <w:t>3. Geist Mono yalnız teknik metadata, kısa ID ve seçili yardımcı</w:t>
        <w:br/>
        <w:t xml:space="preserve">   değerlerde kullanılacak. Büyük telemetri Geist Sans kullanacak.</w:t>
        <w:br/>
        <w:t>4. Fontlar runtime'da indirilmeyecek; uygulama assetlerine gömülecek.</w:t>
        <w:br/>
        <w:t>5. Telemetri değerlerinde FontFeature.tabularFigures() kullanılacak.</w:t>
        <w:br/>
        <w:t>6. Kullanıcı text scaling ayarı kapatılmayacak.</w:t>
        <w:br/>
        <w:t>7. GT America veya başka ücretli/lisanssız font üretime eklenmeyecek.</w:t>
        <w:br/>
        <w:t>8. Tipografi görevi kapsamında iş mantığı ve veri modelleri değişmeyecek.</w:t>
        <w:br/>
        <w:br/>
        <w:t>ÇALIŞMA SIRASI</w:t>
        <w:br/>
        <w:t>A. Mevcut ThemeData/TextTheme/TextStyle/fontFamily envanterini çıkar.</w:t>
        <w:br/>
        <w:t>B. Değişecek dosyaları ve riskleri raporla.</w:t>
        <w:br/>
        <w:t>C. Resmî Geist assetlerini ve OFL lisansını ekle.</w:t>
        <w:br/>
        <w:t>D. apex_typography.dart ve apex_theme.dart merkezi katmanını oluştur.</w:t>
        <w:br/>
        <w:t>E. Önce dashboard, sürüş özeti ve telemetri kartlarında pilot uygula.</w:t>
        <w:br/>
        <w:t>F. Sonra rozet, achievement, profil, ayarlar, dialog ve sheet'leri taşı.</w:t>
        <w:br/>
        <w:t>G. Hardcoded eşdeğer TextStyle tanımlarını kontrollü olarak temizle.</w:t>
        <w:br/>
        <w:t>H. TR/EN/DE, 320 dp ve 200% text scaling testlerini çalıştır.</w:t>
        <w:br/>
        <w:t>I. flutter analyze, mevcut testler ve görsel regresyon testlerini çalıştır.</w:t>
        <w:br/>
        <w:t>J. Yapılan dosyaları, test sonuçlarını ve kalan riskleri raporla.</w:t>
        <w:br/>
        <w:br/>
        <w:t>KALİTE KAPISI</w:t>
        <w:br/>
        <w:t>Belgedeki tüm zorunlu kabul maddeleri sağlanmadan görevi tamamlandı sayma.</w:t>
        <w:br/>
        <w:t>Bir API veya mevcut proje mimarisi belge örneğinden farklıysa körlemesine</w:t>
        <w:br/>
        <w:t>kopyalama; aynı tasarım sonucunu mevcut sürüme uyarlayıp değişikliği açıkla.</w:t>
        <w:br/>
        <w:t>Alakasız kullanıcı değişikliklerini geri alma. Her fazda derlenebilir durumu koru.</w:t>
      </w:r>
    </w:p>
    <w:p>
      <w:pPr>
        <w:pStyle w:val="Heading1"/>
      </w:pPr>
      <w:r>
        <w:t>14. Kaynaklar ve teknik dayanak</w:t>
      </w:r>
    </w:p>
    <w:p>
      <w:pPr>
        <w:spacing w:after="120" w:line="300" w:lineRule="auto"/>
      </w:pPr>
      <w:r>
        <w:rPr>
          <w:rFonts w:ascii="Arial" w:hAnsi="Arial" w:eastAsia="Arial"/>
          <w:i w:val="0"/>
          <w:color w:val="152230"/>
          <w:sz w:val="21"/>
        </w:rPr>
        <w:t>Bu spesifikasyondaki font lisansı, asset entegrasyonu, tabular figures ve erişilebilirlik kararları aşağıdaki birincil kaynaklarla doğrulanmıştır. Antigravity uygulama sırasında mevcut Flutter sürümünü ayrıca kontrol etmelidir.</w:t>
      </w:r>
    </w:p>
    <w:p>
      <w:pPr>
        <w:spacing w:after="80"/>
        <w:ind w:left="259" w:hanging="259"/>
      </w:pPr>
      <w:r>
        <w:rPr>
          <w:rFonts w:ascii="Arial" w:hAnsi="Arial" w:eastAsia="Arial"/>
          <w:b/>
          <w:color w:val="11B8DD"/>
          <w:sz w:val="19"/>
        </w:rPr>
        <w:t xml:space="preserve">• </w:t>
      </w:r>
      <w:r>
        <w:rPr>
          <w:rFonts w:ascii="Arial" w:hAnsi="Arial" w:eastAsia="Arial"/>
          <w:b/>
          <w:color w:val="152230"/>
          <w:sz w:val="19"/>
        </w:rPr>
        <w:t xml:space="preserve">Vercel — Geist resmî font sayfası: </w:t>
      </w:r>
      <w:hyperlink r:id="rId12">
        <w:r>
          <w:rPr>
            <w:rFonts w:ascii="Arial" w:hAnsi="Arial"/>
            <w:color w:val="11B8DD"/>
            <w:u w:val="single"/>
          </w:rPr>
          <w:t>https://vercel.com/font</w:t>
        </w:r>
      </w:hyperlink>
    </w:p>
    <w:p>
      <w:pPr>
        <w:spacing w:after="80"/>
        <w:ind w:left="259" w:hanging="259"/>
      </w:pPr>
      <w:r>
        <w:rPr>
          <w:rFonts w:ascii="Arial" w:hAnsi="Arial" w:eastAsia="Arial"/>
          <w:b/>
          <w:color w:val="11B8DD"/>
          <w:sz w:val="19"/>
        </w:rPr>
        <w:t xml:space="preserve">• </w:t>
      </w:r>
      <w:r>
        <w:rPr>
          <w:rFonts w:ascii="Arial" w:hAnsi="Arial" w:eastAsia="Arial"/>
          <w:b/>
          <w:color w:val="152230"/>
          <w:sz w:val="19"/>
        </w:rPr>
        <w:t xml:space="preserve">Vercel — Geist font kaynak deposu ve OFL lisansı: </w:t>
      </w:r>
      <w:hyperlink r:id="rId13">
        <w:r>
          <w:rPr>
            <w:rFonts w:ascii="Arial" w:hAnsi="Arial"/>
            <w:color w:val="11B8DD"/>
            <w:u w:val="single"/>
          </w:rPr>
          <w:t>https://github.com/vercel/geist-font</w:t>
        </w:r>
      </w:hyperlink>
    </w:p>
    <w:p>
      <w:pPr>
        <w:spacing w:after="80"/>
        <w:ind w:left="259" w:hanging="259"/>
      </w:pPr>
      <w:r>
        <w:rPr>
          <w:rFonts w:ascii="Arial" w:hAnsi="Arial" w:eastAsia="Arial"/>
          <w:b/>
          <w:color w:val="11B8DD"/>
          <w:sz w:val="19"/>
        </w:rPr>
        <w:t xml:space="preserve">• </w:t>
      </w:r>
      <w:r>
        <w:rPr>
          <w:rFonts w:ascii="Arial" w:hAnsi="Arial" w:eastAsia="Arial"/>
          <w:b/>
          <w:color w:val="152230"/>
          <w:sz w:val="19"/>
        </w:rPr>
        <w:t xml:space="preserve">Google Fonts — Geist Sans dosyaları: </w:t>
      </w:r>
      <w:hyperlink r:id="rId14">
        <w:r>
          <w:rPr>
            <w:rFonts w:ascii="Arial" w:hAnsi="Arial"/>
            <w:color w:val="11B8DD"/>
            <w:u w:val="single"/>
          </w:rPr>
          <w:t>https://github.com/google/fonts/tree/main/ofl/geist</w:t>
        </w:r>
      </w:hyperlink>
    </w:p>
    <w:p>
      <w:pPr>
        <w:spacing w:after="80"/>
        <w:ind w:left="259" w:hanging="259"/>
      </w:pPr>
      <w:r>
        <w:rPr>
          <w:rFonts w:ascii="Arial" w:hAnsi="Arial" w:eastAsia="Arial"/>
          <w:b/>
          <w:color w:val="11B8DD"/>
          <w:sz w:val="19"/>
        </w:rPr>
        <w:t xml:space="preserve">• </w:t>
      </w:r>
      <w:r>
        <w:rPr>
          <w:rFonts w:ascii="Arial" w:hAnsi="Arial" w:eastAsia="Arial"/>
          <w:b/>
          <w:color w:val="152230"/>
          <w:sz w:val="19"/>
        </w:rPr>
        <w:t xml:space="preserve">Google Fonts — Geist Mono dosyaları: </w:t>
      </w:r>
      <w:hyperlink r:id="rId15">
        <w:r>
          <w:rPr>
            <w:rFonts w:ascii="Arial" w:hAnsi="Arial"/>
            <w:color w:val="11B8DD"/>
            <w:u w:val="single"/>
          </w:rPr>
          <w:t>https://github.com/google/fonts/tree/main/ofl/geistmono</w:t>
        </w:r>
      </w:hyperlink>
    </w:p>
    <w:p>
      <w:pPr>
        <w:spacing w:after="80"/>
        <w:ind w:left="259" w:hanging="259"/>
      </w:pPr>
      <w:r>
        <w:rPr>
          <w:rFonts w:ascii="Arial" w:hAnsi="Arial" w:eastAsia="Arial"/>
          <w:b/>
          <w:color w:val="11B8DD"/>
          <w:sz w:val="19"/>
        </w:rPr>
        <w:t xml:space="preserve">• </w:t>
      </w:r>
      <w:r>
        <w:rPr>
          <w:rFonts w:ascii="Arial" w:hAnsi="Arial" w:eastAsia="Arial"/>
          <w:b/>
          <w:color w:val="152230"/>
          <w:sz w:val="19"/>
        </w:rPr>
        <w:t xml:space="preserve">Flutter — Özel font kullanımı: </w:t>
      </w:r>
      <w:hyperlink r:id="rId16">
        <w:r>
          <w:rPr>
            <w:rFonts w:ascii="Arial" w:hAnsi="Arial"/>
            <w:color w:val="11B8DD"/>
            <w:u w:val="single"/>
          </w:rPr>
          <w:t>https://docs.flutter.dev/cookbook/design/fonts</w:t>
        </w:r>
      </w:hyperlink>
    </w:p>
    <w:p>
      <w:pPr>
        <w:spacing w:after="80"/>
        <w:ind w:left="259" w:hanging="259"/>
      </w:pPr>
      <w:r>
        <w:rPr>
          <w:rFonts w:ascii="Arial" w:hAnsi="Arial" w:eastAsia="Arial"/>
          <w:b/>
          <w:color w:val="11B8DD"/>
          <w:sz w:val="19"/>
        </w:rPr>
        <w:t xml:space="preserve">• </w:t>
      </w:r>
      <w:r>
        <w:rPr>
          <w:rFonts w:ascii="Arial" w:hAnsi="Arial" w:eastAsia="Arial"/>
          <w:b/>
          <w:color w:val="152230"/>
          <w:sz w:val="19"/>
        </w:rPr>
        <w:t xml:space="preserve">Flutter API — FontFeature.tabularFigures: </w:t>
      </w:r>
      <w:hyperlink r:id="rId17">
        <w:r>
          <w:rPr>
            <w:rFonts w:ascii="Arial" w:hAnsi="Arial"/>
            <w:color w:val="11B8DD"/>
            <w:u w:val="single"/>
          </w:rPr>
          <w:t>https://api.flutter.dev/flutter/dart-ui/FontFeature/FontFeature.tabularFigures.html</w:t>
        </w:r>
      </w:hyperlink>
    </w:p>
    <w:p>
      <w:pPr>
        <w:spacing w:after="80"/>
        <w:ind w:left="259" w:hanging="259"/>
      </w:pPr>
      <w:r>
        <w:rPr>
          <w:rFonts w:ascii="Arial" w:hAnsi="Arial" w:eastAsia="Arial"/>
          <w:b/>
          <w:color w:val="11B8DD"/>
          <w:sz w:val="19"/>
        </w:rPr>
        <w:t xml:space="preserve">• </w:t>
      </w:r>
      <w:r>
        <w:rPr>
          <w:rFonts w:ascii="Arial" w:hAnsi="Arial" w:eastAsia="Arial"/>
          <w:b/>
          <w:color w:val="152230"/>
          <w:sz w:val="19"/>
        </w:rPr>
        <w:t xml:space="preserve">Flutter — Android 14 doğrusal olmayan font scaling: </w:t>
      </w:r>
      <w:hyperlink r:id="rId18">
        <w:r>
          <w:rPr>
            <w:rFonts w:ascii="Arial" w:hAnsi="Arial"/>
            <w:color w:val="11B8DD"/>
            <w:u w:val="single"/>
          </w:rPr>
          <w:t>https://docs.flutter.dev/release/breaking-changes/android-14-nonlinear-text-scaling-migration</w:t>
        </w:r>
      </w:hyperlink>
    </w:p>
    <w:p>
      <w:pPr>
        <w:spacing w:after="80"/>
        <w:ind w:left="259" w:hanging="259"/>
      </w:pPr>
      <w:r>
        <w:rPr>
          <w:rFonts w:ascii="Arial" w:hAnsi="Arial" w:eastAsia="Arial"/>
          <w:b/>
          <w:color w:val="11B8DD"/>
          <w:sz w:val="19"/>
        </w:rPr>
        <w:t xml:space="preserve">• </w:t>
      </w:r>
      <w:r>
        <w:rPr>
          <w:rFonts w:ascii="Arial" w:hAnsi="Arial" w:eastAsia="Arial"/>
          <w:b/>
          <w:color w:val="152230"/>
          <w:sz w:val="19"/>
        </w:rPr>
        <w:t xml:space="preserve">Grilli Type — GT America resmî bilgi ve deneme kaynağı: </w:t>
      </w:r>
      <w:hyperlink r:id="rId19">
        <w:r>
          <w:rPr>
            <w:rFonts w:ascii="Arial" w:hAnsi="Arial"/>
            <w:color w:val="11B8DD"/>
            <w:u w:val="single"/>
          </w:rPr>
          <w:t>https://cdn.grillitype.com/typeface/gt-america</w:t>
        </w:r>
      </w:hyperlink>
    </w:p>
    <w:p>
      <w:pPr>
        <w:pStyle w:val="Heading2"/>
      </w:pPr>
      <w:r>
        <w:t>14.1 Son ürün kararı</w:t>
      </w:r>
    </w:p>
    <w:p>
      <w:pPr>
        <w:keepLines/>
        <w:spacing w:before="100" w:after="200" w:line="288" w:lineRule="auto"/>
        <w:ind w:left="173" w:right="115"/>
        <w:shd w:fill="FFF2E9"/>
        <w:pBdr>
          <w:left w:val="single" w:sz="22" w:space="10" w:color="F47A24"/>
        </w:pBdr>
      </w:pPr>
      <w:r>
        <w:rPr>
          <w:rFonts w:ascii="Arial" w:hAnsi="Arial" w:eastAsia="Arial"/>
          <w:b/>
          <w:color w:val="08131F"/>
          <w:sz w:val="18"/>
        </w:rPr>
        <w:t xml:space="preserve">FINAL  </w:t>
      </w:r>
      <w:r>
        <w:rPr>
          <w:rFonts w:ascii="Arial" w:hAnsi="Arial" w:eastAsia="Arial"/>
          <w:color w:val="152230"/>
          <w:sz w:val="20"/>
        </w:rPr>
        <w:t>Apex Flow V1 üretim tipografi sistemi: Geist Sans + Geist Mono. Bu seçim ücretsiz olmakla birlikte ‘ücretsiz font’ gibi görünmemeli; kalite, merkezi token sistemi, doğru ağırlık, boşluk, erişilebilirlik ve disiplinli bileşen uygulamasıyla üretilecektir.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7200"/>
      <w:gridCol w:w="2160"/>
    </w:tblGrid>
    <w:tr>
      <w:tc>
        <w:tcPr>
          <w:tcW w:type="dxa" w:w="7200"/>
          <w:vAlign w:val="center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after="0"/>
            <w:jc w:val="left"/>
          </w:pPr>
          <w:r>
            <w:rPr>
              <w:rFonts w:ascii="Arial" w:hAnsi="Arial" w:eastAsia="Arial"/>
              <w:color w:val="5D6A76"/>
              <w:sz w:val="16"/>
            </w:rPr>
            <w:t>Madeforth  •  Antigravity Implementation Spec</w:t>
          </w:r>
        </w:p>
      </w:tc>
      <w:tc>
        <w:tcPr>
          <w:tcW w:type="dxa" w:w="2160"/>
          <w:vAlign w:val="center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after="0"/>
            <w:jc w:val="right"/>
          </w:pPr>
          <w:r>
            <w:rPr>
              <w:rFonts w:ascii="Arial" w:hAnsi="Arial" w:eastAsia="Arial"/>
              <w:color w:val="5D6A76"/>
              <w:sz w:val="16"/>
            </w:rPr>
            <w:t xml:space="preserve">Page </w:t>
          </w:r>
          <w:r>
            <w:rPr>
              <w:rFonts w:ascii="Arial" w:hAnsi="Arial" w:eastAsia="Arial"/>
              <w:color w:val="5D6A76"/>
              <w:sz w:val="17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/>
        <w:color w:val="5D6A76"/>
        <w:sz w:val="17"/>
      </w:rPr>
      <w:t>MADEFORTH  •  APEX FLOW  •  INTERNAL IMPLEMENTATION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 w:eastAsia="Arial"/>
        <w:b/>
        <w:color w:val="5D6A76"/>
        <w:sz w:val="16"/>
      </w:rPr>
      <w:t>APEX FLOW  /  PRODUCT TYPOGRAPHY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  <w:color w:val="11B8DD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/>
      <w:color w:val="1522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08131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11B8D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8131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8131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360"/>
    </w:pPr>
    <w:rPr>
      <w:rFonts w:asciiTheme="majorHAnsi" w:eastAsiaTheme="majorEastAsia" w:hAnsiTheme="majorHAnsi" w:cstheme="majorBidi" w:ascii="Arial" w:hAnsi="Arial"/>
      <w:b w:val="0"/>
      <w:i/>
      <w:iCs/>
      <w:color w:val="5D6A7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vercel.com/font" TargetMode="External"/><Relationship Id="rId13" Type="http://schemas.openxmlformats.org/officeDocument/2006/relationships/hyperlink" Target="https://github.com/vercel/geist-font" TargetMode="External"/><Relationship Id="rId14" Type="http://schemas.openxmlformats.org/officeDocument/2006/relationships/hyperlink" Target="https://github.com/google/fonts/tree/main/ofl/geist" TargetMode="External"/><Relationship Id="rId15" Type="http://schemas.openxmlformats.org/officeDocument/2006/relationships/hyperlink" Target="https://github.com/google/fonts/tree/main/ofl/geistmono" TargetMode="External"/><Relationship Id="rId16" Type="http://schemas.openxmlformats.org/officeDocument/2006/relationships/hyperlink" Target="https://docs.flutter.dev/cookbook/design/fonts" TargetMode="External"/><Relationship Id="rId17" Type="http://schemas.openxmlformats.org/officeDocument/2006/relationships/hyperlink" Target="https://api.flutter.dev/flutter/dart-ui/FontFeature/FontFeature.tabularFigures.html" TargetMode="External"/><Relationship Id="rId18" Type="http://schemas.openxmlformats.org/officeDocument/2006/relationships/hyperlink" Target="https://docs.flutter.dev/release/breaking-changes/android-14-nonlinear-text-scaling-migration" TargetMode="External"/><Relationship Id="rId19" Type="http://schemas.openxmlformats.org/officeDocument/2006/relationships/hyperlink" Target="https://cdn.grillitype.com/typeface/gt-ameri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Apex Flow Premium Typography System — Antigravity Specification V1</dc:title>
  <dc:subject>Flutter typography design system and implementation specification</dc:subject>
  <dc:creator>Madeforth</dc:creator>
  <cp:keywords>Apex Flow, Geist, Flutter, typography, design system, Antigravity</cp:keywords>
  <dc:description>Internal implementation specification.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