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Civilisation Française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4BDD3DB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</w:t>
            </w:r>
            <w:r w:rsidR="004E538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787A76">
        <w:trPr>
          <w:trHeight w:val="98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8E1C6C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June 2020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present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08ED5E53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underly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ing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462FB731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t.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2018 </w:t>
            </w:r>
            <w:r w:rsidR="00C8160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6EB2D2EF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virtual screenings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using a network-based approach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a signal propagation algorithm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estimate long term behaviors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concerted perturbations of control 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nodes</w:t>
      </w:r>
      <w:r w:rsidR="00ED1C54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4E08501F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22D3B37D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</w:p>
        </w:tc>
      </w:tr>
    </w:tbl>
    <w:p w14:paraId="728600C6" w14:textId="688D1091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</w:t>
      </w:r>
    </w:p>
    <w:p w14:paraId="73633613" w14:textId="47B5058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 genes that may impact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 </w:t>
      </w:r>
    </w:p>
    <w:p w14:paraId="401E7335" w14:textId="15B0710A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25C3F835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718" w:type="dxa"/>
          </w:tcPr>
          <w:p w14:paraId="58021C06" w14:textId="51632A97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BA08CEC" w14:textId="55DE44C7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mrgsolve.,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0CD8E65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</w:t>
      </w:r>
      <w:r w:rsidR="00513848">
        <w:rPr>
          <w:i/>
          <w:color w:val="000000"/>
          <w:sz w:val="20"/>
          <w:szCs w:val="20"/>
        </w:rPr>
        <w:t>associated</w:t>
      </w:r>
      <w:r w:rsidRPr="00783EF5">
        <w:rPr>
          <w:i/>
          <w:color w:val="000000"/>
          <w:sz w:val="20"/>
          <w:szCs w:val="20"/>
        </w:rPr>
        <w:t xml:space="preserve">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1947110D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</w:t>
      </w:r>
      <w:r w:rsidR="008A07F6">
        <w:rPr>
          <w:color w:val="000000"/>
          <w:sz w:val="20"/>
          <w:szCs w:val="20"/>
        </w:rPr>
        <w:t>l 12</w:t>
      </w:r>
      <w:r w:rsidR="008A07F6" w:rsidRPr="008A07F6">
        <w:rPr>
          <w:color w:val="000000"/>
          <w:sz w:val="20"/>
          <w:szCs w:val="20"/>
          <w:vertAlign w:val="superscript"/>
        </w:rPr>
        <w:t>th</w:t>
      </w:r>
      <w:r w:rsidR="008A07F6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527240C0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D0864">
        <w:rPr>
          <w:rFonts w:ascii="Times New Roman" w:eastAsia="Times New Roman" w:hAnsi="Times New Roman" w:cs="Times New Roman"/>
          <w:color w:val="000000"/>
          <w:sz w:val="20"/>
          <w:szCs w:val="20"/>
        </w:rPr>
        <w:t>;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Matlab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OpenRefine;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 plotly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2EF96A36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Teaching Experience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316C7315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>
              <w:rPr>
                <w:b/>
                <w:color w:val="000000"/>
                <w:sz w:val="20"/>
                <w:szCs w:val="20"/>
              </w:rPr>
              <w:t>Workshop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2299C2EC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>, Juliacon</w:t>
            </w:r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Shiny, RMarkdown,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1923607C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</w:t>
            </w:r>
            <w:r w:rsidR="00C176CA">
              <w:rPr>
                <w:color w:val="000000"/>
                <w:sz w:val="20"/>
                <w:szCs w:val="20"/>
              </w:rPr>
              <w:t>t</w:t>
            </w:r>
            <w:r w:rsidRPr="00783EF5">
              <w:rPr>
                <w:color w:val="000000"/>
                <w:sz w:val="20"/>
                <w:szCs w:val="20"/>
              </w:rPr>
              <w:t>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McKusick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(ISoP)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presented a project proposal for the iGEM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B899" w14:textId="77777777" w:rsidR="00165BE0" w:rsidRDefault="00165BE0" w:rsidP="00624C69">
      <w:r>
        <w:separator/>
      </w:r>
    </w:p>
  </w:endnote>
  <w:endnote w:type="continuationSeparator" w:id="0">
    <w:p w14:paraId="5986C4F1" w14:textId="77777777" w:rsidR="00165BE0" w:rsidRDefault="00165BE0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B097" w14:textId="77777777" w:rsidR="00165BE0" w:rsidRDefault="00165BE0" w:rsidP="00624C69">
      <w:r>
        <w:separator/>
      </w:r>
    </w:p>
  </w:footnote>
  <w:footnote w:type="continuationSeparator" w:id="0">
    <w:p w14:paraId="64827155" w14:textId="77777777" w:rsidR="00165BE0" w:rsidRDefault="00165BE0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9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16"/>
  </w:num>
  <w:num w:numId="11">
    <w:abstractNumId w:val="21"/>
  </w:num>
  <w:num w:numId="12">
    <w:abstractNumId w:val="0"/>
  </w:num>
  <w:num w:numId="13">
    <w:abstractNumId w:val="6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0"/>
  </w:num>
  <w:num w:numId="21">
    <w:abstractNumId w:val="24"/>
  </w:num>
  <w:num w:numId="22">
    <w:abstractNumId w:val="2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578"/>
    <w:rsid w:val="000359FC"/>
    <w:rsid w:val="00044E15"/>
    <w:rsid w:val="00046F26"/>
    <w:rsid w:val="00047332"/>
    <w:rsid w:val="00052FC6"/>
    <w:rsid w:val="0006448F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65BE0"/>
    <w:rsid w:val="00170E82"/>
    <w:rsid w:val="00175C02"/>
    <w:rsid w:val="00184C73"/>
    <w:rsid w:val="00194682"/>
    <w:rsid w:val="00196742"/>
    <w:rsid w:val="001A5A0D"/>
    <w:rsid w:val="001C55CE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2C4D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4E5388"/>
    <w:rsid w:val="00513848"/>
    <w:rsid w:val="005139D1"/>
    <w:rsid w:val="00522EF0"/>
    <w:rsid w:val="00526EE2"/>
    <w:rsid w:val="00534993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4557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7B44"/>
    <w:rsid w:val="006E3C1A"/>
    <w:rsid w:val="006F6B56"/>
    <w:rsid w:val="0071581C"/>
    <w:rsid w:val="00717420"/>
    <w:rsid w:val="00727252"/>
    <w:rsid w:val="007315BF"/>
    <w:rsid w:val="007346EB"/>
    <w:rsid w:val="0074029F"/>
    <w:rsid w:val="007806A5"/>
    <w:rsid w:val="00783EF5"/>
    <w:rsid w:val="00787A76"/>
    <w:rsid w:val="00792E89"/>
    <w:rsid w:val="0079449C"/>
    <w:rsid w:val="00795D0D"/>
    <w:rsid w:val="00797C92"/>
    <w:rsid w:val="007A2A37"/>
    <w:rsid w:val="007B20ED"/>
    <w:rsid w:val="007B4F46"/>
    <w:rsid w:val="007C261E"/>
    <w:rsid w:val="007C7A28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414F9"/>
    <w:rsid w:val="0086256C"/>
    <w:rsid w:val="008645C3"/>
    <w:rsid w:val="00870D3E"/>
    <w:rsid w:val="00876882"/>
    <w:rsid w:val="00880FB5"/>
    <w:rsid w:val="0088331D"/>
    <w:rsid w:val="008A07F6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0240"/>
    <w:rsid w:val="00B21C4E"/>
    <w:rsid w:val="00B37C41"/>
    <w:rsid w:val="00B448D7"/>
    <w:rsid w:val="00B735C8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C2980"/>
    <w:rsid w:val="00BD0DC3"/>
    <w:rsid w:val="00BD19EC"/>
    <w:rsid w:val="00BD54EA"/>
    <w:rsid w:val="00BE66DA"/>
    <w:rsid w:val="00BE6D09"/>
    <w:rsid w:val="00C13E8D"/>
    <w:rsid w:val="00C171C5"/>
    <w:rsid w:val="00C176CA"/>
    <w:rsid w:val="00C2062C"/>
    <w:rsid w:val="00C41466"/>
    <w:rsid w:val="00C54D21"/>
    <w:rsid w:val="00C6253F"/>
    <w:rsid w:val="00C666DE"/>
    <w:rsid w:val="00C67D89"/>
    <w:rsid w:val="00C73974"/>
    <w:rsid w:val="00C81601"/>
    <w:rsid w:val="00C84A17"/>
    <w:rsid w:val="00CA1CE1"/>
    <w:rsid w:val="00CA35C3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93A76"/>
    <w:rsid w:val="00DA0317"/>
    <w:rsid w:val="00DA2565"/>
    <w:rsid w:val="00DA6110"/>
    <w:rsid w:val="00DB3357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1C54"/>
    <w:rsid w:val="00ED3AE2"/>
    <w:rsid w:val="00ED4956"/>
    <w:rsid w:val="00ED7A04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0864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11</cp:revision>
  <cp:lastPrinted>2021-09-27T21:19:00Z</cp:lastPrinted>
  <dcterms:created xsi:type="dcterms:W3CDTF">2021-11-14T23:50:00Z</dcterms:created>
  <dcterms:modified xsi:type="dcterms:W3CDTF">2022-01-13T14:50:00Z</dcterms:modified>
</cp:coreProperties>
</file>