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Default="00077E94" w:rsidP="006435A0">
      <w:pPr>
        <w:jc w:val="center"/>
        <w:rPr>
          <w:ins w:id="0" w:author="Madeleine Gastonguay" w:date="2021-09-10T15:16:00Z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6C8A1B0A" w14:textId="3E9A643E" w:rsidR="00052FC6" w:rsidRPr="00052FC6" w:rsidRDefault="00052FC6" w:rsidP="006435A0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2F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</w:p>
    <w:p w14:paraId="6EF7F6C7" w14:textId="77777777" w:rsidR="0046035A" w:rsidRDefault="003D0B5F" w:rsidP="004A607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28A61BD9" w:rsidR="000C5DFD" w:rsidRPr="004A607B" w:rsidRDefault="00A42A4E" w:rsidP="004A607B">
      <w:pPr>
        <w:jc w:val="center"/>
        <w:rPr>
          <w:rFonts w:ascii="Times New Roman" w:eastAsia="Times New Roman" w:hAnsi="Times New Roman" w:cs="Times New Roman"/>
          <w:color w:val="0563C1" w:themeColor="hyperlink"/>
          <w:sz w:val="21"/>
          <w:szCs w:val="20"/>
          <w:u w:val="single"/>
        </w:rPr>
      </w:pPr>
      <w:hyperlink r:id="rId9" w:history="1"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BB6FFF9" w:rsidR="00052FC6" w:rsidRPr="004D7748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30"/>
      </w:tblGrid>
      <w:tr w:rsidR="00052FC6" w14:paraId="3907CC42" w14:textId="77777777" w:rsidTr="00FE3BD6">
        <w:tc>
          <w:tcPr>
            <w:tcW w:w="7650" w:type="dxa"/>
          </w:tcPr>
          <w:p w14:paraId="6CFF170D" w14:textId="2E4F6BD8" w:rsidR="00052FC6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330" w:type="dxa"/>
          </w:tcPr>
          <w:p w14:paraId="11244F6D" w14:textId="1F52BD6D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14:paraId="10BE1BCA" w14:textId="77777777" w:rsidTr="00FE3BD6">
        <w:tc>
          <w:tcPr>
            <w:tcW w:w="7650" w:type="dxa"/>
          </w:tcPr>
          <w:p w14:paraId="7FEAC73B" w14:textId="70C75D3C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 in the Major</w:t>
            </w:r>
          </w:p>
          <w:p w14:paraId="6BF227F6" w14:textId="44046721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3D6534A6" w14:textId="427D4954" w:rsidR="00052FC6" w:rsidRDefault="00052FC6" w:rsidP="001A5A0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 A</w:t>
            </w:r>
            <w:r w:rsidRPr="00236221">
              <w:rPr>
                <w:color w:val="000000"/>
                <w:sz w:val="20"/>
                <w:szCs w:val="20"/>
              </w:rPr>
              <w:t xml:space="preserve"> 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Quantitative Pipeline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 The Identification of Combinations of Targets for Claudin-Low Triple Negative Breast Cancer Reversion </w:t>
            </w:r>
          </w:p>
          <w:p w14:paraId="2268EFAF" w14:textId="08DCCD3D" w:rsidR="0074029F" w:rsidRPr="0074029F" w:rsidRDefault="0074029F" w:rsidP="001A5A0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Advisor: Dr. Paola Vera-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3330" w:type="dxa"/>
          </w:tcPr>
          <w:p w14:paraId="2EBFD794" w14:textId="77777777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14:paraId="685909F6" w14:textId="77777777" w:rsidTr="007E0B0F">
        <w:tc>
          <w:tcPr>
            <w:tcW w:w="8550" w:type="dxa"/>
          </w:tcPr>
          <w:p w14:paraId="2011D46C" w14:textId="77777777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4D7748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052FC6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77777777" w:rsidR="00B448D7" w:rsidRPr="003D135E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the development and validation of an R package implementing a Bayesian model selection approach to mediation analysis that is flexible in both data inputs and possible inferences, and extending it to </w:t>
      </w:r>
      <w:r w:rsidRP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allow for inference of moderated mediation</w:t>
      </w:r>
    </w:p>
    <w:p w14:paraId="725F77DC" w14:textId="77777777" w:rsidR="00B448D7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Diagnosing the effect of measurement noise in the inference of mediation</w:t>
      </w:r>
    </w:p>
    <w:p w14:paraId="53862E67" w14:textId="77777777" w:rsidR="00B448D7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Applying developed tools to 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14:paraId="7FCCA98A" w14:textId="77777777" w:rsidTr="00052FC6">
        <w:tc>
          <w:tcPr>
            <w:tcW w:w="7740" w:type="dxa"/>
          </w:tcPr>
          <w:p w14:paraId="62CACCD4" w14:textId="7B0A80D3" w:rsidR="007E1816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  <w:p w14:paraId="0C9E0429" w14:textId="4BA3B7B1" w:rsidR="007E1816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A563F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77777777" w:rsidR="00B448D7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my work</w:t>
      </w:r>
    </w:p>
    <w:p w14:paraId="2CF8FB5C" w14:textId="77777777" w:rsidR="00B448D7" w:rsidRPr="006435A0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77777777" w:rsidR="00B448D7" w:rsidRPr="006435A0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Applied a structure-based control method for nonlinear systems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implemented in python </w:t>
      </w: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putative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targets that can steer the system to any desired attractor</w:t>
      </w:r>
    </w:p>
    <w:p w14:paraId="4A10708F" w14:textId="77777777" w:rsidR="00B448D7" w:rsidRPr="00F85ECA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a signal propagation algorithm 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identify concerted perturbations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control targets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resulting in reversion of the CL TNBC phenotype </w:t>
      </w:r>
    </w:p>
    <w:p w14:paraId="5C176D90" w14:textId="77777777" w:rsidR="00F85ECA" w:rsidRPr="00F85ECA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68F70614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6435A0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R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9063D0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  <w:p w14:paraId="77C23FC8" w14:textId="0D965116" w:rsidR="007E1816" w:rsidRP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</w:t>
            </w: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Holster Scholar</w:t>
            </w:r>
          </w:p>
          <w:p w14:paraId="0BF62C2F" w14:textId="1886C0E5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F3E81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4D7748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genes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</w:t>
      </w:r>
    </w:p>
    <w:p w14:paraId="401E7335" w14:textId="77777777" w:rsidR="00B448D7" w:rsidRPr="004D7748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wet lab techniques such as Polymerase Chain Reactions, Gel Electrophoresis, Cloning,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Sanger Sequencing to sequence the genes of interest in several EBV-derived cancer cell lines </w:t>
      </w:r>
    </w:p>
    <w:p w14:paraId="6B369F47" w14:textId="77777777" w:rsidR="00B448D7" w:rsidRPr="0003163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Aligned the genetic sequence of target genes to identify common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distinct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across EBV-derived cancers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677E1448" w14:textId="77777777" w:rsidR="007E1816" w:rsidRDefault="007E1816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7A8B41" w14:textId="45C66784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Publications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13D0585F" w14:textId="4CE7DD4D" w:rsidR="00B448D7" w:rsidRPr="004D2C7F" w:rsidRDefault="00F25C94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F25C94">
        <w:rPr>
          <w:color w:val="000000"/>
          <w:sz w:val="20"/>
          <w:szCs w:val="20"/>
        </w:rPr>
        <w:t>Gastonguay, M. S.</w:t>
      </w:r>
      <w:proofErr w:type="gramStart"/>
      <w:r w:rsidRPr="00F25C94">
        <w:rPr>
          <w:color w:val="000000"/>
          <w:sz w:val="20"/>
          <w:szCs w:val="20"/>
        </w:rPr>
        <w:t xml:space="preserve">,  </w:t>
      </w:r>
      <w:proofErr w:type="spellStart"/>
      <w:r w:rsidRPr="00F25C94">
        <w:rPr>
          <w:color w:val="000000"/>
          <w:sz w:val="20"/>
          <w:szCs w:val="20"/>
        </w:rPr>
        <w:t>Keele</w:t>
      </w:r>
      <w:proofErr w:type="spellEnd"/>
      <w:proofErr w:type="gramEnd"/>
      <w:r w:rsidRPr="00F25C94">
        <w:rPr>
          <w:color w:val="000000"/>
          <w:sz w:val="20"/>
          <w:szCs w:val="20"/>
        </w:rPr>
        <w:t>, G. R</w:t>
      </w:r>
      <w:r>
        <w:rPr>
          <w:color w:val="000000"/>
          <w:sz w:val="20"/>
          <w:szCs w:val="20"/>
        </w:rPr>
        <w:t xml:space="preserve">., &amp; </w:t>
      </w:r>
      <w:r w:rsidRPr="00F25C94">
        <w:rPr>
          <w:color w:val="000000"/>
          <w:sz w:val="20"/>
          <w:szCs w:val="20"/>
        </w:rPr>
        <w:t xml:space="preserve">Churchill, G. A. (2021). </w:t>
      </w:r>
      <w:r w:rsidR="00B448D7">
        <w:rPr>
          <w:color w:val="000000"/>
          <w:sz w:val="20"/>
          <w:szCs w:val="20"/>
        </w:rPr>
        <w:t>The impact of measurement noise on mediation analysi</w:t>
      </w:r>
      <w:r w:rsidR="00570CA7">
        <w:rPr>
          <w:color w:val="000000"/>
          <w:sz w:val="20"/>
          <w:szCs w:val="20"/>
        </w:rPr>
        <w:t>s</w:t>
      </w:r>
      <w:r w:rsidR="00B448D7">
        <w:rPr>
          <w:color w:val="000000"/>
          <w:sz w:val="20"/>
          <w:szCs w:val="20"/>
        </w:rPr>
        <w:t xml:space="preserve">. </w:t>
      </w:r>
      <w:r w:rsidR="00B448D7">
        <w:rPr>
          <w:i/>
          <w:color w:val="000000"/>
          <w:sz w:val="20"/>
          <w:szCs w:val="20"/>
        </w:rPr>
        <w:t>Manuscript in preparation for submission</w:t>
      </w:r>
    </w:p>
    <w:p w14:paraId="3ADAF8D9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AEE49D4" w14:textId="7E833548" w:rsidR="00F25C94" w:rsidRPr="00F25C94" w:rsidRDefault="00F25C94" w:rsidP="00F25C94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F25C94">
        <w:rPr>
          <w:color w:val="000000"/>
          <w:sz w:val="20"/>
          <w:szCs w:val="20"/>
        </w:rPr>
        <w:t xml:space="preserve">Crouse, W. L., </w:t>
      </w:r>
      <w:proofErr w:type="spellStart"/>
      <w:r w:rsidRPr="00F25C94">
        <w:rPr>
          <w:color w:val="000000"/>
          <w:sz w:val="20"/>
          <w:szCs w:val="20"/>
        </w:rPr>
        <w:t>Keele</w:t>
      </w:r>
      <w:proofErr w:type="spellEnd"/>
      <w:r w:rsidRPr="00F25C94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F25C94">
        <w:rPr>
          <w:color w:val="000000"/>
          <w:sz w:val="20"/>
          <w:szCs w:val="20"/>
        </w:rPr>
        <w:t>Valdar</w:t>
      </w:r>
      <w:proofErr w:type="spellEnd"/>
      <w:r w:rsidRPr="00F25C94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F25C94">
        <w:rPr>
          <w:i/>
          <w:iCs/>
          <w:color w:val="000000"/>
          <w:sz w:val="20"/>
          <w:szCs w:val="20"/>
        </w:rPr>
        <w:t>BioRxiv</w:t>
      </w:r>
      <w:proofErr w:type="spellEnd"/>
      <w:r w:rsidRPr="00F25C94">
        <w:rPr>
          <w:color w:val="000000"/>
          <w:sz w:val="20"/>
          <w:szCs w:val="20"/>
        </w:rPr>
        <w:t>, 2021.07.19.452969. https://doi.org/10.1101/2021.07.19.452969</w:t>
      </w:r>
      <w:r>
        <w:rPr>
          <w:color w:val="000000"/>
          <w:sz w:val="20"/>
          <w:szCs w:val="20"/>
        </w:rPr>
        <w:t xml:space="preserve">, </w:t>
      </w:r>
      <w:r>
        <w:rPr>
          <w:i/>
          <w:iCs/>
          <w:color w:val="000000"/>
          <w:sz w:val="20"/>
          <w:szCs w:val="20"/>
        </w:rPr>
        <w:t>under review at PLOS genetics</w:t>
      </w:r>
    </w:p>
    <w:p w14:paraId="1BA08CEC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77777777" w:rsidR="00F25C94" w:rsidRPr="00F25C94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F25C94">
        <w:rPr>
          <w:color w:val="000000"/>
          <w:sz w:val="20"/>
          <w:szCs w:val="20"/>
        </w:rPr>
        <w:t>Utsey</w:t>
      </w:r>
      <w:proofErr w:type="spellEnd"/>
      <w:r w:rsidRPr="00F25C94">
        <w:rPr>
          <w:color w:val="000000"/>
          <w:sz w:val="20"/>
          <w:szCs w:val="20"/>
        </w:rPr>
        <w:t xml:space="preserve">, K., Gastonguay, M. S., Russell, S., </w:t>
      </w:r>
      <w:proofErr w:type="spellStart"/>
      <w:r w:rsidRPr="00F25C94">
        <w:rPr>
          <w:color w:val="000000"/>
          <w:sz w:val="20"/>
          <w:szCs w:val="20"/>
        </w:rPr>
        <w:t>Freling</w:t>
      </w:r>
      <w:proofErr w:type="spellEnd"/>
      <w:r w:rsidRPr="00F25C94">
        <w:rPr>
          <w:color w:val="000000"/>
          <w:sz w:val="20"/>
          <w:szCs w:val="20"/>
        </w:rPr>
        <w:t xml:space="preserve">, R., Riggs, M. M., &amp; </w:t>
      </w:r>
      <w:proofErr w:type="spellStart"/>
      <w:r w:rsidRPr="00F25C94">
        <w:rPr>
          <w:color w:val="000000"/>
          <w:sz w:val="20"/>
          <w:szCs w:val="20"/>
        </w:rPr>
        <w:t>Elmokadem</w:t>
      </w:r>
      <w:proofErr w:type="spellEnd"/>
      <w:r w:rsidRPr="00F25C94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F25C94">
        <w:rPr>
          <w:i/>
          <w:iCs/>
          <w:color w:val="000000"/>
          <w:sz w:val="20"/>
          <w:szCs w:val="20"/>
        </w:rPr>
        <w:t>Drug Metabolism and Disposition</w:t>
      </w:r>
      <w:r w:rsidRPr="00F25C94">
        <w:rPr>
          <w:color w:val="000000"/>
          <w:sz w:val="20"/>
          <w:szCs w:val="20"/>
        </w:rPr>
        <w:t xml:space="preserve">, </w:t>
      </w:r>
      <w:r w:rsidRPr="00F25C94">
        <w:rPr>
          <w:i/>
          <w:iCs/>
          <w:color w:val="000000"/>
          <w:sz w:val="20"/>
          <w:szCs w:val="20"/>
        </w:rPr>
        <w:t>48</w:t>
      </w:r>
      <w:r w:rsidRPr="00F25C94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F25C9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25C9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77777777" w:rsidR="00F25C94" w:rsidRP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</w:t>
      </w:r>
      <w:proofErr w:type="spell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D. J., Zane, N. R., Curley, M. A. Q., Bradfield, J., </w:t>
      </w:r>
      <w:proofErr w:type="spell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F25C9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25C9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F25C94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0258125F" w14:textId="77777777" w:rsidR="00F25C94" w:rsidRPr="0013277F" w:rsidRDefault="00F25C94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4D7748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234890CC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2BA15E8F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33E853D7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04929AF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4D7748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Poster </w:t>
      </w: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1F9D5F25" w14:textId="219A4D7A" w:rsidR="007F515E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</w:t>
      </w:r>
      <w:r w:rsidR="006A5C17">
        <w:rPr>
          <w:i/>
          <w:color w:val="000000"/>
          <w:sz w:val="20"/>
          <w:szCs w:val="20"/>
        </w:rPr>
        <w:t xml:space="preserve"> Pharmacologic</w:t>
      </w:r>
      <w:r w:rsidRPr="004D7748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260E0C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14:paraId="6AFB0BD1" w14:textId="77777777" w:rsidTr="004A607B">
        <w:tc>
          <w:tcPr>
            <w:tcW w:w="9455" w:type="dxa"/>
          </w:tcPr>
          <w:p w14:paraId="2C792C7A" w14:textId="17A793D0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4A607B">
        <w:tc>
          <w:tcPr>
            <w:tcW w:w="9455" w:type="dxa"/>
          </w:tcPr>
          <w:p w14:paraId="05D0D6F5" w14:textId="7334CAAF" w:rsidR="004A607B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60320D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140EE9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4D7748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2F714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2F714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2F714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4D7748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813DB1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4D7748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5FCD2942" w:rsidR="00B21C4E" w:rsidRPr="00F46319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JAGS;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Bayesian</w:t>
      </w:r>
      <w:proofErr w:type="gram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Analysis </w:t>
      </w:r>
    </w:p>
    <w:p w14:paraId="0B242BCF" w14:textId="4A4D7E06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and RStudio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239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12AAE6CA" w:rsidR="00494638" w:rsidRDefault="00B448D7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Instructor or Teaching 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B448D7" w14:paraId="3C225BE6" w14:textId="77777777" w:rsidTr="00F42E82">
        <w:trPr>
          <w:trHeight w:val="307"/>
        </w:trPr>
        <w:tc>
          <w:tcPr>
            <w:tcW w:w="9299" w:type="dxa"/>
          </w:tcPr>
          <w:p w14:paraId="1B03B382" w14:textId="3E2F13B2" w:rsidR="00B448D7" w:rsidRPr="00B448D7" w:rsidRDefault="00B448D7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780A3F11" w14:textId="2B762159" w:rsidR="00B448D7" w:rsidRDefault="00B448D7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494638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291D36DD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>
              <w:rPr>
                <w:bCs/>
                <w:color w:val="000000"/>
                <w:sz w:val="20"/>
                <w:szCs w:val="20"/>
              </w:rPr>
              <w:t>JAX</w:t>
            </w:r>
            <w:r w:rsidR="00B448D7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B448D7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1F15DB46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>
              <w:rPr>
                <w:bCs/>
                <w:color w:val="000000"/>
                <w:sz w:val="20"/>
                <w:szCs w:val="20"/>
              </w:rPr>
              <w:t xml:space="preserve"> JAX</w:t>
            </w:r>
            <w:r w:rsidR="00B448D7">
              <w:rPr>
                <w:bCs/>
                <w:color w:val="000000"/>
                <w:sz w:val="20"/>
                <w:szCs w:val="20"/>
              </w:rPr>
              <w:t xml:space="preserve"> (TA)</w:t>
            </w:r>
          </w:p>
        </w:tc>
        <w:tc>
          <w:tcPr>
            <w:tcW w:w="1239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150491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504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14:paraId="5B1EC793" w14:textId="5C23DE6E" w:rsidTr="00FB6F01">
        <w:tc>
          <w:tcPr>
            <w:tcW w:w="5659" w:type="dxa"/>
          </w:tcPr>
          <w:p w14:paraId="3543DBBB" w14:textId="24FBAD3C" w:rsidR="00FB6F01" w:rsidRPr="009B01C6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14:paraId="60D8F761" w14:textId="459A6C78" w:rsidTr="00FB6F01">
        <w:tc>
          <w:tcPr>
            <w:tcW w:w="5659" w:type="dxa"/>
          </w:tcPr>
          <w:p w14:paraId="60B41890" w14:textId="548BEF83" w:rsidR="00FB6F01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14:paraId="28AC372B" w14:textId="4790027A" w:rsidTr="00FB6F01">
        <w:tc>
          <w:tcPr>
            <w:tcW w:w="5659" w:type="dxa"/>
          </w:tcPr>
          <w:p w14:paraId="7DE07B15" w14:textId="38F2C131" w:rsidR="00FB6F01" w:rsidRPr="009B01C6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F42E82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45BB6E78" w:rsidR="00F42E82" w:rsidRPr="003F3E81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4D7748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F42E82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092F71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F42E82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</w:t>
            </w:r>
            <w:r w:rsidR="00092F71"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092F71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92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="00092F71"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E3B7E" w14:paraId="27E85175" w14:textId="77777777" w:rsidTr="001A0976">
        <w:trPr>
          <w:trHeight w:val="243"/>
        </w:trPr>
        <w:tc>
          <w:tcPr>
            <w:tcW w:w="7904" w:type="dxa"/>
          </w:tcPr>
          <w:p w14:paraId="3A894FF7" w14:textId="6A9527D5" w:rsidR="003E3B7E" w:rsidRPr="003E3B7E" w:rsidRDefault="003E3B7E" w:rsidP="003E3B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3B7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Husky for a Day Volunteer,</w:t>
            </w:r>
            <w:r w:rsidRP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</w:p>
        </w:tc>
        <w:tc>
          <w:tcPr>
            <w:tcW w:w="3010" w:type="dxa"/>
          </w:tcPr>
          <w:p w14:paraId="40CD8807" w14:textId="50AF8A79" w:rsidR="003E3B7E" w:rsidRPr="00092F71" w:rsidRDefault="00EB07B1" w:rsidP="001A09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768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</w:tbl>
    <w:p w14:paraId="426D99DF" w14:textId="69603DD2" w:rsidR="003E3B7E" w:rsidRPr="00260E0C" w:rsidRDefault="003E3B7E" w:rsidP="00D67EB2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Guided prospective students around campus and answered questions about UConn</w:t>
      </w:r>
    </w:p>
    <w:sectPr w:rsidR="003E3B7E" w:rsidRPr="00260E0C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55E3" w14:textId="77777777" w:rsidR="00A42A4E" w:rsidRDefault="00A42A4E" w:rsidP="00624C69">
      <w:r>
        <w:separator/>
      </w:r>
    </w:p>
  </w:endnote>
  <w:endnote w:type="continuationSeparator" w:id="0">
    <w:p w14:paraId="10A254DD" w14:textId="77777777" w:rsidR="00A42A4E" w:rsidRDefault="00A42A4E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DD5A" w14:textId="77777777" w:rsidR="00A42A4E" w:rsidRDefault="00A42A4E" w:rsidP="00624C69">
      <w:r>
        <w:separator/>
      </w:r>
    </w:p>
  </w:footnote>
  <w:footnote w:type="continuationSeparator" w:id="0">
    <w:p w14:paraId="2EF5F81E" w14:textId="77777777" w:rsidR="00A42A4E" w:rsidRDefault="00A42A4E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deleine Gastonguay">
    <w15:presenceInfo w15:providerId="AD" w15:userId="S::madeleine.gastonguay@jax.org::89fe89e0-72e2-4428-abb0-eff7923e3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702B"/>
    <w:rsid w:val="003279AA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7748"/>
    <w:rsid w:val="00526EE2"/>
    <w:rsid w:val="0054393F"/>
    <w:rsid w:val="005513EA"/>
    <w:rsid w:val="00570918"/>
    <w:rsid w:val="00570CA7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92E89"/>
    <w:rsid w:val="0079449C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B31CD"/>
    <w:rsid w:val="00BD0DC3"/>
    <w:rsid w:val="00BD54EA"/>
    <w:rsid w:val="00BE6D09"/>
    <w:rsid w:val="00C13E8D"/>
    <w:rsid w:val="00C171C5"/>
    <w:rsid w:val="00C2062C"/>
    <w:rsid w:val="00C41466"/>
    <w:rsid w:val="00C666DE"/>
    <w:rsid w:val="00C73974"/>
    <w:rsid w:val="00CA1CE1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E24607"/>
    <w:rsid w:val="00E349D5"/>
    <w:rsid w:val="00E34E15"/>
    <w:rsid w:val="00E6739E"/>
    <w:rsid w:val="00E6761D"/>
    <w:rsid w:val="00E9097C"/>
    <w:rsid w:val="00E91DA2"/>
    <w:rsid w:val="00EA7F0C"/>
    <w:rsid w:val="00EB07B1"/>
    <w:rsid w:val="00ED3AE2"/>
    <w:rsid w:val="00EE639A"/>
    <w:rsid w:val="00EF56A7"/>
    <w:rsid w:val="00F25C94"/>
    <w:rsid w:val="00F424A5"/>
    <w:rsid w:val="00F42E82"/>
    <w:rsid w:val="00F44780"/>
    <w:rsid w:val="00F44F9E"/>
    <w:rsid w:val="00F46319"/>
    <w:rsid w:val="00F70341"/>
    <w:rsid w:val="00F77C7B"/>
    <w:rsid w:val="00F85ECA"/>
    <w:rsid w:val="00FB4E68"/>
    <w:rsid w:val="00FB6F01"/>
    <w:rsid w:val="00FC4995"/>
    <w:rsid w:val="00FE3BD6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6</cp:revision>
  <cp:lastPrinted>2021-09-20T13:54:00Z</cp:lastPrinted>
  <dcterms:created xsi:type="dcterms:W3CDTF">2021-09-20T13:54:00Z</dcterms:created>
  <dcterms:modified xsi:type="dcterms:W3CDTF">2021-09-20T15:25:00Z</dcterms:modified>
</cp:coreProperties>
</file>