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6A3EC5">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2F5E70">
      <w:pPr>
        <w:jc w:val="center"/>
        <w:rPr>
          <w:rFonts w:ascii="Times New Roman" w:hAnsi="Times New Roman" w:cs="Times New Roman"/>
          <w:sz w:val="24"/>
          <w:szCs w:val="24"/>
        </w:rPr>
      </w:pPr>
    </w:p>
    <w:p w14:paraId="5137115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7268B2FF" w14:textId="77777777" w:rsidR="00EA1E5B" w:rsidRDefault="00D15B21" w:rsidP="00EA1E5B">
      <w:pPr>
        <w:spacing w:line="480" w:lineRule="auto"/>
        <w:rPr>
          <w:rFonts w:ascii="Times New Roman" w:eastAsia="Times New Roman" w:hAnsi="Times New Roman" w:cs="Times New Roman"/>
          <w:color w:val="000000"/>
          <w:sz w:val="24"/>
          <w:szCs w:val="24"/>
          <w:lang w:val="en-US"/>
        </w:rPr>
      </w:pPr>
      <w:r w:rsidRPr="0035045F">
        <w:rPr>
          <w:rFonts w:ascii="Times New Roman" w:eastAsia="Times New Roman" w:hAnsi="Times New Roman" w:cs="Times New Roman"/>
          <w:sz w:val="24"/>
          <w:szCs w:val="24"/>
        </w:rPr>
        <w:tab/>
      </w:r>
      <w:r w:rsidR="00EA1E5B" w:rsidRPr="00EA1E5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A1E5B" w:rsidRPr="00EA1E5B">
        <w:rPr>
          <w:rFonts w:ascii="Times New Roman" w:eastAsia="Times New Roman" w:hAnsi="Times New Roman" w:cs="Times New Roman"/>
          <w:i/>
          <w:iCs/>
          <w:color w:val="000000"/>
          <w:sz w:val="24"/>
          <w:szCs w:val="24"/>
          <w:lang w:val="en-US"/>
        </w:rPr>
        <w:t>inquisitiones heretice dpravitatis</w:t>
      </w:r>
      <w:r w:rsidR="00EA1E5B" w:rsidRPr="00EA1E5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1B03B1CC" w14:textId="35A7E0B1" w:rsidR="00EA1E5B" w:rsidRPr="00EA1E5B" w:rsidRDefault="00EA1E5B" w:rsidP="00EA1E5B">
      <w:pPr>
        <w:spacing w:line="480" w:lineRule="auto"/>
        <w:ind w:firstLine="720"/>
        <w:rPr>
          <w:rFonts w:ascii="Times New Roman" w:eastAsia="Times New Roman" w:hAnsi="Times New Roman" w:cs="Times New Roman"/>
          <w:sz w:val="24"/>
          <w:szCs w:val="24"/>
          <w:lang w:val="en-US"/>
        </w:rPr>
      </w:pPr>
      <w:r w:rsidRPr="00EA1E5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EA1E5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4B2A5BA4" w14:textId="2452E40E" w:rsidR="00964FA0" w:rsidRDefault="00964FA0" w:rsidP="00EA1E5B">
      <w:pPr>
        <w:spacing w:line="480" w:lineRule="auto"/>
        <w:outlineLvl w:val="0"/>
        <w:rPr>
          <w:rFonts w:ascii="Times New Roman" w:eastAsia="Times New Roman" w:hAnsi="Times New Roman" w:cs="Times New Roman"/>
          <w:sz w:val="24"/>
          <w:szCs w:val="24"/>
        </w:rPr>
      </w:pPr>
    </w:p>
    <w:p w14:paraId="621F4D37" w14:textId="77777777" w:rsidR="00EA1E5B" w:rsidRDefault="00EA1E5B" w:rsidP="00EA1E5B">
      <w:pPr>
        <w:spacing w:line="480" w:lineRule="auto"/>
        <w:outlineLvl w:val="0"/>
        <w:rPr>
          <w:rFonts w:ascii="Times New Roman" w:eastAsia="Times New Roman" w:hAnsi="Times New Roman" w:cs="Times New Roman"/>
          <w:sz w:val="24"/>
          <w:szCs w:val="24"/>
        </w:rPr>
      </w:pPr>
    </w:p>
    <w:p w14:paraId="65E210D1" w14:textId="77777777" w:rsidR="00EA1E5B" w:rsidRDefault="00EA1E5B" w:rsidP="00EA1E5B">
      <w:pPr>
        <w:spacing w:line="480" w:lineRule="auto"/>
        <w:outlineLvl w:val="0"/>
        <w:rPr>
          <w:rFonts w:ascii="Times New Roman" w:eastAsia="Times New Roman" w:hAnsi="Times New Roman" w:cs="Times New Roman"/>
          <w:sz w:val="24"/>
          <w:szCs w:val="24"/>
        </w:rPr>
      </w:pPr>
    </w:p>
    <w:p w14:paraId="2CAC19F6" w14:textId="77777777" w:rsidR="00EA1E5B" w:rsidRDefault="00EA1E5B" w:rsidP="00EA1E5B">
      <w:pPr>
        <w:spacing w:line="480" w:lineRule="auto"/>
        <w:outlineLvl w:val="0"/>
        <w:rPr>
          <w:rFonts w:ascii="Times New Roman" w:eastAsia="Times New Roman" w:hAnsi="Times New Roman" w:cs="Times New Roman"/>
          <w:sz w:val="24"/>
          <w:szCs w:val="24"/>
        </w:rPr>
      </w:pPr>
    </w:p>
    <w:p w14:paraId="616CCBC1" w14:textId="77777777" w:rsidR="00EA1E5B" w:rsidRDefault="00EA1E5B" w:rsidP="00EA1E5B">
      <w:pPr>
        <w:spacing w:line="480" w:lineRule="auto"/>
        <w:outlineLvl w:val="0"/>
        <w:rPr>
          <w:rFonts w:ascii="Times New Roman" w:eastAsia="Times New Roman" w:hAnsi="Times New Roman" w:cs="Times New Roman"/>
          <w:sz w:val="24"/>
          <w:szCs w:val="24"/>
        </w:rPr>
      </w:pPr>
    </w:p>
    <w:p w14:paraId="25D19FB4" w14:textId="77777777" w:rsidR="00EA1E5B" w:rsidRDefault="00EA1E5B" w:rsidP="00EA1E5B">
      <w:pPr>
        <w:spacing w:line="480" w:lineRule="auto"/>
        <w:outlineLvl w:val="0"/>
        <w:rPr>
          <w:rFonts w:ascii="Times New Roman" w:eastAsia="Times New Roman" w:hAnsi="Times New Roman" w:cs="Times New Roman"/>
          <w:sz w:val="24"/>
          <w:szCs w:val="24"/>
        </w:rPr>
      </w:pPr>
    </w:p>
    <w:p w14:paraId="75E88824" w14:textId="77777777" w:rsidR="00EA1E5B" w:rsidRDefault="00EA1E5B" w:rsidP="00EA1E5B">
      <w:pPr>
        <w:spacing w:line="480" w:lineRule="auto"/>
        <w:outlineLvl w:val="0"/>
        <w:rPr>
          <w:rFonts w:ascii="Times New Roman" w:eastAsia="Times New Roman" w:hAnsi="Times New Roman" w:cs="Times New Roman"/>
          <w:sz w:val="24"/>
          <w:szCs w:val="24"/>
        </w:rPr>
      </w:pPr>
    </w:p>
    <w:p w14:paraId="74BBBF6A" w14:textId="77777777" w:rsidR="00EA1E5B" w:rsidRDefault="00EA1E5B" w:rsidP="00EA1E5B">
      <w:pPr>
        <w:spacing w:line="480" w:lineRule="auto"/>
        <w:outlineLvl w:val="0"/>
        <w:rPr>
          <w:rFonts w:ascii="Times New Roman" w:eastAsia="Times New Roman" w:hAnsi="Times New Roman" w:cs="Times New Roman"/>
          <w:sz w:val="24"/>
          <w:szCs w:val="24"/>
        </w:rPr>
      </w:pPr>
    </w:p>
    <w:p w14:paraId="61AB4CE7" w14:textId="77777777" w:rsidR="00EA1E5B" w:rsidRDefault="00EA1E5B" w:rsidP="00EA1E5B">
      <w:pPr>
        <w:spacing w:line="480" w:lineRule="auto"/>
        <w:outlineLvl w:val="0"/>
        <w:rPr>
          <w:rFonts w:ascii="Times New Roman" w:eastAsia="Times New Roman" w:hAnsi="Times New Roman" w:cs="Times New Roman"/>
          <w:sz w:val="24"/>
          <w:szCs w:val="24"/>
        </w:rPr>
      </w:pPr>
    </w:p>
    <w:p w14:paraId="03B21C74" w14:textId="77777777" w:rsidR="00EA1E5B" w:rsidRDefault="00EA1E5B" w:rsidP="00EA1E5B">
      <w:pPr>
        <w:spacing w:line="480" w:lineRule="auto"/>
        <w:outlineLvl w:val="0"/>
        <w:rPr>
          <w:rFonts w:ascii="Times New Roman" w:eastAsia="Times New Roman" w:hAnsi="Times New Roman" w:cs="Times New Roman"/>
          <w:sz w:val="24"/>
          <w:szCs w:val="24"/>
        </w:rPr>
      </w:pPr>
    </w:p>
    <w:p w14:paraId="62FA3C25" w14:textId="77777777" w:rsidR="00EA1E5B" w:rsidRDefault="00EA1E5B" w:rsidP="00EA1E5B">
      <w:pPr>
        <w:spacing w:line="480" w:lineRule="auto"/>
        <w:outlineLvl w:val="0"/>
        <w:rPr>
          <w:rFonts w:ascii="Times New Roman" w:eastAsia="Times New Roman" w:hAnsi="Times New Roman" w:cs="Times New Roman"/>
          <w:sz w:val="24"/>
          <w:szCs w:val="24"/>
        </w:rPr>
      </w:pPr>
    </w:p>
    <w:p w14:paraId="34E24583" w14:textId="77777777" w:rsidR="00EA1E5B" w:rsidRDefault="00EA1E5B" w:rsidP="00EA1E5B">
      <w:pPr>
        <w:spacing w:line="480" w:lineRule="auto"/>
        <w:outlineLvl w:val="0"/>
        <w:rPr>
          <w:rFonts w:ascii="Times New Roman" w:eastAsia="Times New Roman" w:hAnsi="Times New Roman" w:cs="Times New Roman"/>
          <w:sz w:val="24"/>
          <w:szCs w:val="24"/>
        </w:rPr>
      </w:pPr>
    </w:p>
    <w:p w14:paraId="679185E8" w14:textId="77777777" w:rsidR="00EA1E5B" w:rsidRDefault="00EA1E5B" w:rsidP="00EA1E5B">
      <w:pPr>
        <w:spacing w:line="480" w:lineRule="auto"/>
        <w:outlineLvl w:val="0"/>
        <w:rPr>
          <w:rFonts w:ascii="Times New Roman" w:eastAsia="Times New Roman" w:hAnsi="Times New Roman" w:cs="Times New Roman"/>
          <w:sz w:val="24"/>
          <w:szCs w:val="24"/>
        </w:rPr>
      </w:pPr>
    </w:p>
    <w:p w14:paraId="54CB14E2" w14:textId="77777777" w:rsidR="00EA1E5B" w:rsidRDefault="00EA1E5B" w:rsidP="00EA1E5B">
      <w:pPr>
        <w:spacing w:line="480" w:lineRule="auto"/>
        <w:outlineLvl w:val="0"/>
        <w:rPr>
          <w:rFonts w:ascii="Times New Roman" w:eastAsia="Times New Roman" w:hAnsi="Times New Roman" w:cs="Times New Roman"/>
          <w:sz w:val="24"/>
          <w:szCs w:val="24"/>
        </w:rPr>
      </w:pPr>
    </w:p>
    <w:p w14:paraId="0DED08C2" w14:textId="77777777" w:rsidR="00EA1E5B" w:rsidRDefault="00EA1E5B" w:rsidP="00EA1E5B">
      <w:pPr>
        <w:spacing w:line="480" w:lineRule="auto"/>
        <w:outlineLvl w:val="0"/>
        <w:rPr>
          <w:rFonts w:ascii="Times New Roman" w:eastAsia="Times New Roman" w:hAnsi="Times New Roman" w:cs="Times New Roman"/>
          <w:sz w:val="24"/>
          <w:szCs w:val="24"/>
        </w:rPr>
      </w:pPr>
    </w:p>
    <w:p w14:paraId="5975A81B" w14:textId="77777777" w:rsidR="00EA1E5B" w:rsidRDefault="00EA1E5B" w:rsidP="00EA1E5B">
      <w:pPr>
        <w:spacing w:line="480" w:lineRule="auto"/>
        <w:outlineLvl w:val="0"/>
        <w:rPr>
          <w:rFonts w:ascii="Times New Roman" w:eastAsia="Times New Roman" w:hAnsi="Times New Roman" w:cs="Times New Roman"/>
          <w:sz w:val="24"/>
          <w:szCs w:val="24"/>
        </w:rPr>
      </w:pPr>
    </w:p>
    <w:p w14:paraId="11BF0567" w14:textId="77777777" w:rsidR="00EA1E5B" w:rsidRDefault="00EA1E5B" w:rsidP="00EA1E5B">
      <w:pPr>
        <w:spacing w:line="480" w:lineRule="auto"/>
        <w:outlineLvl w:val="0"/>
        <w:rPr>
          <w:rFonts w:ascii="Times New Roman" w:eastAsia="Times New Roman" w:hAnsi="Times New Roman" w:cs="Times New Roman"/>
          <w:sz w:val="24"/>
          <w:szCs w:val="24"/>
        </w:rPr>
      </w:pPr>
    </w:p>
    <w:p w14:paraId="683F01FA" w14:textId="77777777" w:rsidR="00EA1E5B" w:rsidRDefault="00EA1E5B" w:rsidP="00EA1E5B">
      <w:pPr>
        <w:spacing w:line="480" w:lineRule="auto"/>
        <w:outlineLvl w:val="0"/>
        <w:rPr>
          <w:rFonts w:ascii="Times New Roman" w:eastAsia="Times New Roman" w:hAnsi="Times New Roman" w:cs="Times New Roman"/>
          <w:sz w:val="24"/>
          <w:szCs w:val="24"/>
        </w:rPr>
      </w:pPr>
    </w:p>
    <w:p w14:paraId="543BD18D" w14:textId="77777777" w:rsidR="00EA1E5B" w:rsidRDefault="00EA1E5B" w:rsidP="00EA1E5B">
      <w:pPr>
        <w:spacing w:line="480" w:lineRule="auto"/>
        <w:outlineLvl w:val="0"/>
        <w:rPr>
          <w:rFonts w:ascii="Times New Roman" w:eastAsia="Times New Roman" w:hAnsi="Times New Roman" w:cs="Times New Roman"/>
          <w:sz w:val="24"/>
          <w:szCs w:val="24"/>
        </w:rPr>
      </w:pPr>
    </w:p>
    <w:p w14:paraId="15E2E01F" w14:textId="77777777" w:rsidR="00EA1E5B" w:rsidRDefault="00EA1E5B" w:rsidP="00EA1E5B">
      <w:pPr>
        <w:spacing w:line="480" w:lineRule="auto"/>
        <w:outlineLvl w:val="0"/>
        <w:rPr>
          <w:rFonts w:ascii="Times New Roman" w:eastAsia="Times New Roman" w:hAnsi="Times New Roman" w:cs="Times New Roman"/>
          <w:sz w:val="24"/>
          <w:szCs w:val="24"/>
        </w:rPr>
      </w:pPr>
    </w:p>
    <w:p w14:paraId="3BBCCD32" w14:textId="77777777" w:rsidR="00EA1E5B" w:rsidRDefault="00EA1E5B" w:rsidP="00EA1E5B">
      <w:pPr>
        <w:spacing w:line="480" w:lineRule="auto"/>
        <w:outlineLvl w:val="0"/>
        <w:rPr>
          <w:rFonts w:ascii="Times New Roman" w:eastAsia="Times New Roman" w:hAnsi="Times New Roman" w:cs="Times New Roman"/>
          <w:sz w:val="24"/>
          <w:szCs w:val="24"/>
        </w:rPr>
      </w:pPr>
      <w:bookmarkStart w:id="0" w:name="_GoBack"/>
      <w:bookmarkEnd w:id="0"/>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Raimon VI was excommunicated by the pope for refusing to suppress heresy, the notion that he </w:t>
      </w:r>
      <w:r w:rsidRPr="0035045F">
        <w:rPr>
          <w:rFonts w:ascii="Times New Roman" w:eastAsia="Times New Roman" w:hAnsi="Times New Roman" w:cs="Times New Roman"/>
          <w:sz w:val="24"/>
          <w:szCs w:val="24"/>
        </w:rPr>
        <w:lastRenderedPageBreak/>
        <w:t>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tried to broker a peace agreement between Raimon VI,  the pope, and the crusaders. He </w:t>
      </w:r>
      <w:r w:rsidRPr="0035045F">
        <w:rPr>
          <w:rFonts w:ascii="Times New Roman" w:eastAsia="Times New Roman" w:hAnsi="Times New Roman" w:cs="Times New Roman"/>
          <w:sz w:val="24"/>
          <w:szCs w:val="24"/>
        </w:rPr>
        <w:lastRenderedPageBreak/>
        <w:t xml:space="preserve">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Peace of Paris was signed, and the Albigensian crusade finally came to a close after two decades </w:t>
      </w:r>
      <w:r w:rsidRPr="0035045F">
        <w:rPr>
          <w:rFonts w:ascii="Times New Roman" w:eastAsia="Times New Roman" w:hAnsi="Times New Roman" w:cs="Times New Roman"/>
          <w:sz w:val="24"/>
          <w:szCs w:val="24"/>
        </w:rPr>
        <w:lastRenderedPageBreak/>
        <w:t>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with Peire Castelnau’s murder 34 years earlier, but the murder did cause him and his local </w:t>
      </w:r>
      <w:r w:rsidRPr="0035045F">
        <w:rPr>
          <w:rFonts w:ascii="Times New Roman" w:eastAsia="Times New Roman" w:hAnsi="Times New Roman" w:cs="Times New Roman"/>
          <w:sz w:val="24"/>
          <w:szCs w:val="24"/>
        </w:rPr>
        <w:lastRenderedPageBreak/>
        <w:t>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lastRenderedPageBreak/>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 xml:space="preserve">n were </w:t>
      </w:r>
      <w:r w:rsidRPr="0035045F">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35045F">
        <w:rPr>
          <w:rFonts w:ascii="Times New Roman" w:eastAsia="Times New Roman" w:hAnsi="Times New Roman" w:cs="Times New Roman"/>
          <w:sz w:val="24"/>
          <w:szCs w:val="24"/>
        </w:rPr>
        <w:lastRenderedPageBreak/>
        <w:t>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35045F">
        <w:rPr>
          <w:rFonts w:ascii="Times New Roman" w:eastAsia="Times New Roman" w:hAnsi="Times New Roman" w:cs="Times New Roman"/>
          <w:sz w:val="24"/>
          <w:szCs w:val="24"/>
        </w:rPr>
        <w:lastRenderedPageBreak/>
        <w:t>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 testimonies </w:t>
      </w:r>
      <w:r w:rsidRPr="0035045F">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35045F">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w:t>
      </w:r>
      <w:r w:rsidRPr="0035045F">
        <w:rPr>
          <w:rFonts w:ascii="Times New Roman" w:eastAsia="Times New Roman" w:hAnsi="Times New Roman" w:cs="Times New Roman"/>
          <w:sz w:val="24"/>
          <w:szCs w:val="24"/>
        </w:rPr>
        <w:lastRenderedPageBreak/>
        <w:t xml:space="preserve">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10"/>
      <w:r w:rsidRPr="0035045F">
        <w:rPr>
          <w:rFonts w:ascii="Times New Roman" w:eastAsia="Times New Roman" w:hAnsi="Times New Roman" w:cs="Times New Roman"/>
          <w:sz w:val="24"/>
          <w:szCs w:val="24"/>
        </w:rPr>
        <w:t>eleventh 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w:t>
      </w:r>
      <w:r w:rsidRPr="0035045F">
        <w:rPr>
          <w:rFonts w:ascii="Times New Roman" w:eastAsia="Times New Roman" w:hAnsi="Times New Roman" w:cs="Times New Roman"/>
          <w:sz w:val="24"/>
          <w:szCs w:val="24"/>
        </w:rPr>
        <w:lastRenderedPageBreak/>
        <w:t xml:space="preserve">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w:t>
      </w:r>
      <w:r w:rsidRPr="0035045F">
        <w:rPr>
          <w:rFonts w:ascii="Times New Roman" w:eastAsia="Times New Roman" w:hAnsi="Times New Roman" w:cs="Times New Roman"/>
          <w:sz w:val="24"/>
          <w:szCs w:val="24"/>
          <w:highlight w:val="yellow"/>
        </w:rPr>
        <w:lastRenderedPageBreak/>
        <w:t>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w:t>
      </w:r>
      <w:r w:rsidRPr="0035045F">
        <w:rPr>
          <w:rFonts w:ascii="Times New Roman" w:eastAsia="Times New Roman" w:hAnsi="Times New Roman" w:cs="Times New Roman"/>
          <w:sz w:val="24"/>
          <w:szCs w:val="24"/>
          <w:shd w:val="clear" w:color="auto" w:fill="D9D2E9"/>
        </w:rPr>
        <w:lastRenderedPageBreak/>
        <w:t>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w:t>
      </w:r>
      <w:r w:rsidRPr="0035045F">
        <w:rPr>
          <w:rFonts w:ascii="Times New Roman" w:eastAsia="Times New Roman" w:hAnsi="Times New Roman" w:cs="Times New Roman"/>
          <w:sz w:val="24"/>
          <w:szCs w:val="24"/>
          <w:shd w:val="clear" w:color="auto" w:fill="FF9900"/>
        </w:rPr>
        <w:lastRenderedPageBreak/>
        <w:t xml:space="preserve">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lastRenderedPageBreak/>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lastRenderedPageBreak/>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w:t>
      </w:r>
      <w:r w:rsidR="00C62FAF" w:rsidRPr="0035045F">
        <w:rPr>
          <w:color w:val="000000" w:themeColor="text1"/>
          <w:sz w:val="23"/>
          <w:szCs w:val="23"/>
        </w:rPr>
        <w:lastRenderedPageBreak/>
        <w:t xml:space="preserve">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atin that the deponent’s beliefs began and ended and the equivalent numeric dates, the beliefs that the 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lastRenderedPageBreak/>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Anno Domini MÂ° CCÂ° XLÂ° quinto VI Kalendas Iunii. Arnaldus Garnerii testis iuratus dixit quod vidit in domo Petri de Sancto Andrea Bernardum de Sancto Andrea, fratrem dicti Petri, et socium eius, </w:t>
            </w:r>
            <w:r w:rsidRPr="0035045F">
              <w:rPr>
                <w:rFonts w:ascii="Times New Roman" w:hAnsi="Times New Roman" w:cs="Times New Roman"/>
                <w:color w:val="000000"/>
                <w:lang w:val="en-US"/>
              </w:rPr>
              <w:lastRenderedPageBreak/>
              <w:t>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 xml:space="preserve">The year of our Lord 1245, 6th Kalends of June. The sworn witness Arnald Garnier said that he saw in the house of Peire de Saint-Andrea Bernard de Saint-Andrea - brother of the aforesaid Peire - and his companion, </w:t>
            </w:r>
            <w:r w:rsidRPr="0035045F">
              <w:rPr>
                <w:rFonts w:ascii="Times New Roman" w:hAnsi="Times New Roman" w:cs="Times New Roman"/>
                <w:color w:val="000000"/>
                <w:lang w:val="en-US"/>
              </w:rPr>
              <w:lastRenderedPageBreak/>
              <w:t>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w:t>
      </w:r>
      <w:r w:rsidR="002F43B9" w:rsidRPr="0035045F">
        <w:rPr>
          <w:rFonts w:ascii="Times New Roman" w:eastAsia="Times New Roman" w:hAnsi="Times New Roman" w:cs="Times New Roman"/>
          <w:sz w:val="24"/>
          <w:szCs w:val="24"/>
        </w:rPr>
        <w:lastRenderedPageBreak/>
        <w:t xml:space="preserve">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A01079F"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4F053A">
        <w:rPr>
          <w:rFonts w:ascii="Times New Roman" w:eastAsia="Times New Roman" w:hAnsi="Times New Roman" w:cs="Times New Roman"/>
          <w:sz w:val="24"/>
          <w:szCs w:val="24"/>
        </w:rPr>
        <w:t>Greenstein puts forth a</w:t>
      </w:r>
      <w:r w:rsidR="00705DF8" w:rsidRPr="0035045F">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Pr>
          <w:rFonts w:ascii="Times New Roman" w:eastAsia="Times New Roman" w:hAnsi="Times New Roman" w:cs="Times New Roman"/>
          <w:sz w:val="24"/>
          <w:szCs w:val="24"/>
        </w:rPr>
        <w:t xml:space="preserve">For far too long, traditional historians have viewed digital history as something separate from </w:t>
      </w:r>
      <w:r w:rsidR="003C0967">
        <w:rPr>
          <w:rFonts w:ascii="Times New Roman" w:eastAsia="Times New Roman" w:hAnsi="Times New Roman" w:cs="Times New Roman"/>
          <w:sz w:val="24"/>
          <w:szCs w:val="24"/>
        </w:rPr>
        <w:lastRenderedPageBreak/>
        <w:t xml:space="preserve">their </w:t>
      </w:r>
      <w:r w:rsidR="00C44390">
        <w:rPr>
          <w:rFonts w:ascii="Times New Roman" w:eastAsia="Times New Roman" w:hAnsi="Times New Roman" w:cs="Times New Roman"/>
          <w:sz w:val="24"/>
          <w:szCs w:val="24"/>
        </w:rPr>
        <w:t>own work.</w:t>
      </w:r>
      <w:r w:rsidR="00AC4E88" w:rsidRPr="0035045F">
        <w:rPr>
          <w:rFonts w:ascii="Times New Roman" w:eastAsia="Times New Roman" w:hAnsi="Times New Roman" w:cs="Times New Roman"/>
          <w:sz w:val="24"/>
          <w:szCs w:val="24"/>
        </w:rPr>
        <w:t xml:space="preserve"> </w:t>
      </w:r>
      <w:r w:rsidR="00C44390" w:rsidRPr="00C44390">
        <w:rPr>
          <w:rFonts w:ascii="Times New Roman" w:eastAsia="Times New Roman" w:hAnsi="Times New Roman" w:cs="Times New Roman"/>
          <w:sz w:val="24"/>
          <w:szCs w:val="24"/>
          <w:highlight w:val="yellow"/>
        </w:rPr>
        <w:t>While t</w:t>
      </w:r>
      <w:r w:rsidR="005E0A21" w:rsidRPr="00C44390">
        <w:rPr>
          <w:rFonts w:ascii="Times New Roman" w:eastAsia="Times New Roman" w:hAnsi="Times New Roman" w:cs="Times New Roman"/>
          <w:sz w:val="24"/>
          <w:szCs w:val="24"/>
          <w:highlight w:val="yellow"/>
        </w:rPr>
        <w:t>he</w:t>
      </w:r>
      <w:r w:rsidR="005969F3" w:rsidRPr="00C44390">
        <w:rPr>
          <w:rFonts w:ascii="Times New Roman" w:eastAsia="Times New Roman" w:hAnsi="Times New Roman" w:cs="Times New Roman"/>
          <w:sz w:val="24"/>
          <w:szCs w:val="24"/>
          <w:highlight w:val="yellow"/>
        </w:rPr>
        <w:t xml:space="preserve"> </w:t>
      </w:r>
      <w:r w:rsidR="005E0A21" w:rsidRPr="00C44390">
        <w:rPr>
          <w:rFonts w:ascii="Times New Roman" w:eastAsia="Times New Roman" w:hAnsi="Times New Roman" w:cs="Times New Roman"/>
          <w:sz w:val="24"/>
          <w:szCs w:val="24"/>
          <w:highlight w:val="yellow"/>
        </w:rPr>
        <w:t>techniques</w:t>
      </w:r>
      <w:r w:rsidR="005969F3" w:rsidRPr="00C44390">
        <w:rPr>
          <w:rFonts w:ascii="Times New Roman" w:eastAsia="Times New Roman" w:hAnsi="Times New Roman" w:cs="Times New Roman"/>
          <w:sz w:val="24"/>
          <w:szCs w:val="24"/>
          <w:highlight w:val="yellow"/>
        </w:rPr>
        <w:t xml:space="preserve"> I used to conduct my research are </w:t>
      </w:r>
      <w:r w:rsidR="00C44390" w:rsidRPr="00C44390">
        <w:rPr>
          <w:rFonts w:ascii="Times New Roman" w:eastAsia="Times New Roman" w:hAnsi="Times New Roman" w:cs="Times New Roman"/>
          <w:sz w:val="24"/>
          <w:szCs w:val="24"/>
          <w:highlight w:val="yellow"/>
        </w:rPr>
        <w:t xml:space="preserve">rather unconventional, </w:t>
      </w:r>
      <w:r w:rsidR="005E0A21" w:rsidRPr="00C44390">
        <w:rPr>
          <w:rFonts w:ascii="Times New Roman" w:eastAsia="Times New Roman" w:hAnsi="Times New Roman" w:cs="Times New Roman"/>
          <w:sz w:val="24"/>
          <w:szCs w:val="24"/>
          <w:highlight w:val="yellow"/>
        </w:rPr>
        <w:t xml:space="preserve"> the methodology behind my analysis is</w:t>
      </w:r>
      <w:r w:rsidR="005969F3" w:rsidRPr="00C44390">
        <w:rPr>
          <w:rFonts w:ascii="Times New Roman" w:eastAsia="Times New Roman" w:hAnsi="Times New Roman" w:cs="Times New Roman"/>
          <w:sz w:val="24"/>
          <w:szCs w:val="24"/>
          <w:highlight w:val="yellow"/>
        </w:rPr>
        <w:t xml:space="preserve"> actually </w:t>
      </w:r>
      <w:r w:rsidR="005E0A21" w:rsidRPr="00C44390">
        <w:rPr>
          <w:rFonts w:ascii="Times New Roman" w:eastAsia="Times New Roman" w:hAnsi="Times New Roman" w:cs="Times New Roman"/>
          <w:sz w:val="24"/>
          <w:szCs w:val="24"/>
          <w:highlight w:val="yellow"/>
        </w:rPr>
        <w:t>fairly</w:t>
      </w:r>
      <w:r w:rsidR="005969F3" w:rsidRPr="00C44390">
        <w:rPr>
          <w:rFonts w:ascii="Times New Roman" w:eastAsia="Times New Roman" w:hAnsi="Times New Roman" w:cs="Times New Roman"/>
          <w:sz w:val="24"/>
          <w:szCs w:val="24"/>
          <w:highlight w:val="yellow"/>
        </w:rPr>
        <w:t xml:space="preserve"> conventional</w:t>
      </w:r>
      <w:r w:rsidR="00AC4E88" w:rsidRPr="00C44390">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I am far from the first person to count up depositions with certain attributes in MS 609</w:t>
      </w:r>
      <w:r w:rsidR="00C44390">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However, by using</w:t>
      </w:r>
      <w:r w:rsidR="00C44390">
        <w:rPr>
          <w:rFonts w:ascii="Times New Roman" w:eastAsia="Times New Roman" w:hAnsi="Times New Roman" w:cs="Times New Roman"/>
          <w:sz w:val="24"/>
          <w:szCs w:val="24"/>
        </w:rPr>
        <w:t xml:space="preserve"> a computer</w:t>
      </w:r>
      <w:r w:rsidR="00AC4E88" w:rsidRPr="0035045F">
        <w:rPr>
          <w:rFonts w:ascii="Times New Roman" w:eastAsia="Times New Roman" w:hAnsi="Times New Roman" w:cs="Times New Roman"/>
          <w:sz w:val="24"/>
          <w:szCs w:val="24"/>
        </w:rPr>
        <w:t xml:space="preserve">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4A2289">
        <w:rPr>
          <w:rFonts w:ascii="Times New Roman" w:eastAsia="Times New Roman" w:hAnsi="Times New Roman" w:cs="Times New Roman"/>
          <w:sz w:val="24"/>
          <w:szCs w:val="24"/>
        </w:rPr>
        <w:t xml:space="preserve">, </w:t>
      </w:r>
      <w:r w:rsidR="00AB1D1B">
        <w:rPr>
          <w:rFonts w:ascii="Times New Roman" w:eastAsia="Times New Roman" w:hAnsi="Times New Roman" w:cs="Times New Roman"/>
          <w:sz w:val="24"/>
          <w:szCs w:val="24"/>
        </w:rPr>
        <w:t>and</w:t>
      </w:r>
      <w:r w:rsidR="00D23583" w:rsidRPr="0035045F">
        <w:rPr>
          <w:rFonts w:ascii="Times New Roman" w:eastAsia="Times New Roman" w:hAnsi="Times New Roman" w:cs="Times New Roman"/>
          <w:sz w:val="24"/>
          <w:szCs w:val="24"/>
        </w:rPr>
        <w:t xml:space="preserve"> more</w:t>
      </w:r>
      <w:r w:rsidR="004A2289">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w:t>
      </w:r>
      <w:r w:rsidR="00C44390">
        <w:rPr>
          <w:rFonts w:ascii="Times New Roman" w:eastAsia="Times New Roman" w:hAnsi="Times New Roman" w:cs="Times New Roman"/>
          <w:sz w:val="24"/>
          <w:szCs w:val="24"/>
        </w:rPr>
        <w:t>made it much easier to find depositions with specific attributes.</w:t>
      </w:r>
      <w:r w:rsidR="00BD716A" w:rsidRPr="0035045F">
        <w:rPr>
          <w:rFonts w:ascii="Times New Roman" w:eastAsia="Times New Roman" w:hAnsi="Times New Roman" w:cs="Times New Roman"/>
          <w:sz w:val="24"/>
          <w:szCs w:val="24"/>
        </w:rPr>
        <w:t xml:space="preserve"> I can only imagine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sidRPr="00C44390">
        <w:rPr>
          <w:rFonts w:ascii="Times New Roman" w:eastAsia="Times New Roman" w:hAnsi="Times New Roman" w:cs="Times New Roman"/>
          <w:sz w:val="24"/>
          <w:szCs w:val="24"/>
        </w:rPr>
        <w:t>The idea that computational history is somehow fundamentally different from “regular” history is a fallacy.</w:t>
      </w:r>
      <w:r w:rsidR="00D23583" w:rsidRPr="00C44390">
        <w:rPr>
          <w:rFonts w:ascii="Times New Roman" w:eastAsia="Times New Roman" w:hAnsi="Times New Roman" w:cs="Times New Roman"/>
          <w:sz w:val="24"/>
          <w:szCs w:val="24"/>
        </w:rPr>
        <w:t xml:space="preserve"> </w:t>
      </w:r>
      <w:r w:rsidR="00715DBF" w:rsidRPr="00C44390">
        <w:rPr>
          <w:rFonts w:ascii="Times New Roman" w:eastAsia="Times New Roman" w:hAnsi="Times New Roman" w:cs="Times New Roman"/>
          <w:sz w:val="24"/>
          <w:szCs w:val="24"/>
        </w:rPr>
        <w:t>Computers</w:t>
      </w:r>
      <w:r w:rsidR="00D23583" w:rsidRPr="00C44390">
        <w:rPr>
          <w:rFonts w:ascii="Times New Roman" w:eastAsia="Times New Roman" w:hAnsi="Times New Roman" w:cs="Times New Roman"/>
          <w:sz w:val="24"/>
          <w:szCs w:val="24"/>
        </w:rPr>
        <w:t xml:space="preserve"> are simply tools</w:t>
      </w:r>
      <w:r w:rsidR="00C44390">
        <w:rPr>
          <w:rFonts w:ascii="Times New Roman" w:eastAsia="Times New Roman" w:hAnsi="Times New Roman" w:cs="Times New Roman"/>
          <w:sz w:val="24"/>
          <w:szCs w:val="24"/>
        </w:rPr>
        <w:t xml:space="preserve">, and just like any other tool, </w:t>
      </w:r>
      <w:r w:rsidR="00BD716A" w:rsidRPr="00C44390">
        <w:rPr>
          <w:rFonts w:ascii="Times New Roman" w:eastAsia="Times New Roman" w:hAnsi="Times New Roman" w:cs="Times New Roman"/>
          <w:sz w:val="24"/>
          <w:szCs w:val="24"/>
        </w:rPr>
        <w:t>the</w:t>
      </w:r>
      <w:r w:rsidR="00AB1D1B" w:rsidRPr="00C44390">
        <w:rPr>
          <w:rFonts w:ascii="Times New Roman" w:eastAsia="Times New Roman" w:hAnsi="Times New Roman" w:cs="Times New Roman"/>
          <w:sz w:val="24"/>
          <w:szCs w:val="24"/>
        </w:rPr>
        <w:t xml:space="preserve"> quality of the work they produce is determined by the person wielding them. </w:t>
      </w:r>
    </w:p>
    <w:p w14:paraId="660B9A06" w14:textId="2B18C68C"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w:t>
      </w:r>
      <w:r w:rsidR="00247556" w:rsidRPr="0035045F">
        <w:rPr>
          <w:rFonts w:ascii="Times New Roman" w:eastAsia="Times New Roman" w:hAnsi="Times New Roman" w:cs="Times New Roman"/>
          <w:sz w:val="24"/>
          <w:szCs w:val="24"/>
        </w:rPr>
        <w:lastRenderedPageBreak/>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3"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4"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5"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6"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7"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8" w:author="Microsoft Office User" w:date="2019-03-07T15:24:00Z" w:initials="Office">
    <w:p w14:paraId="06744960" w14:textId="5DCEC1B1" w:rsidR="007F5347" w:rsidRDefault="007F5347">
      <w:pPr>
        <w:pStyle w:val="CommentText"/>
      </w:pPr>
      <w:r>
        <w:rPr>
          <w:rStyle w:val="CommentReference"/>
        </w:rPr>
        <w:annotationRef/>
      </w:r>
      <w:r>
        <w:t>???</w:t>
      </w:r>
    </w:p>
  </w:comment>
  <w:comment w:id="9" w:author="Microsoft Office User" w:date="2019-03-07T15:29:00Z" w:initials="Office">
    <w:p w14:paraId="36530965" w14:textId="151EF305" w:rsidR="007F5347" w:rsidRDefault="007F5347">
      <w:pPr>
        <w:pStyle w:val="CommentText"/>
      </w:pPr>
      <w:r>
        <w:rPr>
          <w:rStyle w:val="CommentReference"/>
        </w:rPr>
        <w:annotationRef/>
      </w:r>
      <w:r>
        <w:t>???</w:t>
      </w:r>
    </w:p>
  </w:comment>
  <w:comment w:id="10"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1"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3"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5"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6"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DB549" w14:textId="77777777" w:rsidR="00412EAC" w:rsidRDefault="00412EAC" w:rsidP="00632FE0">
      <w:pPr>
        <w:spacing w:line="240" w:lineRule="auto"/>
      </w:pPr>
      <w:r>
        <w:separator/>
      </w:r>
    </w:p>
  </w:endnote>
  <w:endnote w:type="continuationSeparator" w:id="0">
    <w:p w14:paraId="5394BAA0" w14:textId="77777777" w:rsidR="00412EAC" w:rsidRDefault="00412EA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50FEB" w14:textId="77777777" w:rsidR="00412EAC" w:rsidRDefault="00412EAC" w:rsidP="00632FE0">
      <w:pPr>
        <w:spacing w:line="240" w:lineRule="auto"/>
      </w:pPr>
      <w:r>
        <w:separator/>
      </w:r>
    </w:p>
  </w:footnote>
  <w:footnote w:type="continuationSeparator" w:id="0">
    <w:p w14:paraId="3738CEC0" w14:textId="77777777" w:rsidR="00412EAC" w:rsidRDefault="00412EAC"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 xml:space="preserve">Biller, “Cathars and the Natural World,” p.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71DB"/>
    <w:rsid w:val="0031771D"/>
    <w:rsid w:val="00320ADC"/>
    <w:rsid w:val="00324DEF"/>
    <w:rsid w:val="00326388"/>
    <w:rsid w:val="003324C3"/>
    <w:rsid w:val="00332BE1"/>
    <w:rsid w:val="00341DFD"/>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2EAC"/>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4390"/>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1E5B"/>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A574392-FD40-B546-BD77-9A5E9515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107</Pages>
  <Words>21021</Words>
  <Characters>119822</Characters>
  <Application>Microsoft Macintosh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490</cp:revision>
  <dcterms:created xsi:type="dcterms:W3CDTF">2019-01-28T01:52:00Z</dcterms:created>
  <dcterms:modified xsi:type="dcterms:W3CDTF">2019-03-18T21:47:00Z</dcterms:modified>
</cp:coreProperties>
</file>