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0AB2606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w:t>
      </w:r>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entire conflict could be considered</w:t>
      </w:r>
      <w:r w:rsidRPr="0035045F">
        <w:rPr>
          <w:rFonts w:ascii="Times New Roman" w:eastAsia="Times New Roman" w:hAnsi="Times New Roman" w:cs="Times New Roman"/>
          <w:sz w:val="24"/>
          <w:szCs w:val="24"/>
        </w:rPr>
        <w:t xml:space="preserve">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lastRenderedPageBreak/>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7663E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w:t>
      </w:r>
      <w:proofErr w:type="gramStart"/>
      <w:r w:rsidR="004720EE" w:rsidRPr="00841B1C">
        <w:rPr>
          <w:color w:val="000000" w:themeColor="text1"/>
        </w:rPr>
        <w:t>tei:date</w:t>
      </w:r>
      <w:proofErr w:type="gramEnd"/>
      <w:r w:rsidR="004720EE" w:rsidRPr="00841B1C">
        <w:rPr>
          <w:color w:val="000000" w:themeColor="text1"/>
        </w:rPr>
        <w:t>[@type='event_date']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 xml:space="preserve">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When reading the depositions it was clear to me that the errors people claimed to have heard were less consistent than what people believed about heretic, and the data supports that 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w:t>
      </w:r>
      <w:r w:rsidR="001C0DF6" w:rsidRPr="0035045F">
        <w:rPr>
          <w:rFonts w:ascii="Times New Roman" w:eastAsia="Times New Roman" w:hAnsi="Times New Roman" w:cs="Times New Roman"/>
          <w:sz w:val="24"/>
          <w:szCs w:val="24"/>
        </w:rPr>
        <w:lastRenderedPageBreak/>
        <w:t xml:space="preserve">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w:t>
      </w:r>
      <w:proofErr w:type="gramStart"/>
      <w:r w:rsidRPr="008451FE">
        <w:rPr>
          <w:rFonts w:ascii="Times New Roman" w:eastAsia="Times New Roman" w:hAnsi="Times New Roman" w:cs="Times New Roman"/>
          <w:color w:val="000000"/>
          <w:sz w:val="24"/>
          <w:szCs w:val="24"/>
          <w:lang w:val="en-US"/>
        </w:rPr>
        <w:t>their</w:t>
      </w:r>
      <w:proofErr w:type="gramEnd"/>
      <w:r w:rsidRPr="008451FE">
        <w:rPr>
          <w:rFonts w:ascii="Times New Roman" w:eastAsia="Times New Roman" w:hAnsi="Times New Roman" w:cs="Times New Roman"/>
          <w:color w:val="000000"/>
          <w:sz w:val="24"/>
          <w:szCs w:val="24"/>
          <w:lang w:val="en-US"/>
        </w:rPr>
        <w:t xml:space="preserve">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5274AA" w:rsidP="005274AA">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http://medieval-inquisition.huma-num.fr/</w:t>
        </w:r>
      </w:hyperlink>
      <w:r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w:t>
      </w:r>
      <w:bookmarkStart w:id="2" w:name="_GoBack"/>
      <w:bookmarkEnd w:id="2"/>
      <w:r w:rsidRPr="00F56203">
        <w:rPr>
          <w:rFonts w:ascii="Times New Roman" w:hAnsi="Times New Roman" w:cs="Times New Roman"/>
          <w:color w:val="000000" w:themeColor="text1"/>
          <w:sz w:val="24"/>
          <w:szCs w:val="24"/>
        </w:rPr>
        <w:t>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8852B" w14:textId="77777777" w:rsidR="00B03E3A" w:rsidRDefault="00B03E3A" w:rsidP="00632FE0">
      <w:pPr>
        <w:spacing w:line="240" w:lineRule="auto"/>
      </w:pPr>
      <w:r>
        <w:separator/>
      </w:r>
    </w:p>
  </w:endnote>
  <w:endnote w:type="continuationSeparator" w:id="0">
    <w:p w14:paraId="042CA0A5" w14:textId="77777777" w:rsidR="00B03E3A" w:rsidRDefault="00B03E3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F56203">
      <w:rPr>
        <w:rStyle w:val="PageNumber"/>
        <w:rFonts w:ascii="Times New Roman" w:hAnsi="Times New Roman" w:cs="Times New Roman"/>
        <w:noProof/>
        <w:sz w:val="24"/>
        <w:szCs w:val="24"/>
      </w:rPr>
      <w:t>120</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EB064" w14:textId="77777777" w:rsidR="00B03E3A" w:rsidRDefault="00B03E3A" w:rsidP="00632FE0">
      <w:pPr>
        <w:spacing w:line="240" w:lineRule="auto"/>
      </w:pPr>
      <w:r>
        <w:separator/>
      </w:r>
    </w:p>
  </w:footnote>
  <w:footnote w:type="continuationSeparator" w:id="0">
    <w:p w14:paraId="4120FC87" w14:textId="77777777" w:rsidR="00B03E3A" w:rsidRDefault="00B03E3A"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3E3A"/>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DDBD803-777E-8846-949E-39D75DA9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127</Pages>
  <Words>23749</Words>
  <Characters>135373</Characters>
  <Application>Microsoft Macintosh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158805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754</cp:revision>
  <dcterms:created xsi:type="dcterms:W3CDTF">2019-01-28T01:52:00Z</dcterms:created>
  <dcterms:modified xsi:type="dcterms:W3CDTF">2019-03-29T15:31:00Z</dcterms:modified>
  <cp:category/>
</cp:coreProperties>
</file>