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w:t>
      </w:r>
      <w:r w:rsidR="00BE49BA" w:rsidRPr="000C1D4B">
        <w:rPr>
          <w:rFonts w:ascii="Times New Roman" w:eastAsia="Times New Roman" w:hAnsi="Times New Roman" w:cs="Times New Roman"/>
          <w:color w:val="000000"/>
          <w:sz w:val="24"/>
          <w:szCs w:val="24"/>
          <w:lang w:val="en-US"/>
        </w:rPr>
        <w:t>Municipal</w:t>
      </w:r>
      <w:r w:rsidRPr="000C1D4B">
        <w:rPr>
          <w:rFonts w:ascii="Times New Roman" w:eastAsia="Times New Roman" w:hAnsi="Times New Roman" w:cs="Times New Roman"/>
          <w:color w:val="000000"/>
          <w:sz w:val="24"/>
          <w:szCs w:val="24"/>
          <w:lang w:val="en-US"/>
        </w:rPr>
        <w:t xml:space="preserve">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BE49BA">
        <w:rPr>
          <w:rFonts w:ascii="Times New Roman" w:eastAsia="Times New Roman" w:hAnsi="Times New Roman" w:cs="Times New Roman"/>
          <w:i/>
          <w:iCs/>
          <w:color w:val="000000"/>
          <w:sz w:val="24"/>
          <w:szCs w:val="24"/>
          <w:lang w:val="en-US"/>
        </w:rPr>
        <w:t>inquisitioni</w:t>
      </w:r>
      <w:r w:rsidR="00E33F7D">
        <w:rPr>
          <w:rFonts w:ascii="Times New Roman" w:eastAsia="Times New Roman" w:hAnsi="Times New Roman" w:cs="Times New Roman"/>
          <w:i/>
          <w:iCs/>
          <w:color w:val="000000"/>
          <w:sz w:val="24"/>
          <w:szCs w:val="24"/>
          <w:lang w:val="en-US"/>
        </w:rPr>
        <w:t>s here</w:t>
      </w:r>
      <w:r w:rsidR="00F575B2">
        <w:rPr>
          <w:rFonts w:ascii="Times New Roman" w:eastAsia="Times New Roman" w:hAnsi="Times New Roman" w:cs="Times New Roman"/>
          <w:i/>
          <w:iCs/>
          <w:color w:val="000000"/>
          <w:sz w:val="24"/>
          <w:szCs w:val="24"/>
          <w:lang w:val="en-US"/>
        </w:rPr>
        <w:t>tic</w:t>
      </w:r>
      <w:r w:rsidR="00E33F7D">
        <w:rPr>
          <w:rFonts w:ascii="Times New Roman" w:eastAsia="Times New Roman" w:hAnsi="Times New Roman" w:cs="Times New Roman"/>
          <w:i/>
          <w:iCs/>
          <w:color w:val="000000"/>
          <w:sz w:val="24"/>
          <w:szCs w:val="24"/>
          <w:lang w:val="en-US"/>
        </w:rPr>
        <w:t xml:space="preserve">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 xml:space="preserve">S 609 with dualist references </w:t>
      </w:r>
      <w:r w:rsidR="00C138E4">
        <w:rPr>
          <w:rFonts w:ascii="Times New Roman" w:eastAsia="Times New Roman" w:hAnsi="Times New Roman" w:cs="Times New Roman"/>
          <w:sz w:val="24"/>
          <w:szCs w:val="24"/>
          <w:highlight w:val="yellow"/>
        </w:rPr>
        <w:t>derives</w:t>
      </w:r>
      <w:r w:rsidR="00F245EF">
        <w:rPr>
          <w:rFonts w:ascii="Times New Roman" w:eastAsia="Times New Roman" w:hAnsi="Times New Roman" w:cs="Times New Roman"/>
          <w:sz w:val="24"/>
          <w:szCs w:val="24"/>
          <w:highlight w:val="yellow"/>
        </w:rPr>
        <w:t xml:space="preserve">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8451FE" w:rsidRDefault="003A2C5B" w:rsidP="000060BE">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Pr="008451FE" w:rsidRDefault="001D0CC5" w:rsidP="001D0CC5">
      <w:pPr>
        <w:pStyle w:val="EndnoteText"/>
        <w:spacing w:line="480" w:lineRule="auto"/>
        <w:ind w:left="720"/>
        <w:rPr>
          <w:szCs w:val="24"/>
        </w:rPr>
      </w:pPr>
      <w:r w:rsidRPr="008451FE">
        <w:rPr>
          <w:szCs w:val="24"/>
        </w:rPr>
        <w:t>1990).</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E0B25D3" w14:textId="6B3A4214" w:rsidR="009F1409" w:rsidRDefault="009F1409" w:rsidP="009F140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0859D604" w14:textId="77777777" w:rsidR="0053367F" w:rsidRPr="008451FE" w:rsidRDefault="0053367F" w:rsidP="009F1409">
      <w:pPr>
        <w:spacing w:line="480" w:lineRule="auto"/>
        <w:ind w:left="720"/>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Pr="008451FE"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8B200F"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Pr="008451F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Pr="008451FE"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Pr="008451FE"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D0CC5" w:rsidP="001D0CC5">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w:t>
        </w:r>
        <w:r w:rsidRPr="008B0DCF">
          <w:rPr>
            <w:rStyle w:val="Hyperlink"/>
            <w:rFonts w:ascii="Times New Roman" w:eastAsia="Times New Roman" w:hAnsi="Times New Roman" w:cs="Times New Roman"/>
            <w:sz w:val="24"/>
            <w:szCs w:val="24"/>
          </w:rPr>
          <w:t>inquisition.huma-num.fr/</w:t>
        </w:r>
      </w:hyperlink>
      <w:r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lastRenderedPageBreak/>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37DA81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6A71476"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62C8C7FC"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BACF593"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555D8E0"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96DE65D"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582B413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0E71ED7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3AFCC31"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A394519"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21CACFF"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71256F1A"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4F36C708" w14:textId="77777777" w:rsidR="00505FF0" w:rsidRDefault="00505FF0" w:rsidP="00720ABD">
      <w:pPr>
        <w:spacing w:line="480" w:lineRule="auto"/>
        <w:rPr>
          <w:rFonts w:ascii="Times New Roman" w:eastAsia="Times New Roman" w:hAnsi="Times New Roman" w:cs="Times New Roman"/>
          <w:color w:val="000000"/>
          <w:sz w:val="24"/>
          <w:szCs w:val="24"/>
          <w:lang w:val="en-US"/>
        </w:rPr>
      </w:pPr>
    </w:p>
    <w:p w14:paraId="30BC5B4B" w14:textId="77777777" w:rsidR="00720ABD" w:rsidRDefault="00720ABD" w:rsidP="00720ABD">
      <w:pPr>
        <w:spacing w:line="480" w:lineRule="auto"/>
        <w:rPr>
          <w:rFonts w:ascii="Times New Roman" w:eastAsia="Times New Roman" w:hAnsi="Times New Roman" w:cs="Times New Roman"/>
          <w:color w:val="000000"/>
          <w:sz w:val="24"/>
          <w:szCs w:val="24"/>
          <w:lang w:val="en-US"/>
        </w:rPr>
      </w:pPr>
      <w:bookmarkStart w:id="2" w:name="_GoBack"/>
      <w:bookmarkEnd w:id="2"/>
    </w:p>
    <w:p w14:paraId="370B5DE6" w14:textId="77777777" w:rsidR="002B1B7C" w:rsidRDefault="002B1B7C" w:rsidP="009E3F04">
      <w:pPr>
        <w:outlineLvl w:val="0"/>
        <w:rPr>
          <w:rFonts w:ascii="Times New Roman" w:eastAsia="Times New Roman" w:hAnsi="Times New Roman" w:cs="Times New Roman"/>
          <w:color w:val="000000"/>
          <w:sz w:val="24"/>
          <w:szCs w:val="24"/>
          <w:lang w:val="en-US"/>
        </w:rPr>
      </w:pPr>
    </w:p>
    <w:p w14:paraId="3DD0488B" w14:textId="77777777" w:rsidR="008451FE" w:rsidRDefault="008451FE"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4E1B327A" w14:textId="77777777" w:rsidR="00FB7195" w:rsidRPr="00FB7195" w:rsidRDefault="00FB7195" w:rsidP="00FB7195">
      <w:pPr>
        <w:spacing w:line="480" w:lineRule="auto"/>
        <w:rPr>
          <w:rFonts w:ascii="Times New Roman" w:hAnsi="Times New Roman" w:cs="Times New Roman"/>
          <w:sz w:val="24"/>
          <w:szCs w:val="24"/>
        </w:rPr>
      </w:pPr>
    </w:p>
    <w:p w14:paraId="68D3B7B7" w14:textId="77777777" w:rsidR="00FB7195" w:rsidRDefault="00FB7195" w:rsidP="00FB7195">
      <w:pPr>
        <w:spacing w:line="480" w:lineRule="auto"/>
        <w:rPr>
          <w:rFonts w:ascii="Times New Roman" w:hAnsi="Times New Roman" w:cs="Times New Roman"/>
          <w:i/>
          <w:sz w:val="24"/>
          <w:szCs w:val="24"/>
        </w:rPr>
      </w:pPr>
      <w:r w:rsidRPr="00FB7195">
        <w:rPr>
          <w:rFonts w:ascii="Times New Roman" w:hAnsi="Times New Roman" w:cs="Times New Roman"/>
          <w:sz w:val="24"/>
          <w:szCs w:val="24"/>
        </w:rPr>
        <w:t xml:space="preserve">Bisson, Thomas N.  </w:t>
      </w:r>
      <w:r w:rsidRPr="00FB7195">
        <w:rPr>
          <w:rFonts w:ascii="Times New Roman" w:hAnsi="Times New Roman" w:cs="Times New Roman"/>
          <w:i/>
          <w:sz w:val="24"/>
          <w:szCs w:val="24"/>
        </w:rPr>
        <w:t xml:space="preserve">Medieval France and Her Pyrenean Neighbours: Studies in Early </w:t>
      </w:r>
    </w:p>
    <w:p w14:paraId="046C4412" w14:textId="1D3BDFD1" w:rsidR="00FB7195" w:rsidRPr="00FB7195" w:rsidRDefault="00FB7195" w:rsidP="00FB7195">
      <w:pPr>
        <w:spacing w:line="480" w:lineRule="auto"/>
        <w:ind w:firstLine="720"/>
        <w:rPr>
          <w:rFonts w:ascii="Times New Roman" w:hAnsi="Times New Roman" w:cs="Times New Roman"/>
          <w:sz w:val="24"/>
          <w:szCs w:val="24"/>
        </w:rPr>
      </w:pPr>
      <w:r w:rsidRPr="00FB7195">
        <w:rPr>
          <w:rFonts w:ascii="Times New Roman" w:hAnsi="Times New Roman" w:cs="Times New Roman"/>
          <w:i/>
          <w:sz w:val="24"/>
          <w:szCs w:val="24"/>
        </w:rPr>
        <w:t xml:space="preserve">Institutional History </w:t>
      </w:r>
      <w:r w:rsidRPr="00FB7195">
        <w:rPr>
          <w:rFonts w:ascii="Times New Roman" w:hAnsi="Times New Roman" w:cs="Times New Roman"/>
          <w:sz w:val="24"/>
          <w:szCs w:val="24"/>
        </w:rPr>
        <w:t>(London: The Hambledon Press, 1989).</w:t>
      </w:r>
    </w:p>
    <w:p w14:paraId="487C2089" w14:textId="77777777" w:rsidR="00FB7195" w:rsidRPr="00FB7195" w:rsidRDefault="00FB7195" w:rsidP="00FB7195">
      <w:pPr>
        <w:spacing w:line="480" w:lineRule="auto"/>
        <w:rPr>
          <w:rFonts w:ascii="Times New Roman" w:hAnsi="Times New Roman" w:cs="Times New Roman"/>
          <w:sz w:val="24"/>
          <w:szCs w:val="24"/>
        </w:rPr>
      </w:pPr>
    </w:p>
    <w:p w14:paraId="1D0623D4" w14:textId="77777777" w:rsidR="00FB7195" w:rsidRDefault="00FB7195" w:rsidP="00FB7195">
      <w:pPr>
        <w:spacing w:line="480" w:lineRule="auto"/>
        <w:rPr>
          <w:rFonts w:ascii="Times New Roman" w:hAnsi="Times New Roman" w:cs="Times New Roman"/>
          <w:sz w:val="24"/>
          <w:szCs w:val="24"/>
        </w:rPr>
      </w:pPr>
      <w:r w:rsidRPr="00FB7195">
        <w:rPr>
          <w:rFonts w:ascii="Times New Roman" w:hAnsi="Times New Roman" w:cs="Times New Roman"/>
          <w:sz w:val="24"/>
          <w:szCs w:val="24"/>
        </w:rPr>
        <w:t xml:space="preserve">Bisson, Thomas N. “Unheroed Pasts: History and Commemoration in South Frankland before </w:t>
      </w:r>
    </w:p>
    <w:p w14:paraId="6395A908" w14:textId="0F9939C3" w:rsidR="00FB7195" w:rsidRDefault="00FB7195" w:rsidP="00FB7195">
      <w:pPr>
        <w:spacing w:line="480" w:lineRule="auto"/>
        <w:ind w:firstLine="720"/>
        <w:rPr>
          <w:rFonts w:ascii="Times New Roman" w:hAnsi="Times New Roman" w:cs="Times New Roman"/>
          <w:sz w:val="24"/>
          <w:szCs w:val="24"/>
        </w:rPr>
      </w:pPr>
      <w:r w:rsidRPr="00FB7195">
        <w:rPr>
          <w:rFonts w:ascii="Times New Roman" w:hAnsi="Times New Roman" w:cs="Times New Roman"/>
          <w:sz w:val="24"/>
          <w:szCs w:val="24"/>
        </w:rPr>
        <w:t xml:space="preserve">the Albigensian Crusades,” </w:t>
      </w:r>
      <w:r w:rsidRPr="00FB7195">
        <w:rPr>
          <w:rFonts w:ascii="Times New Roman" w:hAnsi="Times New Roman" w:cs="Times New Roman"/>
          <w:i/>
          <w:sz w:val="24"/>
          <w:szCs w:val="24"/>
        </w:rPr>
        <w:t>Speculum</w:t>
      </w:r>
      <w:r w:rsidRPr="00FB7195">
        <w:rPr>
          <w:rFonts w:ascii="Times New Roman" w:hAnsi="Times New Roman" w:cs="Times New Roman"/>
          <w:sz w:val="24"/>
          <w:szCs w:val="24"/>
        </w:rPr>
        <w:t xml:space="preserve"> 65 (1990): 281-308.</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lastRenderedPageBreak/>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Pr="008B73E7" w:rsidRDefault="008B73E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Pr="008451FE"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6547D43C" w14:textId="77777777" w:rsidR="00A8241B" w:rsidRPr="008451FE" w:rsidRDefault="00A8241B" w:rsidP="00A8241B">
      <w:pPr>
        <w:spacing w:line="480" w:lineRule="auto"/>
        <w:ind w:firstLine="720"/>
        <w:rPr>
          <w:rFonts w:ascii="Times New Roman" w:eastAsia="Times New Roman" w:hAnsi="Times New Roman" w:cs="Times New Roman"/>
          <w:sz w:val="24"/>
          <w:szCs w:val="24"/>
          <w:lang w:val="en-US"/>
        </w:rPr>
      </w:pPr>
    </w:p>
    <w:p w14:paraId="3548629F" w14:textId="428DF577" w:rsidR="00103648" w:rsidRPr="008451FE" w:rsidRDefault="00103648" w:rsidP="00103648">
      <w:pPr>
        <w:spacing w:line="480" w:lineRule="auto"/>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Pr="008451FE" w:rsidRDefault="00103648" w:rsidP="006A14E5">
      <w:pPr>
        <w:spacing w:line="480" w:lineRule="auto"/>
        <w:ind w:firstLine="720"/>
        <w:rPr>
          <w:rFonts w:ascii="Times New Roman" w:eastAsia="Times New Roman" w:hAnsi="Times New Roman" w:cs="Times New Roman"/>
          <w:i/>
          <w:sz w:val="24"/>
          <w:szCs w:val="24"/>
        </w:rPr>
      </w:pPr>
      <w:r w:rsidRPr="008451FE">
        <w:rPr>
          <w:rFonts w:ascii="Times New Roman" w:eastAsia="Times New Roman" w:hAnsi="Times New Roman" w:cs="Times New Roman"/>
          <w:i/>
          <w:sz w:val="24"/>
          <w:szCs w:val="24"/>
        </w:rPr>
        <w:t>Languedoc,</w:t>
      </w:r>
      <w:r w:rsidRPr="008451FE">
        <w:rPr>
          <w:rFonts w:ascii="Times New Roman" w:eastAsia="Times New Roman" w:hAnsi="Times New Roman" w:cs="Times New Roman"/>
          <w:sz w:val="24"/>
          <w:szCs w:val="24"/>
        </w:rPr>
        <w:t xml:space="preserve"> (Ithaca, NY: Cornell University Press, 1997)</w:t>
      </w:r>
    </w:p>
    <w:p w14:paraId="530AC26F" w14:textId="77777777" w:rsidR="006A14E5" w:rsidRPr="008451FE"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Pr="008451FE"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45C4D82E" w14:textId="77777777" w:rsidR="009448C0" w:rsidRPr="008451FE" w:rsidRDefault="009448C0" w:rsidP="009448C0">
      <w:pPr>
        <w:spacing w:line="480" w:lineRule="auto"/>
        <w:ind w:firstLine="720"/>
        <w:outlineLvl w:val="0"/>
        <w:rPr>
          <w:rFonts w:ascii="Times New Roman" w:hAnsi="Times New Roman" w:cs="Times New Roman"/>
          <w:sz w:val="24"/>
          <w:szCs w:val="24"/>
        </w:rPr>
      </w:pPr>
    </w:p>
    <w:p w14:paraId="0315A6B3" w14:textId="19E13B84" w:rsidR="006A14E5" w:rsidRPr="008451FE" w:rsidRDefault="006A14E5" w:rsidP="006A14E5">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Le Goff, Jacques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The Birth of Purgatory</w:t>
      </w:r>
      <w:r w:rsidRPr="008451FE">
        <w:rPr>
          <w:rFonts w:ascii="Times New Roman" w:eastAsia="Times New Roman" w:hAnsi="Times New Roman" w:cs="Times New Roman"/>
          <w:color w:val="000000"/>
          <w:sz w:val="24"/>
          <w:szCs w:val="24"/>
          <w:lang w:val="en-US"/>
        </w:rPr>
        <w:t xml:space="preserve">, (Chicago, </w:t>
      </w:r>
      <w:r w:rsidR="00AA6D90" w:rsidRPr="008451FE">
        <w:rPr>
          <w:rFonts w:ascii="Times New Roman" w:eastAsia="Times New Roman" w:hAnsi="Times New Roman" w:cs="Times New Roman"/>
          <w:color w:val="000000"/>
          <w:sz w:val="24"/>
          <w:szCs w:val="24"/>
          <w:lang w:val="en-US"/>
        </w:rPr>
        <w:t xml:space="preserve">IL: University of Chicago Press, </w:t>
      </w:r>
      <w:r w:rsidRPr="008451FE">
        <w:rPr>
          <w:rFonts w:ascii="Times New Roman" w:eastAsia="Times New Roman" w:hAnsi="Times New Roman" w:cs="Times New Roman"/>
          <w:color w:val="000000"/>
          <w:sz w:val="24"/>
          <w:szCs w:val="24"/>
          <w:lang w:val="en-US"/>
        </w:rPr>
        <w:t>1981)</w:t>
      </w:r>
      <w:r w:rsidRPr="008451FE">
        <w:rPr>
          <w:rFonts w:ascii="Times New Roman" w:eastAsia="Times New Roman" w:hAnsi="Times New Roman" w:cs="Times New Roman"/>
          <w:sz w:val="24"/>
          <w:szCs w:val="24"/>
          <w:lang w:val="en-US"/>
        </w:rPr>
        <w:t>.</w:t>
      </w:r>
    </w:p>
    <w:p w14:paraId="5AD4163B" w14:textId="77777777" w:rsidR="006A14E5" w:rsidRPr="008451FE" w:rsidRDefault="006A14E5" w:rsidP="006A14E5">
      <w:pPr>
        <w:spacing w:line="480" w:lineRule="auto"/>
        <w:rPr>
          <w:rFonts w:ascii="Times New Roman" w:eastAsia="Times New Roman" w:hAnsi="Times New Roman" w:cs="Times New Roman"/>
          <w:sz w:val="24"/>
          <w:szCs w:val="24"/>
          <w:lang w:val="en-US"/>
        </w:rPr>
      </w:pPr>
    </w:p>
    <w:p w14:paraId="15D7CCA9" w14:textId="5B0EBF0E" w:rsidR="009C456A" w:rsidRPr="008451FE" w:rsidRDefault="009C456A" w:rsidP="006A14E5">
      <w:pPr>
        <w:spacing w:line="480" w:lineRule="auto"/>
        <w:outlineLvl w:val="0"/>
        <w:rPr>
          <w:rFonts w:ascii="Times New Roman" w:eastAsia="Times New Roman" w:hAnsi="Times New Roman" w:cs="Times New Roman"/>
          <w:sz w:val="24"/>
          <w:szCs w:val="24"/>
          <w:highlight w:val="white"/>
        </w:rPr>
      </w:pPr>
      <w:r w:rsidRPr="008451FE">
        <w:rPr>
          <w:rFonts w:ascii="Times New Roman" w:eastAsia="Times New Roman" w:hAnsi="Times New Roman" w:cs="Times New Roman"/>
          <w:sz w:val="24"/>
          <w:szCs w:val="24"/>
        </w:rPr>
        <w:t>Moore,</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R.I.</w:t>
      </w:r>
      <w:r w:rsidR="00AA6D90" w:rsidRPr="008451FE">
        <w:rPr>
          <w:rFonts w:ascii="Times New Roman" w:eastAsia="Times New Roman" w:hAnsi="Times New Roman" w:cs="Times New Roman"/>
          <w:sz w:val="24"/>
          <w:szCs w:val="24"/>
        </w:rPr>
        <w:t>,</w:t>
      </w:r>
      <w:r w:rsidR="006A14E5"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Debate of April 2013 in Retrospect,” in </w:t>
      </w:r>
      <w:r w:rsidRPr="008451FE">
        <w:rPr>
          <w:rFonts w:ascii="Times New Roman" w:eastAsia="Times New Roman" w:hAnsi="Times New Roman" w:cs="Times New Roman"/>
          <w:i/>
          <w:sz w:val="24"/>
          <w:szCs w:val="24"/>
          <w:highlight w:val="white"/>
        </w:rPr>
        <w:t>Cathars in Question</w:t>
      </w:r>
      <w:r w:rsidRPr="008451FE">
        <w:rPr>
          <w:rFonts w:ascii="Times New Roman" w:eastAsia="Times New Roman" w:hAnsi="Times New Roman" w:cs="Times New Roman"/>
          <w:sz w:val="24"/>
          <w:szCs w:val="24"/>
          <w:highlight w:val="white"/>
        </w:rPr>
        <w:t xml:space="preserve">, ed. Antonio </w:t>
      </w:r>
    </w:p>
    <w:p w14:paraId="20A58634" w14:textId="3DA96626" w:rsidR="009330A7" w:rsidRDefault="009C456A" w:rsidP="0090758C">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highlight w:val="white"/>
        </w:rPr>
        <w:t>Sennis (Woodbridge: Boydell and Brewer, 2016)</w:t>
      </w:r>
      <w:r w:rsidRPr="008451FE">
        <w:rPr>
          <w:rFonts w:ascii="Times New Roman" w:eastAsia="Times New Roman" w:hAnsi="Times New Roman" w:cs="Times New Roman"/>
          <w:sz w:val="24"/>
          <w:szCs w:val="24"/>
        </w:rPr>
        <w:t>.</w:t>
      </w:r>
    </w:p>
    <w:p w14:paraId="26C08D0F" w14:textId="77777777" w:rsidR="0090758C" w:rsidRPr="008451FE" w:rsidRDefault="0090758C" w:rsidP="0090758C">
      <w:pPr>
        <w:spacing w:line="480" w:lineRule="auto"/>
        <w:ind w:firstLine="720"/>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 xml:space="preserve">Moore, R.I., </w:t>
      </w:r>
      <w:r w:rsidRPr="008451FE">
        <w:rPr>
          <w:rFonts w:ascii="Times New Roman" w:eastAsia="Times New Roman" w:hAnsi="Times New Roman" w:cs="Times New Roman"/>
          <w:i/>
          <w:sz w:val="24"/>
          <w:szCs w:val="24"/>
        </w:rPr>
        <w:t>The War on Heresy</w:t>
      </w:r>
      <w:r w:rsidR="00E72D06" w:rsidRPr="008451FE">
        <w:rPr>
          <w:rFonts w:ascii="Times New Roman" w:eastAsia="Times New Roman" w:hAnsi="Times New Roman" w:cs="Times New Roman"/>
          <w:sz w:val="24"/>
          <w:szCs w:val="24"/>
        </w:rPr>
        <w:t>, (Cambridge, MA: Harvard University Press, 2012).</w:t>
      </w:r>
    </w:p>
    <w:p w14:paraId="78E0F8E4" w14:textId="77777777" w:rsidR="00AA6D90" w:rsidRPr="008451FE" w:rsidRDefault="00AA6D90" w:rsidP="009C456A">
      <w:pPr>
        <w:spacing w:line="480" w:lineRule="auto"/>
        <w:ind w:firstLine="720"/>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A9357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Pr="008451FE" w:rsidRDefault="00A93577" w:rsidP="00612A28">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65C5744B" w14:textId="77777777" w:rsidR="00506917" w:rsidRPr="008451FE" w:rsidRDefault="00506917" w:rsidP="00506917">
      <w:pPr>
        <w:spacing w:line="480" w:lineRule="auto"/>
        <w:rPr>
          <w:rFonts w:ascii="Times New Roman" w:hAnsi="Times New Roman" w:cs="Times New Roman"/>
          <w:sz w:val="24"/>
          <w:szCs w:val="24"/>
        </w:rPr>
      </w:pPr>
    </w:p>
    <w:p w14:paraId="630B5948" w14:textId="5ECE14D9" w:rsidR="00506917" w:rsidRPr="008451FE" w:rsidRDefault="002C2D68" w:rsidP="0050691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50691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8451FE" w:rsidRDefault="008C2433" w:rsidP="00713E2E">
      <w:pPr>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6D692432" w14:textId="77777777" w:rsidR="008C2433" w:rsidRPr="008451FE" w:rsidRDefault="008C2433" w:rsidP="00713E2E">
      <w:pPr>
        <w:outlineLvl w:val="0"/>
        <w:rPr>
          <w:rFonts w:ascii="Times New Roman" w:eastAsia="Times New Roman" w:hAnsi="Times New Roman" w:cs="Times New Roman"/>
          <w:sz w:val="24"/>
          <w:szCs w:val="24"/>
        </w:rPr>
      </w:pPr>
    </w:p>
    <w:p w14:paraId="759E7990"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7D7BD" w14:textId="77777777" w:rsidR="00785210" w:rsidRDefault="00785210" w:rsidP="00632FE0">
      <w:pPr>
        <w:spacing w:line="240" w:lineRule="auto"/>
      </w:pPr>
      <w:r>
        <w:separator/>
      </w:r>
    </w:p>
  </w:endnote>
  <w:endnote w:type="continuationSeparator" w:id="0">
    <w:p w14:paraId="7F49BA8F" w14:textId="77777777" w:rsidR="00785210" w:rsidRDefault="0078521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720ABD">
      <w:rPr>
        <w:rStyle w:val="PageNumber"/>
        <w:rFonts w:ascii="Times New Roman" w:hAnsi="Times New Roman" w:cs="Times New Roman"/>
        <w:noProof/>
        <w:sz w:val="24"/>
        <w:szCs w:val="24"/>
      </w:rPr>
      <w:t>109</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4F082" w14:textId="77777777" w:rsidR="00785210" w:rsidRDefault="00785210" w:rsidP="00632FE0">
      <w:pPr>
        <w:spacing w:line="240" w:lineRule="auto"/>
      </w:pPr>
      <w:r>
        <w:separator/>
      </w:r>
    </w:p>
  </w:footnote>
  <w:footnote w:type="continuationSeparator" w:id="0">
    <w:p w14:paraId="46D40315" w14:textId="77777777" w:rsidR="00785210" w:rsidRDefault="00785210"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0CC5"/>
    <w:rsid w:val="001D21FA"/>
    <w:rsid w:val="001D3EFD"/>
    <w:rsid w:val="001D4082"/>
    <w:rsid w:val="001D45A6"/>
    <w:rsid w:val="001D7166"/>
    <w:rsid w:val="001E000C"/>
    <w:rsid w:val="001E3DBB"/>
    <w:rsid w:val="001F2EC2"/>
    <w:rsid w:val="001F5513"/>
    <w:rsid w:val="001F688C"/>
    <w:rsid w:val="002011AF"/>
    <w:rsid w:val="00201AF5"/>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0ABD"/>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210"/>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323DF"/>
    <w:rsid w:val="008361DE"/>
    <w:rsid w:val="0083734E"/>
    <w:rsid w:val="008415AB"/>
    <w:rsid w:val="00842AD5"/>
    <w:rsid w:val="008451FE"/>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328BBF4-E8E3-084E-A57E-EAFB3D06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120</Pages>
  <Words>22547</Words>
  <Characters>128518</Characters>
  <Application>Microsoft Macintosh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696</cp:revision>
  <dcterms:created xsi:type="dcterms:W3CDTF">2019-01-28T01:52:00Z</dcterms:created>
  <dcterms:modified xsi:type="dcterms:W3CDTF">2019-03-28T19:21:00Z</dcterms:modified>
  <cp:category/>
</cp:coreProperties>
</file>