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3C4257DE" w14:textId="0094C39A" w:rsidR="00632FE0" w:rsidRPr="009D7090"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9D7090">
        <w:rPr>
          <w:rFonts w:ascii="Times New Roman" w:eastAsia="Times New Roman" w:hAnsi="Times New Roman" w:cs="Times New Roman"/>
          <w:sz w:val="24"/>
          <w:szCs w:val="24"/>
          <w:shd w:val="clear" w:color="auto" w:fill="D9D2E9"/>
        </w:rPr>
        <w:t xml:space="preserve">Although for many </w:t>
      </w:r>
      <w:r w:rsidRPr="009D7090">
        <w:rPr>
          <w:rFonts w:ascii="Times New Roman" w:eastAsia="Times New Roman" w:hAnsi="Times New Roman" w:cs="Times New Roman"/>
          <w:i/>
          <w:sz w:val="24"/>
          <w:szCs w:val="24"/>
          <w:shd w:val="clear" w:color="auto" w:fill="D9D2E9"/>
        </w:rPr>
        <w:t>The Corruption of Angels</w:t>
      </w:r>
      <w:r w:rsidRPr="009D7090">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9D7090">
        <w:rPr>
          <w:rStyle w:val="FootnoteReference"/>
          <w:rFonts w:ascii="Times New Roman" w:eastAsia="Times New Roman" w:hAnsi="Times New Roman" w:cs="Times New Roman"/>
          <w:sz w:val="24"/>
          <w:szCs w:val="24"/>
          <w:shd w:val="clear" w:color="auto" w:fill="D9D2E9"/>
        </w:rPr>
        <w:footnoteReference w:id="71"/>
      </w:r>
      <w:r w:rsidRPr="009D7090">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9D7090">
        <w:rPr>
          <w:rFonts w:ascii="Times New Roman" w:eastAsia="Times New Roman" w:hAnsi="Times New Roman" w:cs="Times New Roman"/>
          <w:sz w:val="24"/>
          <w:szCs w:val="24"/>
          <w:shd w:val="clear" w:color="auto" w:fill="D9D2E9"/>
        </w:rPr>
        <w:t>al</w:t>
      </w:r>
      <w:r w:rsidRPr="009D7090">
        <w:rPr>
          <w:rFonts w:ascii="Times New Roman" w:eastAsia="Times New Roman" w:hAnsi="Times New Roman" w:cs="Times New Roman"/>
          <w:sz w:val="24"/>
          <w:szCs w:val="24"/>
          <w:shd w:val="clear" w:color="auto" w:fill="D9D2E9"/>
        </w:rPr>
        <w:t xml:space="preserve"> adoration as acts of courtesy </w:t>
      </w:r>
      <w:r w:rsidR="00455CE2">
        <w:rPr>
          <w:rFonts w:ascii="Times New Roman" w:eastAsia="Times New Roman" w:hAnsi="Times New Roman" w:cs="Times New Roman"/>
          <w:sz w:val="24"/>
          <w:szCs w:val="24"/>
          <w:shd w:val="clear" w:color="auto" w:fill="D9D2E9"/>
        </w:rPr>
        <w:t xml:space="preserve">that were misinterpreted </w:t>
      </w:r>
      <w:r w:rsidRPr="009D7090">
        <w:rPr>
          <w:rFonts w:ascii="Times New Roman" w:eastAsia="Times New Roman" w:hAnsi="Times New Roman" w:cs="Times New Roman"/>
          <w:sz w:val="24"/>
          <w:szCs w:val="24"/>
          <w:shd w:val="clear" w:color="auto" w:fill="D9D2E9"/>
        </w:rPr>
        <w:t>by the inquisitors. Biller believes that deponents were describing a complex and structured r</w:t>
      </w:r>
      <w:r w:rsidR="00391CBF" w:rsidRPr="009D7090">
        <w:rPr>
          <w:rFonts w:ascii="Times New Roman" w:eastAsia="Times New Roman" w:hAnsi="Times New Roman" w:cs="Times New Roman"/>
          <w:sz w:val="24"/>
          <w:szCs w:val="24"/>
          <w:shd w:val="clear" w:color="auto" w:fill="D9D2E9"/>
        </w:rPr>
        <w:t>itual involving three genuflection</w:t>
      </w:r>
      <w:r w:rsidR="006A3D7A" w:rsidRPr="009D7090">
        <w:rPr>
          <w:rFonts w:ascii="Times New Roman" w:eastAsia="Times New Roman" w:hAnsi="Times New Roman" w:cs="Times New Roman"/>
          <w:sz w:val="24"/>
          <w:szCs w:val="24"/>
          <w:shd w:val="clear" w:color="auto" w:fill="D9D2E9"/>
        </w:rPr>
        <w:t>s</w:t>
      </w:r>
      <w:r w:rsidRPr="009D7090">
        <w:rPr>
          <w:rFonts w:ascii="Times New Roman" w:eastAsia="Times New Roman" w:hAnsi="Times New Roman" w:cs="Times New Roman"/>
          <w:sz w:val="24"/>
          <w:szCs w:val="24"/>
          <w:shd w:val="clear" w:color="auto" w:fill="D9D2E9"/>
        </w:rPr>
        <w:t>.</w:t>
      </w:r>
      <w:r w:rsidR="00EA65CB" w:rsidRPr="009D7090">
        <w:rPr>
          <w:rStyle w:val="FootnoteReference"/>
          <w:rFonts w:ascii="Times New Roman" w:eastAsia="Times New Roman" w:hAnsi="Times New Roman" w:cs="Times New Roman"/>
          <w:sz w:val="24"/>
          <w:szCs w:val="24"/>
          <w:shd w:val="clear" w:color="auto" w:fill="D9D2E9"/>
        </w:rPr>
        <w:footnoteReference w:id="72"/>
      </w:r>
      <w:r w:rsidRPr="009D7090">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r w:rsidRPr="00455CE2">
        <w:rPr>
          <w:rFonts w:ascii="Times New Roman" w:eastAsia="Times New Roman" w:hAnsi="Times New Roman" w:cs="Times New Roman"/>
          <w:i/>
          <w:sz w:val="24"/>
          <w:szCs w:val="24"/>
          <w:shd w:val="clear" w:color="auto" w:fill="D9D2E9"/>
        </w:rPr>
        <w:t>adoratio</w:t>
      </w:r>
      <w:r w:rsidRPr="009D7090">
        <w:rPr>
          <w:rFonts w:ascii="Times New Roman" w:eastAsia="Times New Roman" w:hAnsi="Times New Roman" w:cs="Times New Roman"/>
          <w:sz w:val="24"/>
          <w:szCs w:val="24"/>
          <w:shd w:val="clear" w:color="auto" w:fill="D9D2E9"/>
        </w:rPr>
        <w:t xml:space="preserve"> and claimed to have only </w:t>
      </w:r>
      <w:r w:rsidRPr="009D7090">
        <w:rPr>
          <w:rFonts w:ascii="Times New Roman" w:eastAsia="Times New Roman" w:hAnsi="Times New Roman" w:cs="Times New Roman"/>
          <w:sz w:val="24"/>
          <w:szCs w:val="24"/>
        </w:rPr>
        <w:t>bowed his head at the heretics</w:t>
      </w:r>
      <w:r w:rsidR="002E647B" w:rsidRPr="009D7090">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9D7090">
        <w:rPr>
          <w:rStyle w:val="FootnoteReference"/>
          <w:rFonts w:ascii="Times New Roman" w:eastAsia="Times New Roman" w:hAnsi="Times New Roman" w:cs="Times New Roman"/>
          <w:sz w:val="24"/>
          <w:szCs w:val="24"/>
          <w:shd w:val="clear" w:color="auto" w:fill="D9D2E9"/>
        </w:rPr>
        <w:footnoteReference w:id="73"/>
      </w:r>
      <w:r w:rsidRPr="009D7090">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9D7090">
        <w:rPr>
          <w:rStyle w:val="FootnoteReference"/>
          <w:rFonts w:ascii="Times New Roman" w:eastAsia="Times New Roman" w:hAnsi="Times New Roman" w:cs="Times New Roman"/>
          <w:sz w:val="24"/>
          <w:szCs w:val="24"/>
          <w:shd w:val="clear" w:color="auto" w:fill="D9D2E9"/>
        </w:rPr>
        <w:footnoteReference w:id="74"/>
      </w:r>
      <w:r w:rsidRPr="009D7090">
        <w:rPr>
          <w:rFonts w:ascii="Times New Roman" w:eastAsia="Times New Roman" w:hAnsi="Times New Roman" w:cs="Times New Roman"/>
          <w:sz w:val="24"/>
          <w:szCs w:val="24"/>
          <w:shd w:val="clear" w:color="auto" w:fill="D9D2E9"/>
        </w:rPr>
        <w:t xml:space="preserve"> Another common critique of Pegg’s </w:t>
      </w:r>
      <w:r w:rsidRPr="009D7090">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9D7090">
        <w:rPr>
          <w:rFonts w:ascii="Times New Roman" w:eastAsia="Times New Roman" w:hAnsi="Times New Roman" w:cs="Times New Roman"/>
          <w:sz w:val="24"/>
          <w:szCs w:val="24"/>
          <w:shd w:val="clear" w:color="auto" w:fill="D9D2E9"/>
        </w:rPr>
        <w:t xml:space="preserve">, </w:t>
      </w:r>
      <w:r w:rsidRPr="009D7090">
        <w:rPr>
          <w:rFonts w:ascii="Times New Roman" w:eastAsia="Times New Roman" w:hAnsi="Times New Roman" w:cs="Times New Roman"/>
          <w:sz w:val="24"/>
          <w:szCs w:val="24"/>
        </w:rPr>
        <w:t>he does not put MS 609 in its proper historical context with other documents produced around the same time.</w:t>
      </w:r>
      <w:r w:rsidR="00EA65CB" w:rsidRPr="009D7090">
        <w:rPr>
          <w:rStyle w:val="FootnoteReference"/>
          <w:rFonts w:ascii="Times New Roman" w:eastAsia="Times New Roman" w:hAnsi="Times New Roman" w:cs="Times New Roman"/>
          <w:sz w:val="24"/>
          <w:szCs w:val="24"/>
        </w:rPr>
        <w:footnoteReference w:id="75"/>
      </w:r>
      <w:r w:rsidRPr="009D7090">
        <w:rPr>
          <w:rFonts w:ascii="Times New Roman" w:eastAsia="Times New Roman" w:hAnsi="Times New Roman" w:cs="Times New Roman"/>
          <w:sz w:val="24"/>
          <w:szCs w:val="24"/>
          <w:shd w:val="clear" w:color="auto" w:fill="D9D2E9"/>
        </w:rPr>
        <w:t xml:space="preserve"> Arnold compares medieval scholarship to drawing</w:t>
      </w:r>
      <w:r w:rsidR="00402B47" w:rsidRPr="009D7090">
        <w:rPr>
          <w:rFonts w:ascii="Times New Roman" w:eastAsia="Times New Roman" w:hAnsi="Times New Roman" w:cs="Times New Roman"/>
          <w:sz w:val="24"/>
          <w:szCs w:val="24"/>
          <w:shd w:val="clear" w:color="auto" w:fill="D9D2E9"/>
        </w:rPr>
        <w:t xml:space="preserve"> star</w:t>
      </w:r>
      <w:r w:rsidRPr="009D7090">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9D7090">
        <w:rPr>
          <w:rStyle w:val="FootnoteReference"/>
          <w:rFonts w:ascii="Times New Roman" w:eastAsia="Times New Roman" w:hAnsi="Times New Roman" w:cs="Times New Roman"/>
          <w:sz w:val="24"/>
          <w:szCs w:val="24"/>
          <w:shd w:val="clear" w:color="auto" w:fill="D9D2E9"/>
        </w:rPr>
        <w:footnoteReference w:id="76"/>
      </w:r>
      <w:r w:rsidRPr="009D7090">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9D7090">
        <w:rPr>
          <w:rStyle w:val="FootnoteReference"/>
          <w:rFonts w:ascii="Times New Roman" w:eastAsia="Times New Roman" w:hAnsi="Times New Roman" w:cs="Times New Roman"/>
          <w:sz w:val="24"/>
          <w:szCs w:val="24"/>
          <w:shd w:val="clear" w:color="auto" w:fill="D9D2E9"/>
        </w:rPr>
        <w:footnoteReference w:id="77"/>
      </w:r>
      <w:r w:rsidRPr="009D7090">
        <w:rPr>
          <w:rFonts w:ascii="Times New Roman" w:eastAsia="Times New Roman" w:hAnsi="Times New Roman" w:cs="Times New Roman"/>
          <w:sz w:val="24"/>
          <w:szCs w:val="24"/>
          <w:shd w:val="clear" w:color="auto" w:fill="D9D2E9"/>
        </w:rPr>
        <w:t xml:space="preserve"> </w:t>
      </w:r>
      <w:r w:rsidR="00CF3FD1" w:rsidRPr="009D7090">
        <w:rPr>
          <w:rFonts w:ascii="Times New Roman" w:eastAsia="Times New Roman" w:hAnsi="Times New Roman" w:cs="Times New Roman"/>
          <w:sz w:val="24"/>
          <w:szCs w:val="24"/>
          <w:shd w:val="clear" w:color="auto" w:fill="D9D2E9"/>
        </w:rPr>
        <w:t xml:space="preserve">EXPLIN WHY PRE-1200S (willingly ignore other documents) </w:t>
      </w:r>
      <w:r w:rsidRPr="009D7090">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9D7090">
        <w:rPr>
          <w:rStyle w:val="FootnoteReference"/>
          <w:rFonts w:ascii="Times New Roman" w:eastAsia="Times New Roman" w:hAnsi="Times New Roman" w:cs="Times New Roman"/>
          <w:sz w:val="24"/>
          <w:szCs w:val="24"/>
          <w:shd w:val="clear" w:color="auto" w:fill="D9D2E9"/>
        </w:rPr>
        <w:footnoteReference w:id="78"/>
      </w:r>
      <w:r w:rsidRPr="009D7090">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9D7090">
        <w:rPr>
          <w:rStyle w:val="FootnoteReference"/>
          <w:rFonts w:ascii="Times New Roman" w:eastAsia="Times New Roman" w:hAnsi="Times New Roman" w:cs="Times New Roman"/>
          <w:sz w:val="24"/>
          <w:szCs w:val="24"/>
          <w:shd w:val="clear" w:color="auto" w:fill="D9D2E9"/>
        </w:rPr>
        <w:footnoteReference w:id="79"/>
      </w:r>
    </w:p>
    <w:p w14:paraId="5831A721" w14:textId="3F0FF7F0" w:rsidR="00632FE0" w:rsidRPr="009D7090" w:rsidRDefault="00632FE0" w:rsidP="00632FE0">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9D7090">
        <w:rPr>
          <w:rFonts w:ascii="Times New Roman" w:eastAsia="Times New Roman" w:hAnsi="Times New Roman" w:cs="Times New Roman"/>
          <w:i/>
          <w:sz w:val="24"/>
          <w:szCs w:val="24"/>
          <w:shd w:val="clear" w:color="auto" w:fill="FF9900"/>
        </w:rPr>
        <w:t xml:space="preserve">any </w:t>
      </w:r>
      <w:r w:rsidRPr="009D7090">
        <w:rPr>
          <w:rFonts w:ascii="Times New Roman" w:eastAsia="Times New Roman" w:hAnsi="Times New Roman" w:cs="Times New Roman"/>
          <w:sz w:val="24"/>
          <w:szCs w:val="24"/>
          <w:shd w:val="clear" w:color="auto" w:fill="FF9900"/>
        </w:rPr>
        <w:t>sources on Cathars that were written actually written by the supposed Cathars themselves.</w:t>
      </w:r>
      <w:r w:rsidRPr="009D7090">
        <w:rPr>
          <w:rFonts w:ascii="Times New Roman" w:eastAsia="Times New Roman" w:hAnsi="Times New Roman" w:cs="Times New Roman"/>
          <w:sz w:val="24"/>
          <w:szCs w:val="24"/>
        </w:rPr>
        <w:t xml:space="preserve"> If this Cathar Church did have a structured liturgy that spread across Western Europe, why do we not have any documents? </w:t>
      </w:r>
      <w:r w:rsidRPr="009D7090">
        <w:rPr>
          <w:rFonts w:ascii="Times New Roman" w:eastAsia="Times New Roman" w:hAnsi="Times New Roman" w:cs="Times New Roman"/>
          <w:sz w:val="24"/>
          <w:szCs w:val="24"/>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9D7090">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9D7090">
        <w:rPr>
          <w:rFonts w:ascii="Times New Roman" w:eastAsia="Times New Roman" w:hAnsi="Times New Roman" w:cs="Times New Roman"/>
          <w:sz w:val="24"/>
          <w:szCs w:val="24"/>
          <w:shd w:val="clear" w:color="auto" w:fill="FF9900"/>
        </w:rPr>
        <w:t>anti-Semitism</w:t>
      </w:r>
      <w:r w:rsidRPr="009D7090">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9D7090">
        <w:rPr>
          <w:rFonts w:ascii="Times New Roman" w:eastAsia="Times New Roman" w:hAnsi="Times New Roman" w:cs="Times New Roman"/>
          <w:sz w:val="24"/>
          <w:szCs w:val="24"/>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9D7090">
        <w:rPr>
          <w:rFonts w:ascii="Times New Roman" w:eastAsia="Times New Roman" w:hAnsi="Times New Roman" w:cs="Times New Roman"/>
          <w:sz w:val="24"/>
          <w:szCs w:val="24"/>
          <w:shd w:val="clear" w:color="auto" w:fill="FF9900"/>
        </w:rPr>
        <w:t>(or Cathars in this case)</w:t>
      </w:r>
      <w:r w:rsidRPr="009D7090">
        <w:rPr>
          <w:rFonts w:ascii="Times New Roman" w:eastAsia="Times New Roman" w:hAnsi="Times New Roman" w:cs="Times New Roman"/>
          <w:sz w:val="24"/>
          <w:szCs w:val="24"/>
        </w:rPr>
        <w:t xml:space="preserv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9D7090">
        <w:rPr>
          <w:rFonts w:ascii="Times New Roman" w:eastAsia="Times New Roman" w:hAnsi="Times New Roman" w:cs="Times New Roman"/>
          <w:sz w:val="24"/>
          <w:szCs w:val="24"/>
        </w:rPr>
        <w:lastRenderedPageBreak/>
        <w:t>debate. Pegg, like a skeptic in any field, has the luxury of being able to dismiss the convictions of the believers without offering a better explanation. At the end of the day, I remain unconvinced.</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bookmarkStart w:id="1" w:name="_GoBack"/>
      <w:bookmarkEnd w:id="1"/>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w:t>
            </w:r>
            <w:r w:rsidRPr="0035045F">
              <w:rPr>
                <w:rFonts w:ascii="Times New Roman" w:eastAsiaTheme="minorHAnsi" w:hAnsi="Times New Roman" w:cs="Times New Roman"/>
                <w:color w:val="000000"/>
                <w:sz w:val="21"/>
                <w:szCs w:val="21"/>
                <w:lang w:val="en-US"/>
              </w:rPr>
              <w:lastRenderedPageBreak/>
              <w:t>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w:t>
            </w:r>
            <w:r w:rsidRPr="0035045F">
              <w:rPr>
                <w:rFonts w:ascii="Times New Roman" w:eastAsiaTheme="minorHAnsi" w:hAnsi="Times New Roman" w:cs="Times New Roman"/>
                <w:color w:val="000000"/>
                <w:sz w:val="21"/>
                <w:szCs w:val="21"/>
                <w:lang w:val="en-US"/>
              </w:rPr>
              <w:lastRenderedPageBreak/>
              <w:t>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w:t>
            </w:r>
            <w:r w:rsidRPr="0035045F">
              <w:rPr>
                <w:rFonts w:ascii="Times New Roman" w:eastAsiaTheme="minorHAnsi" w:hAnsi="Times New Roman" w:cs="Times New Roman"/>
                <w:color w:val="000000"/>
                <w:sz w:val="21"/>
                <w:szCs w:val="21"/>
                <w:lang w:val="en-US"/>
              </w:rPr>
              <w:lastRenderedPageBreak/>
              <w:t>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w:t>
            </w:r>
            <w:r w:rsidRPr="0035045F">
              <w:rPr>
                <w:rFonts w:ascii="Times New Roman" w:eastAsiaTheme="minorHAnsi" w:hAnsi="Times New Roman" w:cs="Times New Roman"/>
                <w:color w:val="000000"/>
                <w:sz w:val="21"/>
                <w:szCs w:val="21"/>
                <w:lang w:val="en-US"/>
              </w:rPr>
              <w:lastRenderedPageBreak/>
              <w:t>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w:t>
            </w:r>
            <w:r w:rsidRPr="0035045F">
              <w:rPr>
                <w:rFonts w:ascii="Times New Roman" w:eastAsiaTheme="minorHAnsi" w:hAnsi="Times New Roman" w:cs="Times New Roman"/>
                <w:color w:val="000000"/>
                <w:sz w:val="21"/>
                <w:szCs w:val="21"/>
                <w:lang w:val="en-US"/>
              </w:rPr>
              <w:lastRenderedPageBreak/>
              <w:t>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Sed non audivit hereticos loquentes de visibilibus, de baptismo, de hostia sacrata, nec de matrimonio. Audivit tamen clericos exprimentes errores quos dicunt hereticos. Sed ipse testis nunquam dimi </w:t>
            </w:r>
            <w:r w:rsidRPr="0035045F">
              <w:rPr>
                <w:rFonts w:ascii="Times New Roman" w:eastAsiaTheme="minorHAnsi" w:hAnsi="Times New Roman" w:cs="Times New Roman"/>
                <w:color w:val="000000"/>
                <w:sz w:val="21"/>
                <w:szCs w:val="21"/>
                <w:lang w:val="en-US"/>
              </w:rPr>
              <w:lastRenderedPageBreak/>
              <w:t>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w:t>
            </w:r>
            <w:r w:rsidRPr="0035045F">
              <w:rPr>
                <w:rFonts w:ascii="Times New Roman" w:eastAsiaTheme="minorHAnsi" w:hAnsi="Times New Roman" w:cs="Times New Roman"/>
                <w:color w:val="000000"/>
                <w:sz w:val="21"/>
                <w:szCs w:val="21"/>
                <w:lang w:val="en-US"/>
              </w:rPr>
              <w:lastRenderedPageBreak/>
              <w:t>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w:t>
            </w:r>
            <w:r w:rsidRPr="0035045F">
              <w:rPr>
                <w:rFonts w:ascii="Times New Roman" w:eastAsiaTheme="minorHAnsi" w:hAnsi="Times New Roman" w:cs="Times New Roman"/>
                <w:color w:val="000000"/>
                <w:sz w:val="21"/>
                <w:szCs w:val="21"/>
                <w:lang w:val="en-US"/>
              </w:rPr>
              <w:lastRenderedPageBreak/>
              <w:t>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w:t>
            </w:r>
            <w:r w:rsidRPr="0035045F">
              <w:rPr>
                <w:rFonts w:ascii="Times New Roman" w:eastAsiaTheme="minorHAnsi" w:hAnsi="Times New Roman" w:cs="Times New Roman"/>
                <w:color w:val="000000"/>
                <w:sz w:val="21"/>
                <w:szCs w:val="21"/>
                <w:lang w:val="en-US"/>
              </w:rPr>
              <w:lastRenderedPageBreak/>
              <w:t>that there is no salvation in baptism or 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w:t>
            </w:r>
            <w:r w:rsidRPr="0035045F">
              <w:rPr>
                <w:rFonts w:ascii="Times New Roman" w:eastAsiaTheme="minorHAnsi" w:hAnsi="Times New Roman" w:cs="Times New Roman"/>
                <w:color w:val="000000"/>
                <w:sz w:val="21"/>
                <w:szCs w:val="21"/>
                <w:lang w:val="en-US"/>
              </w:rPr>
              <w:lastRenderedPageBreak/>
              <w:t>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w:t>
            </w:r>
            <w:r w:rsidRPr="0035045F">
              <w:rPr>
                <w:rFonts w:ascii="Times New Roman" w:eastAsiaTheme="minorHAnsi" w:hAnsi="Times New Roman" w:cs="Times New Roman"/>
                <w:color w:val="000000"/>
                <w:sz w:val="21"/>
                <w:szCs w:val="21"/>
                <w:lang w:val="en-US"/>
              </w:rPr>
              <w:lastRenderedPageBreak/>
              <w:t>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t>
            </w:r>
            <w:r w:rsidRPr="0035045F">
              <w:rPr>
                <w:rFonts w:ascii="Times New Roman" w:eastAsiaTheme="minorHAnsi" w:hAnsi="Times New Roman" w:cs="Times New Roman"/>
                <w:color w:val="000000"/>
                <w:sz w:val="21"/>
                <w:szCs w:val="21"/>
                <w:lang w:val="en-US"/>
              </w:rPr>
              <w:lastRenderedPageBreak/>
              <w:t>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w:t>
            </w:r>
            <w:r w:rsidRPr="0035045F">
              <w:rPr>
                <w:rFonts w:ascii="Times New Roman" w:eastAsiaTheme="minorHAnsi" w:hAnsi="Times New Roman" w:cs="Times New Roman"/>
                <w:color w:val="000000"/>
                <w:sz w:val="21"/>
                <w:szCs w:val="21"/>
                <w:lang w:val="en-US"/>
              </w:rPr>
              <w:lastRenderedPageBreak/>
              <w:t>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Saisag . Dixit etiam quod iste Albaric, </w:t>
            </w:r>
            <w:r w:rsidRPr="0035045F">
              <w:rPr>
                <w:rFonts w:ascii="Times New Roman" w:eastAsiaTheme="minorHAnsi" w:hAnsi="Times New Roman" w:cs="Times New Roman"/>
                <w:color w:val="000000"/>
                <w:sz w:val="21"/>
                <w:szCs w:val="21"/>
                <w:lang w:val="en-US"/>
              </w:rPr>
              <w:lastRenderedPageBreak/>
              <w:t>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to be led. The aforesaid was </w:t>
            </w:r>
            <w:r w:rsidRPr="0035045F">
              <w:rPr>
                <w:rFonts w:ascii="Times New Roman" w:eastAsiaTheme="minorHAnsi" w:hAnsi="Times New Roman" w:cs="Times New Roman"/>
                <w:color w:val="000000"/>
                <w:sz w:val="21"/>
                <w:szCs w:val="21"/>
                <w:lang w:val="en-US"/>
              </w:rPr>
              <w:lastRenderedPageBreak/>
              <w:t>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w:t>
            </w:r>
            <w:r w:rsidRPr="0035045F">
              <w:rPr>
                <w:rFonts w:ascii="Times New Roman" w:eastAsiaTheme="minorHAnsi" w:hAnsi="Times New Roman" w:cs="Times New Roman"/>
                <w:color w:val="000000"/>
                <w:sz w:val="21"/>
                <w:szCs w:val="21"/>
                <w:lang w:val="en-US"/>
              </w:rPr>
              <w:lastRenderedPageBreak/>
              <w:t>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w:t>
            </w:r>
            <w:r w:rsidRPr="0035045F">
              <w:rPr>
                <w:rFonts w:ascii="Times New Roman" w:eastAsiaTheme="minorHAnsi" w:hAnsi="Times New Roman" w:cs="Times New Roman"/>
                <w:color w:val="000000"/>
                <w:sz w:val="21"/>
                <w:szCs w:val="21"/>
                <w:lang w:val="en-US"/>
              </w:rPr>
              <w:lastRenderedPageBreak/>
              <w:t>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w:t>
            </w:r>
            <w:r w:rsidRPr="0035045F">
              <w:rPr>
                <w:rFonts w:ascii="Times New Roman" w:eastAsiaTheme="minorHAnsi" w:hAnsi="Times New Roman" w:cs="Times New Roman"/>
                <w:color w:val="000000"/>
                <w:sz w:val="21"/>
                <w:szCs w:val="21"/>
                <w:lang w:val="en-US"/>
              </w:rPr>
              <w:lastRenderedPageBreak/>
              <w:t>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w:t>
            </w:r>
            <w:r w:rsidRPr="0035045F">
              <w:rPr>
                <w:rFonts w:ascii="Times New Roman" w:eastAsiaTheme="minorHAnsi" w:hAnsi="Times New Roman" w:cs="Times New Roman"/>
                <w:color w:val="000000"/>
                <w:sz w:val="21"/>
                <w:szCs w:val="21"/>
                <w:lang w:val="en-US"/>
              </w:rPr>
              <w:lastRenderedPageBreak/>
              <w:t>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42294D">
          <w:pgSz w:w="15840" w:h="12240" w:orient="landscape"/>
          <w:pgMar w:top="158"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w:t>
            </w:r>
            <w:r w:rsidRPr="0035045F">
              <w:rPr>
                <w:rFonts w:ascii="Times New Roman" w:hAnsi="Times New Roman" w:cs="Times New Roman"/>
                <w:color w:val="000000"/>
                <w:sz w:val="24"/>
                <w:szCs w:val="24"/>
                <w:lang w:val="en-US"/>
              </w:rPr>
              <w:lastRenderedPageBreak/>
              <w:t>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r w:rsidRPr="0035045F">
              <w:rPr>
                <w:rFonts w:ascii="Times New Roman" w:hAnsi="Times New Roman" w:cs="Times New Roman"/>
                <w:color w:val="000000"/>
                <w:sz w:val="24"/>
                <w:szCs w:val="24"/>
                <w:lang w:val="en-US"/>
              </w:rPr>
              <w:lastRenderedPageBreak/>
              <w:t>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de Quiders BertrandumMarti et socium eius, hereticos. Et vidit ibi cum eis Raimundum de Causit; Willelmum Vital; et Arnaldum Godalh; et ipsum Bernardum de Quiders. Et omnes et ipse testis adoraverunt 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heretic companions in the house of Bernard de Quiders and saw there with them Raimund de Causit, Guilhem Vidal and Arnald Godalh and Bernard de Quiders himself, and the witness and everyone else 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42294D">
          <w:pgSz w:w="15840" w:h="12240" w:orient="landscape"/>
          <w:pgMar w:top="158" w:right="202" w:bottom="202" w:left="158" w:header="720" w:footer="720" w:gutter="0"/>
          <w:pgNumType w:start="64"/>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42294D">
          <w:pgSz w:w="12240" w:h="15840"/>
          <w:pgMar w:top="1440" w:right="1440" w:bottom="1440" w:left="1440" w:header="720" w:footer="720" w:gutter="0"/>
          <w:pgNumType w:start="7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B21E7" w14:textId="77777777" w:rsidR="006D1465" w:rsidRDefault="006D1465" w:rsidP="00632FE0">
      <w:pPr>
        <w:spacing w:line="240" w:lineRule="auto"/>
      </w:pPr>
      <w:r>
        <w:separator/>
      </w:r>
    </w:p>
  </w:endnote>
  <w:endnote w:type="continuationSeparator" w:id="0">
    <w:p w14:paraId="652D2C6A" w14:textId="77777777" w:rsidR="006D1465" w:rsidRDefault="006D1465"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670B73">
      <w:rPr>
        <w:rStyle w:val="PageNumber"/>
        <w:rFonts w:ascii="Times New Roman" w:hAnsi="Times New Roman" w:cs="Times New Roman"/>
        <w:noProof/>
        <w:sz w:val="24"/>
        <w:szCs w:val="24"/>
      </w:rPr>
      <w:t>1</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ADD0F" w14:textId="77777777" w:rsidR="006D1465" w:rsidRDefault="006D1465" w:rsidP="00632FE0">
      <w:pPr>
        <w:spacing w:line="240" w:lineRule="auto"/>
      </w:pPr>
      <w:r>
        <w:separator/>
      </w:r>
    </w:p>
  </w:footnote>
  <w:footnote w:type="continuationSeparator" w:id="0">
    <w:p w14:paraId="39B64EA8" w14:textId="77777777" w:rsidR="006D1465" w:rsidRDefault="006D1465" w:rsidP="00632FE0">
      <w:pPr>
        <w:spacing w:line="240" w:lineRule="auto"/>
      </w:pPr>
      <w:r>
        <w:continuationSeparator/>
      </w:r>
    </w:p>
  </w:footnote>
  <w:footnote w:id="1">
    <w:p w14:paraId="2D28162D" w14:textId="2B57D099" w:rsidR="001A625F" w:rsidRPr="00E42082" w:rsidRDefault="001A625F"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1A625F" w:rsidRPr="00E42082"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E42082" w:rsidRDefault="001A625F"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1A625F" w:rsidRPr="00E42082"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E42082" w:rsidRDefault="001A625F"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1A625F" w:rsidRPr="00E42082"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E42082" w:rsidRDefault="001A625F"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1A625F" w:rsidRPr="00E42082" w:rsidRDefault="001A625F">
      <w:pPr>
        <w:pStyle w:val="FootnoteText"/>
        <w:rPr>
          <w:rFonts w:ascii="Times New Roman" w:hAnsi="Times New Roman" w:cs="Times New Roman"/>
          <w:lang w:val="en-US"/>
        </w:rPr>
      </w:pPr>
    </w:p>
  </w:footnote>
  <w:footnote w:id="5">
    <w:p w14:paraId="1F357281" w14:textId="45C2CD9B"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1A625F" w:rsidRPr="00E42082"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1A625F" w:rsidRPr="00E42082"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E42082" w:rsidRDefault="001A625F"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1A625F" w:rsidRPr="00E42082" w:rsidRDefault="001A625F">
      <w:pPr>
        <w:pStyle w:val="FootnoteText"/>
        <w:rPr>
          <w:rFonts w:ascii="Times New Roman" w:hAnsi="Times New Roman" w:cs="Times New Roman"/>
          <w:lang w:val="en-US"/>
        </w:rPr>
      </w:pPr>
    </w:p>
  </w:footnote>
  <w:footnote w:id="8">
    <w:p w14:paraId="69DD937A" w14:textId="165F0616"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1A625F" w:rsidRPr="00E42082"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E42082" w:rsidRDefault="001A625F"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1A625F" w:rsidRPr="00E42082"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E42082" w:rsidRDefault="001A625F"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1A625F" w:rsidRPr="00E42082" w:rsidRDefault="001A625F">
      <w:pPr>
        <w:pStyle w:val="FootnoteText"/>
        <w:rPr>
          <w:rFonts w:ascii="Times New Roman" w:hAnsi="Times New Roman" w:cs="Times New Roman"/>
          <w:lang w:val="en-US"/>
        </w:rPr>
      </w:pPr>
    </w:p>
  </w:footnote>
  <w:footnote w:id="11">
    <w:p w14:paraId="39D751E5" w14:textId="5D19F20F"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1A625F" w:rsidRPr="00E42082"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E42082" w:rsidRDefault="001A625F"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1A625F" w:rsidRPr="00E42082" w:rsidRDefault="001A625F">
      <w:pPr>
        <w:pStyle w:val="FootnoteText"/>
        <w:rPr>
          <w:rFonts w:ascii="Times New Roman" w:hAnsi="Times New Roman" w:cs="Times New Roman"/>
          <w:lang w:val="en-US"/>
        </w:rPr>
      </w:pPr>
    </w:p>
  </w:footnote>
  <w:footnote w:id="13">
    <w:p w14:paraId="589154A1" w14:textId="16C0183E"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1A625F" w:rsidRPr="00E42082"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1A625F" w:rsidRPr="00E42082"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E42082" w:rsidRDefault="001A625F"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1A625F" w:rsidRPr="00E42082"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E42082" w:rsidRDefault="001A625F"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1A625F" w:rsidRPr="00E42082" w:rsidRDefault="001A625F">
      <w:pPr>
        <w:pStyle w:val="FootnoteText"/>
        <w:rPr>
          <w:rFonts w:ascii="Times New Roman" w:hAnsi="Times New Roman" w:cs="Times New Roman"/>
          <w:lang w:val="en-US"/>
        </w:rPr>
      </w:pPr>
    </w:p>
  </w:footnote>
  <w:footnote w:id="17">
    <w:p w14:paraId="206E52DF" w14:textId="77777777" w:rsidR="001A625F" w:rsidRPr="00E42082" w:rsidRDefault="001A625F"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1A625F" w:rsidRPr="00E42082" w:rsidRDefault="001A625F">
      <w:pPr>
        <w:pStyle w:val="FootnoteText"/>
        <w:rPr>
          <w:rFonts w:ascii="Times New Roman" w:hAnsi="Times New Roman" w:cs="Times New Roman"/>
          <w:lang w:val="en-US"/>
        </w:rPr>
      </w:pPr>
    </w:p>
  </w:footnote>
  <w:footnote w:id="18">
    <w:p w14:paraId="7D204820" w14:textId="740090EE" w:rsidR="001A625F" w:rsidRPr="00E42082" w:rsidRDefault="001A625F"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1A625F" w:rsidRPr="00E42082"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E42082" w:rsidRDefault="001A625F"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1A625F" w:rsidRPr="00E42082" w:rsidRDefault="001A625F">
      <w:pPr>
        <w:pStyle w:val="FootnoteText"/>
        <w:rPr>
          <w:rFonts w:ascii="Times New Roman" w:hAnsi="Times New Roman" w:cs="Times New Roman"/>
          <w:lang w:val="en-US"/>
        </w:rPr>
      </w:pPr>
    </w:p>
  </w:footnote>
  <w:footnote w:id="20">
    <w:p w14:paraId="0E5119A2" w14:textId="22B8E29A" w:rsidR="001A625F" w:rsidRPr="00E42082" w:rsidRDefault="001A625F"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1A625F" w:rsidRPr="00E42082"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E42082" w:rsidRDefault="001A625F"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1A625F" w:rsidRPr="00E42082"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1A625F" w:rsidRPr="00E42082"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1A625F" w:rsidRPr="00E42082"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E42082" w:rsidRDefault="001A625F"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1A625F" w:rsidRPr="00E42082" w:rsidRDefault="001A625F">
      <w:pPr>
        <w:pStyle w:val="FootnoteText"/>
        <w:rPr>
          <w:rFonts w:ascii="Times New Roman" w:hAnsi="Times New Roman" w:cs="Times New Roman"/>
          <w:lang w:val="en-US"/>
        </w:rPr>
      </w:pPr>
    </w:p>
  </w:footnote>
  <w:footnote w:id="25">
    <w:p w14:paraId="252D6FEF" w14:textId="62978E72"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1A625F" w:rsidRPr="00E42082"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1A625F" w:rsidRPr="00E42082"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1A625F" w:rsidRPr="00E42082"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E42082" w:rsidRDefault="001A625F"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p>
    <w:p w14:paraId="7D9A2857" w14:textId="77777777" w:rsidR="001A625F" w:rsidRPr="00E42082"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E42082" w:rsidRDefault="001A625F"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1A625F" w:rsidRPr="00E42082"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E42082" w:rsidRDefault="001A625F"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1A625F" w:rsidRPr="00E42082" w:rsidRDefault="001A625F">
      <w:pPr>
        <w:pStyle w:val="FootnoteText"/>
        <w:rPr>
          <w:rFonts w:ascii="Times New Roman" w:hAnsi="Times New Roman" w:cs="Times New Roman"/>
          <w:lang w:val="en-US"/>
        </w:rPr>
      </w:pPr>
    </w:p>
  </w:footnote>
  <w:footnote w:id="31">
    <w:p w14:paraId="42C32F8D" w14:textId="5CFB5704" w:rsidR="001A625F" w:rsidRPr="00E42082" w:rsidRDefault="001A625F"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1A625F" w:rsidRPr="00E42082"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1A625F" w:rsidRPr="00E42082"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1A625F" w:rsidRPr="00E42082"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1A625F" w:rsidRPr="00E42082"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E42082" w:rsidRDefault="001A625F"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1A625F" w:rsidRPr="00E42082"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E42082" w:rsidRDefault="001A625F"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1A625F" w:rsidRPr="00E42082" w:rsidRDefault="001A625F">
      <w:pPr>
        <w:pStyle w:val="FootnoteText"/>
        <w:rPr>
          <w:rFonts w:ascii="Times New Roman" w:hAnsi="Times New Roman" w:cs="Times New Roman"/>
          <w:lang w:val="en-US"/>
        </w:rPr>
      </w:pPr>
    </w:p>
  </w:footnote>
  <w:footnote w:id="37">
    <w:p w14:paraId="2DDF6476" w14:textId="77777777" w:rsidR="001A625F" w:rsidRPr="00E42082" w:rsidRDefault="001A625F"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1A625F" w:rsidRPr="00E42082" w:rsidRDefault="001A625F">
      <w:pPr>
        <w:pStyle w:val="FootnoteText"/>
        <w:rPr>
          <w:rFonts w:ascii="Times New Roman" w:hAnsi="Times New Roman" w:cs="Times New Roman"/>
          <w:lang w:val="en-US"/>
        </w:rPr>
      </w:pPr>
    </w:p>
  </w:footnote>
  <w:footnote w:id="38">
    <w:p w14:paraId="41CDE7BF" w14:textId="6B88F160" w:rsidR="001A625F" w:rsidRPr="00E42082" w:rsidRDefault="001A625F"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1A625F" w:rsidRPr="00E42082"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E42082" w:rsidRDefault="001A625F"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1A625F" w:rsidRPr="00E42082"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E42082" w:rsidRDefault="001A625F"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1A625F" w:rsidRPr="00E42082"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E42082" w:rsidRDefault="001A625F"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1A625F" w:rsidRPr="00E42082"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E42082" w:rsidRDefault="001A625F"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1A625F" w:rsidRPr="00E42082" w:rsidRDefault="001A625F">
      <w:pPr>
        <w:pStyle w:val="FootnoteText"/>
        <w:rPr>
          <w:rFonts w:ascii="Times New Roman" w:hAnsi="Times New Roman" w:cs="Times New Roman"/>
          <w:lang w:val="en-US"/>
        </w:rPr>
      </w:pPr>
    </w:p>
  </w:footnote>
  <w:footnote w:id="43">
    <w:p w14:paraId="14576E20" w14:textId="5470B991"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1A625F" w:rsidRPr="00E42082"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1A625F" w:rsidRPr="00E42082"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1A625F" w:rsidRPr="00E42082"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1A625F" w:rsidRPr="00E42082"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1A625F" w:rsidRPr="00E42082"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E42082" w:rsidRDefault="001A625F"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1A625F" w:rsidRPr="00E42082"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E42082" w:rsidRDefault="001A625F"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1A625F" w:rsidRPr="00E42082" w:rsidRDefault="001A625F">
      <w:pPr>
        <w:pStyle w:val="FootnoteText"/>
        <w:rPr>
          <w:rFonts w:ascii="Times New Roman" w:hAnsi="Times New Roman" w:cs="Times New Roman"/>
          <w:lang w:val="en-US"/>
        </w:rPr>
      </w:pPr>
    </w:p>
  </w:footnote>
  <w:footnote w:id="50">
    <w:p w14:paraId="6E78409D" w14:textId="264BC9B4" w:rsidR="001A625F" w:rsidRPr="00E42082" w:rsidRDefault="001A625F"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Ibid.</w:t>
      </w:r>
    </w:p>
    <w:p w14:paraId="705B6CA3" w14:textId="4C342FFC" w:rsidR="001A625F" w:rsidRPr="00E42082" w:rsidRDefault="001A625F">
      <w:pPr>
        <w:pStyle w:val="FootnoteText"/>
        <w:rPr>
          <w:rFonts w:ascii="Times New Roman" w:hAnsi="Times New Roman" w:cs="Times New Roman"/>
          <w:lang w:val="en-US"/>
        </w:rPr>
      </w:pPr>
    </w:p>
  </w:footnote>
  <w:footnote w:id="51">
    <w:p w14:paraId="73C16377" w14:textId="3ADF3DFC"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1A625F" w:rsidRPr="00E42082"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E42082" w:rsidRDefault="001A625F"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1A625F" w:rsidRPr="00E42082"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1A625F" w:rsidRPr="00E42082"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1A625F" w:rsidRPr="00E42082"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E42082" w:rsidRDefault="001A625F"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1A625F" w:rsidRPr="00E42082" w:rsidRDefault="001A625F">
      <w:pPr>
        <w:pStyle w:val="FootnoteText"/>
        <w:rPr>
          <w:rFonts w:ascii="Times New Roman" w:hAnsi="Times New Roman" w:cs="Times New Roman"/>
          <w:lang w:val="en-US"/>
        </w:rPr>
      </w:pPr>
    </w:p>
  </w:footnote>
  <w:footnote w:id="57">
    <w:p w14:paraId="5F50648F" w14:textId="2F8861EC"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1A625F" w:rsidRPr="00E42082"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E42082" w:rsidRDefault="001A625F"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1A625F" w:rsidRPr="00E42082"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1A625F" w:rsidRPr="00E42082"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1A625F" w:rsidRPr="00E42082"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1A625F" w:rsidRPr="00E42082"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E42082" w:rsidRDefault="001A625F"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1A625F" w:rsidRPr="00E42082"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1A625F" w:rsidRPr="00E42082"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1A625F" w:rsidRPr="00E42082"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1A625F" w:rsidRPr="00E42082"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E42082" w:rsidRDefault="001A625F"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1A625F" w:rsidRPr="00E42082"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E42082" w:rsidRDefault="001A625F"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1A625F" w:rsidRPr="00E42082"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E42082" w:rsidRDefault="001A625F" w:rsidP="00477CD7">
      <w:pPr>
        <w:pStyle w:val="FootnoteText"/>
        <w:ind w:firstLine="720"/>
        <w:rPr>
          <w:rFonts w:ascii="Times New Roman" w:eastAsia="Times New Roman" w:hAnsi="Times New Roman" w:cs="Times New Roman"/>
        </w:rPr>
      </w:pPr>
      <w:r w:rsidRPr="009D7090">
        <w:rPr>
          <w:rStyle w:val="FootnoteReference"/>
          <w:rFonts w:ascii="Times New Roman" w:hAnsi="Times New Roman" w:cs="Times New Roman"/>
        </w:rPr>
        <w:footnoteRef/>
      </w:r>
      <w:r w:rsidRPr="009D7090">
        <w:rPr>
          <w:rFonts w:ascii="Times New Roman" w:hAnsi="Times New Roman" w:cs="Times New Roman"/>
        </w:rPr>
        <w:t xml:space="preserve"> </w:t>
      </w:r>
      <w:r w:rsidRPr="009D7090">
        <w:rPr>
          <w:rFonts w:ascii="Times New Roman" w:eastAsia="Times New Roman" w:hAnsi="Times New Roman" w:cs="Times New Roman"/>
        </w:rPr>
        <w:t>Ibid., p. 42.</w:t>
      </w:r>
    </w:p>
    <w:p w14:paraId="7D01190F" w14:textId="77777777" w:rsidR="001A625F" w:rsidRPr="00E42082"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E42082" w:rsidRDefault="001A625F" w:rsidP="00477CD7">
      <w:pPr>
        <w:pStyle w:val="FootnoteText"/>
        <w:ind w:firstLine="720"/>
        <w:rPr>
          <w:rFonts w:ascii="Times New Roman" w:hAnsi="Times New Roman" w:cs="Times New Roman"/>
        </w:rPr>
      </w:pPr>
      <w:r w:rsidRPr="009D7090">
        <w:rPr>
          <w:rStyle w:val="FootnoteReference"/>
          <w:rFonts w:ascii="Times New Roman" w:hAnsi="Times New Roman" w:cs="Times New Roman"/>
        </w:rPr>
        <w:footnoteRef/>
      </w:r>
      <w:r w:rsidRPr="009D7090">
        <w:rPr>
          <w:rFonts w:ascii="Times New Roman" w:eastAsia="Times New Roman" w:hAnsi="Times New Roman" w:cs="Times New Roman"/>
        </w:rPr>
        <w:t xml:space="preserve"> Pegg, </w:t>
      </w:r>
      <w:r w:rsidRPr="009D7090">
        <w:rPr>
          <w:rFonts w:ascii="Times New Roman" w:eastAsia="Times New Roman" w:hAnsi="Times New Roman" w:cs="Times New Roman"/>
          <w:i/>
        </w:rPr>
        <w:t>The Corruption of Angels</w:t>
      </w:r>
      <w:r w:rsidRPr="009D7090">
        <w:rPr>
          <w:rFonts w:ascii="Times New Roman" w:eastAsia="Times New Roman" w:hAnsi="Times New Roman" w:cs="Times New Roman"/>
        </w:rPr>
        <w:t>, p. 68.</w:t>
      </w:r>
      <w:r w:rsidRPr="00E42082">
        <w:rPr>
          <w:rFonts w:ascii="Times New Roman" w:hAnsi="Times New Roman" w:cs="Times New Roman"/>
        </w:rPr>
        <w:t xml:space="preserve"> </w:t>
      </w:r>
    </w:p>
    <w:p w14:paraId="76F46CB3" w14:textId="77777777" w:rsidR="001A625F" w:rsidRPr="00E42082"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E42082" w:rsidRDefault="001A625F"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9D7090">
        <w:rPr>
          <w:rFonts w:ascii="Times New Roman" w:eastAsia="Times New Roman" w:hAnsi="Times New Roman" w:cs="Times New Roman"/>
        </w:rPr>
        <w:t>pp. 36-37.</w:t>
      </w:r>
    </w:p>
    <w:p w14:paraId="3EA05CEA" w14:textId="77777777" w:rsidR="001A625F" w:rsidRPr="00E42082" w:rsidRDefault="001A625F" w:rsidP="00477CD7">
      <w:pPr>
        <w:pStyle w:val="FootnoteText"/>
        <w:ind w:firstLine="720"/>
        <w:rPr>
          <w:rFonts w:ascii="Times New Roman" w:hAnsi="Times New Roman" w:cs="Times New Roman"/>
          <w:lang w:val="en-US"/>
        </w:rPr>
      </w:pPr>
    </w:p>
  </w:footnote>
  <w:footnote w:id="71">
    <w:p w14:paraId="409EAAB6" w14:textId="7EF41DA5"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1A625F" w:rsidRPr="00E42082" w:rsidRDefault="001A625F" w:rsidP="00EA65CB">
      <w:pPr>
        <w:pStyle w:val="FootnoteText"/>
        <w:ind w:firstLine="720"/>
        <w:rPr>
          <w:rFonts w:ascii="Times New Roman" w:hAnsi="Times New Roman" w:cs="Times New Roman"/>
          <w:lang w:val="en-US"/>
        </w:rPr>
      </w:pPr>
    </w:p>
  </w:footnote>
  <w:footnote w:id="72">
    <w:p w14:paraId="214BFC89" w14:textId="63A46379"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1A625F" w:rsidRPr="00E42082" w:rsidRDefault="001A625F" w:rsidP="00EA65CB">
      <w:pPr>
        <w:pStyle w:val="FootnoteText"/>
        <w:ind w:firstLine="720"/>
        <w:rPr>
          <w:rFonts w:ascii="Times New Roman" w:hAnsi="Times New Roman" w:cs="Times New Roman"/>
          <w:lang w:val="en-US"/>
        </w:rPr>
      </w:pPr>
    </w:p>
  </w:footnote>
  <w:footnote w:id="73">
    <w:p w14:paraId="437C43B1" w14:textId="77777777" w:rsidR="001A625F" w:rsidRPr="00E42082" w:rsidRDefault="001A625F"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1A625F" w:rsidRPr="00E42082" w:rsidRDefault="001A625F">
      <w:pPr>
        <w:pStyle w:val="FootnoteText"/>
        <w:rPr>
          <w:rFonts w:ascii="Times New Roman" w:hAnsi="Times New Roman" w:cs="Times New Roman"/>
          <w:lang w:val="en-US"/>
        </w:rPr>
      </w:pPr>
    </w:p>
  </w:footnote>
  <w:footnote w:id="74">
    <w:p w14:paraId="508B6EEE" w14:textId="1F94F7D8"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1A625F" w:rsidRPr="00E42082" w:rsidRDefault="001A625F" w:rsidP="00EA65CB">
      <w:pPr>
        <w:pStyle w:val="FootnoteText"/>
        <w:ind w:firstLine="720"/>
        <w:rPr>
          <w:rFonts w:ascii="Times New Roman" w:hAnsi="Times New Roman" w:cs="Times New Roman"/>
          <w:lang w:val="en-US"/>
        </w:rPr>
      </w:pPr>
    </w:p>
  </w:footnote>
  <w:footnote w:id="75">
    <w:p w14:paraId="37D1896C" w14:textId="69623075"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1A625F" w:rsidRPr="00E42082" w:rsidRDefault="001A625F" w:rsidP="00EA65CB">
      <w:pPr>
        <w:pStyle w:val="FootnoteText"/>
        <w:ind w:firstLine="720"/>
        <w:rPr>
          <w:rFonts w:ascii="Times New Roman" w:hAnsi="Times New Roman" w:cs="Times New Roman"/>
          <w:lang w:val="en-US"/>
        </w:rPr>
      </w:pPr>
    </w:p>
  </w:footnote>
  <w:footnote w:id="76">
    <w:p w14:paraId="757B3303" w14:textId="75B85B26"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1A625F" w:rsidRPr="00E42082" w:rsidRDefault="001A625F" w:rsidP="00EA65CB">
      <w:pPr>
        <w:pStyle w:val="FootnoteText"/>
        <w:ind w:firstLine="720"/>
        <w:rPr>
          <w:rFonts w:ascii="Times New Roman" w:hAnsi="Times New Roman" w:cs="Times New Roman"/>
          <w:lang w:val="en-US"/>
        </w:rPr>
      </w:pPr>
    </w:p>
  </w:footnote>
  <w:footnote w:id="77">
    <w:p w14:paraId="402AFE44" w14:textId="0BE2D85A"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1A625F" w:rsidRPr="00E42082" w:rsidRDefault="001A625F" w:rsidP="00EA65CB">
      <w:pPr>
        <w:pStyle w:val="FootnoteText"/>
        <w:ind w:firstLine="720"/>
        <w:rPr>
          <w:rFonts w:ascii="Times New Roman" w:hAnsi="Times New Roman" w:cs="Times New Roman"/>
          <w:lang w:val="en-US"/>
        </w:rPr>
      </w:pPr>
    </w:p>
  </w:footnote>
  <w:footnote w:id="78">
    <w:p w14:paraId="18A4A1F3" w14:textId="18012CDC" w:rsidR="001A625F" w:rsidRPr="00E42082" w:rsidRDefault="001A625F"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1A625F" w:rsidRPr="00E42082" w:rsidRDefault="001A625F" w:rsidP="00EA65CB">
      <w:pPr>
        <w:pStyle w:val="FootnoteText"/>
        <w:ind w:firstLine="720"/>
        <w:rPr>
          <w:rFonts w:ascii="Times New Roman" w:hAnsi="Times New Roman" w:cs="Times New Roman"/>
          <w:lang w:val="en-US"/>
        </w:rPr>
      </w:pPr>
    </w:p>
  </w:footnote>
  <w:footnote w:id="79">
    <w:p w14:paraId="31BF72F4" w14:textId="54C6816E" w:rsidR="001A625F" w:rsidRPr="00E42082" w:rsidRDefault="001A625F"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1A625F" w:rsidRPr="00E42082" w:rsidRDefault="001A625F" w:rsidP="00093524">
      <w:pPr>
        <w:pStyle w:val="FootnoteText"/>
        <w:ind w:firstLine="720"/>
        <w:rPr>
          <w:rFonts w:ascii="Times New Roman" w:hAnsi="Times New Roman" w:cs="Times New Roman"/>
          <w:lang w:val="en-US"/>
        </w:rPr>
      </w:pPr>
    </w:p>
  </w:footnote>
  <w:footnote w:id="80">
    <w:p w14:paraId="4FD0B51D" w14:textId="3639BF8E" w:rsidR="001A625F" w:rsidRPr="00E42082" w:rsidRDefault="001A625F" w:rsidP="001C2F54">
      <w:pPr>
        <w:pStyle w:val="FootnoteText"/>
        <w:ind w:firstLine="720"/>
        <w:rPr>
          <w:rFonts w:ascii="Times New Roman" w:hAnsi="Times New Roman" w:cs="Times New Roman"/>
        </w:rPr>
      </w:pPr>
      <w:r w:rsidRPr="009D7090">
        <w:rPr>
          <w:rStyle w:val="FootnoteReference"/>
          <w:rFonts w:ascii="Times New Roman" w:hAnsi="Times New Roman" w:cs="Times New Roman"/>
        </w:rPr>
        <w:footnoteRef/>
      </w:r>
      <w:r w:rsidRPr="009D7090">
        <w:rPr>
          <w:rFonts w:ascii="Times New Roman" w:hAnsi="Times New Roman" w:cs="Times New Roman"/>
        </w:rPr>
        <w:t xml:space="preserve"> BM MS 609 Edition XML encoding downloaded from Rehr’s website: </w:t>
      </w:r>
      <w:hyperlink r:id="rId1" w:history="1">
        <w:r w:rsidRPr="009D7090">
          <w:rPr>
            <w:rStyle w:val="Hyperlink"/>
            <w:rFonts w:ascii="Times New Roman" w:hAnsi="Times New Roman" w:cs="Times New Roman"/>
          </w:rPr>
          <w:t>http://medieval-inquisition.huma-num.fr/downloads</w:t>
        </w:r>
      </w:hyperlink>
    </w:p>
    <w:p w14:paraId="1D1EC77E" w14:textId="77777777" w:rsidR="001A625F" w:rsidRPr="00E42082" w:rsidRDefault="001A625F" w:rsidP="00FF2C9D">
      <w:pPr>
        <w:pStyle w:val="FootnoteText"/>
        <w:rPr>
          <w:rFonts w:ascii="Times New Roman" w:hAnsi="Times New Roman" w:cs="Times New Roman"/>
          <w:lang w:val="en-US"/>
        </w:rPr>
      </w:pPr>
    </w:p>
  </w:footnote>
  <w:footnote w:id="81">
    <w:p w14:paraId="1D825344" w14:textId="4D30C7AA" w:rsidR="001A625F" w:rsidRPr="00E42082" w:rsidRDefault="001A625F"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1A625F" w:rsidRPr="00E42082"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E42082" w:rsidRDefault="001A625F"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1A625F" w:rsidRPr="00E42082"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E42082" w:rsidRDefault="001A625F"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E42082" w:rsidRDefault="001A625F"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1A625F" w:rsidRPr="00E42082" w:rsidRDefault="001A625F" w:rsidP="000661B4">
      <w:pPr>
        <w:pStyle w:val="FootnoteText"/>
        <w:ind w:firstLine="720"/>
        <w:rPr>
          <w:rFonts w:ascii="Times New Roman" w:hAnsi="Times New Roman" w:cs="Times New Roman"/>
        </w:rPr>
      </w:pPr>
      <w:r w:rsidRPr="009D7090">
        <w:rPr>
          <w:rStyle w:val="FootnoteReference"/>
          <w:rFonts w:ascii="Times New Roman" w:hAnsi="Times New Roman" w:cs="Times New Roman"/>
        </w:rPr>
        <w:footnoteRef/>
      </w:r>
      <w:r w:rsidRPr="009D7090">
        <w:rPr>
          <w:rFonts w:ascii="Times New Roman" w:hAnsi="Times New Roman" w:cs="Times New Roman"/>
        </w:rPr>
        <w:t xml:space="preserve"> </w:t>
      </w:r>
      <w:r w:rsidRPr="009D7090">
        <w:rPr>
          <w:rFonts w:ascii="Times New Roman" w:eastAsia="Times New Roman" w:hAnsi="Times New Roman" w:cs="Times New Roman"/>
        </w:rPr>
        <w:t xml:space="preserve">Pegg, </w:t>
      </w:r>
      <w:r w:rsidRPr="009D7090">
        <w:rPr>
          <w:rFonts w:ascii="Times New Roman" w:eastAsia="Times New Roman" w:hAnsi="Times New Roman" w:cs="Times New Roman"/>
          <w:i/>
        </w:rPr>
        <w:t>The Corruption of Angels</w:t>
      </w:r>
      <w:r w:rsidRPr="009D7090">
        <w:rPr>
          <w:rFonts w:ascii="Times New Roman" w:eastAsia="Times New Roman" w:hAnsi="Times New Roman" w:cs="Times New Roman"/>
        </w:rPr>
        <w:t>, pp. 86-89.</w:t>
      </w:r>
      <w:r w:rsidRPr="00E42082">
        <w:rPr>
          <w:rFonts w:ascii="Times New Roman" w:hAnsi="Times New Roman" w:cs="Times New Roman"/>
        </w:rPr>
        <w:t xml:space="preserve"> </w:t>
      </w:r>
    </w:p>
    <w:p w14:paraId="66FE0796" w14:textId="77777777" w:rsidR="001A625F" w:rsidRPr="00E42082" w:rsidRDefault="001A625F" w:rsidP="000661B4">
      <w:pPr>
        <w:pStyle w:val="FootnoteText"/>
        <w:ind w:firstLine="720"/>
        <w:rPr>
          <w:rFonts w:ascii="Times New Roman" w:hAnsi="Times New Roman" w:cs="Times New Roman"/>
        </w:rPr>
      </w:pPr>
    </w:p>
  </w:footnote>
  <w:footnote w:id="86">
    <w:p w14:paraId="59947C57" w14:textId="6D901FD2" w:rsidR="001A625F" w:rsidRPr="00E42082" w:rsidRDefault="001A625F" w:rsidP="00C53551">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1A625F" w:rsidRPr="00E42082"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E42082" w:rsidRDefault="001A625F" w:rsidP="00477F07">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w:t>
      </w:r>
      <w:r w:rsidRPr="00260968">
        <w:rPr>
          <w:rFonts w:ascii="Times New Roman" w:eastAsia="Times New Roman" w:hAnsi="Times New Roman" w:cs="Times New Roman"/>
        </w:rPr>
        <w:t xml:space="preserve">Peter Biller, “Cathars and the Natural World,” in </w:t>
      </w:r>
      <w:r w:rsidRPr="00260968">
        <w:rPr>
          <w:rFonts w:ascii="Times New Roman" w:eastAsia="Times New Roman" w:hAnsi="Times New Roman" w:cs="Times New Roman"/>
          <w:i/>
        </w:rPr>
        <w:t>God’s Bounty? The Churches and the Natural World</w:t>
      </w:r>
      <w:r w:rsidRPr="00260968">
        <w:rPr>
          <w:rFonts w:ascii="Times New Roman" w:eastAsia="Times New Roman" w:hAnsi="Times New Roman" w:cs="Times New Roman"/>
        </w:rPr>
        <w:t>, ed. Peter Clarke and Tony Claydon (Woodbridge, UK: The Boydell Press, 2010), p. 104.</w:t>
      </w:r>
      <w:r w:rsidRPr="00260968">
        <w:rPr>
          <w:rFonts w:ascii="Times New Roman" w:hAnsi="Times New Roman" w:cs="Times New Roman"/>
        </w:rPr>
        <w:t xml:space="preserve"> </w:t>
      </w:r>
    </w:p>
    <w:p w14:paraId="62C4EE5F" w14:textId="77777777" w:rsidR="001A625F" w:rsidRPr="00E42082"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E42082" w:rsidRDefault="001A625F"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BABYYYYY</w:t>
      </w:r>
    </w:p>
    <w:p w14:paraId="7761A0EC" w14:textId="77777777" w:rsidR="001A625F" w:rsidRPr="00E42082" w:rsidRDefault="001A625F">
      <w:pPr>
        <w:pStyle w:val="FootnoteText"/>
        <w:rPr>
          <w:rFonts w:ascii="Times New Roman" w:hAnsi="Times New Roman" w:cs="Times New Roman"/>
          <w:lang w:val="en-US"/>
        </w:rPr>
      </w:pPr>
    </w:p>
  </w:footnote>
  <w:footnote w:id="89">
    <w:p w14:paraId="6D239718" w14:textId="0C3D179B" w:rsidR="001A625F" w:rsidRPr="00E42082" w:rsidRDefault="001A625F" w:rsidP="00B33CE8">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w:t>
      </w:r>
      <w:r w:rsidRPr="00260968">
        <w:rPr>
          <w:rFonts w:ascii="Times New Roman" w:eastAsia="Times New Roman" w:hAnsi="Times New Roman" w:cs="Times New Roman"/>
        </w:rPr>
        <w:t>Biller, “Cathars and the Natural World,” pp. 102-105.</w:t>
      </w:r>
      <w:r w:rsidRPr="00E42082">
        <w:rPr>
          <w:rFonts w:ascii="Times New Roman" w:hAnsi="Times New Roman" w:cs="Times New Roman"/>
        </w:rPr>
        <w:t xml:space="preserve"> </w:t>
      </w:r>
    </w:p>
    <w:p w14:paraId="5E574C58" w14:textId="77777777" w:rsidR="001A625F" w:rsidRPr="00E42082"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E42082" w:rsidRDefault="001A625F"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FOOTNOTE AGAIN BABYYYY (also cathars in question)</w:t>
      </w:r>
    </w:p>
  </w:footnote>
  <w:footnote w:id="91">
    <w:p w14:paraId="5F343E47" w14:textId="3E51E160" w:rsidR="001A625F" w:rsidRPr="00E42082" w:rsidRDefault="001A625F" w:rsidP="006455A8">
      <w:pPr>
        <w:pStyle w:val="FootnoteText"/>
        <w:ind w:firstLine="720"/>
        <w:rPr>
          <w:rFonts w:ascii="Times New Roman" w:hAnsi="Times New Roman" w:cs="Times New Roman"/>
        </w:rPr>
      </w:pPr>
      <w:r w:rsidRPr="00260968">
        <w:rPr>
          <w:rStyle w:val="FootnoteReference"/>
          <w:rFonts w:ascii="Times New Roman" w:hAnsi="Times New Roman" w:cs="Times New Roman"/>
        </w:rPr>
        <w:footnoteRef/>
      </w:r>
      <w:r w:rsidRPr="00260968">
        <w:rPr>
          <w:rFonts w:ascii="Times New Roman" w:hAnsi="Times New Roman" w:cs="Times New Roman"/>
        </w:rPr>
        <w:t xml:space="preserve"> MS 609,  fol. 22v.</w:t>
      </w:r>
    </w:p>
    <w:p w14:paraId="17B07BE1" w14:textId="77777777" w:rsidR="001A625F" w:rsidRPr="00E42082"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E42082" w:rsidRDefault="001A625F"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 101.</w:t>
      </w:r>
    </w:p>
    <w:p w14:paraId="31B61E1F" w14:textId="67D0E376" w:rsidR="001A625F" w:rsidRPr="00E42082" w:rsidRDefault="001A625F">
      <w:pPr>
        <w:pStyle w:val="FootnoteText"/>
        <w:rPr>
          <w:rFonts w:ascii="Times New Roman" w:hAnsi="Times New Roman" w:cs="Times New Roman"/>
          <w:lang w:val="en-US"/>
        </w:rPr>
      </w:pPr>
    </w:p>
  </w:footnote>
  <w:footnote w:id="93">
    <w:p w14:paraId="31C28CEB" w14:textId="67DD604A" w:rsidR="001A625F" w:rsidRDefault="001A625F"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Biller, “Cathars and the Natural World,” p</w:t>
      </w:r>
      <w:r>
        <w:rPr>
          <w:rFonts w:ascii="Times New Roman" w:eastAsia="Times New Roman" w:hAnsi="Times New Roman" w:cs="Times New Roman"/>
          <w:highlight w:val="yellow"/>
        </w:rPr>
        <w:t>p</w:t>
      </w:r>
      <w:r w:rsidRPr="00E42082">
        <w:rPr>
          <w:rFonts w:ascii="Times New Roman" w:eastAsia="Times New Roman" w:hAnsi="Times New Roman" w:cs="Times New Roman"/>
          <w:highlight w:val="yellow"/>
        </w:rPr>
        <w:t xml:space="preserve">. </w:t>
      </w:r>
      <w:r>
        <w:rPr>
          <w:rFonts w:ascii="Times New Roman" w:eastAsia="Times New Roman" w:hAnsi="Times New Roman" w:cs="Times New Roman"/>
          <w:highlight w:val="yellow"/>
        </w:rPr>
        <w:t>102-110</w:t>
      </w:r>
      <w:r w:rsidRPr="00E42082">
        <w:rPr>
          <w:rFonts w:ascii="Times New Roman" w:eastAsia="Times New Roman" w:hAnsi="Times New Roman" w:cs="Times New Roman"/>
          <w:highlight w:val="yellow"/>
        </w:rPr>
        <w:t>.</w:t>
      </w:r>
    </w:p>
    <w:p w14:paraId="6A9E8D2A" w14:textId="77777777" w:rsidR="001A625F" w:rsidRPr="00E42082" w:rsidRDefault="001A625F" w:rsidP="00E42082">
      <w:pPr>
        <w:pStyle w:val="FootnoteText"/>
        <w:ind w:firstLine="720"/>
        <w:rPr>
          <w:rFonts w:ascii="Times New Roman" w:hAnsi="Times New Roman" w:cs="Times New Roman"/>
          <w:lang w:val="en-US"/>
        </w:rPr>
      </w:pPr>
    </w:p>
  </w:footnote>
  <w:footnote w:id="94">
    <w:p w14:paraId="4F814895" w14:textId="5C3FC9D0" w:rsidR="001A625F" w:rsidRDefault="001A625F"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1A625F" w:rsidRPr="00E42082" w:rsidRDefault="001A625F" w:rsidP="00282249">
      <w:pPr>
        <w:pStyle w:val="FootnoteText"/>
        <w:rPr>
          <w:rFonts w:ascii="Times New Roman" w:hAnsi="Times New Roman" w:cs="Times New Roman"/>
          <w:lang w:val="en-US"/>
        </w:rPr>
      </w:pPr>
    </w:p>
  </w:footnote>
  <w:footnote w:id="95">
    <w:p w14:paraId="7488E937" w14:textId="6565994C" w:rsidR="001A625F" w:rsidRPr="0013106E" w:rsidRDefault="001A625F"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David Greenstein and N. Morgan, “Software for Historians?” in </w:t>
      </w:r>
      <w:r w:rsidRPr="00282249">
        <w:rPr>
          <w:rFonts w:ascii="Times New Roman" w:hAnsi="Times New Roman" w:cs="Times New Roman"/>
          <w:i/>
          <w:highlight w:val="yellow"/>
        </w:rPr>
        <w:t>History and Computing</w:t>
      </w:r>
      <w:r>
        <w:rPr>
          <w:rFonts w:ascii="Times New Roman" w:hAnsi="Times New Roman" w:cs="Times New Roman"/>
          <w:highlight w:val="yellow"/>
        </w:rPr>
        <w:t xml:space="preserve">, 1 (1989): </w:t>
      </w:r>
      <w:r w:rsidRPr="00282249">
        <w:rPr>
          <w:rFonts w:ascii="Times New Roman" w:hAnsi="Times New Roman" w:cs="Times New Roman"/>
          <w:highlight w:val="yellow"/>
        </w:rPr>
        <w:t>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EEC"/>
    <w:rsid w:val="000A300E"/>
    <w:rsid w:val="000A5F51"/>
    <w:rsid w:val="000B15E2"/>
    <w:rsid w:val="000B5D1C"/>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1465"/>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E291CB2-FC13-7D4D-9535-890A72F0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102</Pages>
  <Words>20613</Words>
  <Characters>116670</Characters>
  <Application>Microsoft Macintosh Word</Application>
  <DocSecurity>0</DocSecurity>
  <Lines>5555</Lines>
  <Paragraphs>2018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508</cp:revision>
  <dcterms:created xsi:type="dcterms:W3CDTF">2019-01-28T01:52:00Z</dcterms:created>
  <dcterms:modified xsi:type="dcterms:W3CDTF">2019-03-20T18:22:00Z</dcterms:modified>
  <cp:category/>
</cp:coreProperties>
</file>