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ABC6D" w14:textId="77777777" w:rsidR="000C1D4B" w:rsidRDefault="000C1D4B" w:rsidP="000C1D4B">
      <w:pPr>
        <w:jc w:val="center"/>
        <w:rPr>
          <w:rFonts w:ascii="Times New Roman" w:hAnsi="Times New Roman" w:cs="Times New Roman"/>
          <w:sz w:val="24"/>
          <w:szCs w:val="24"/>
        </w:rPr>
      </w:pPr>
      <w:r>
        <w:rPr>
          <w:rFonts w:ascii="Times New Roman" w:hAnsi="Times New Roman" w:cs="Times New Roman"/>
          <w:sz w:val="24"/>
          <w:szCs w:val="24"/>
        </w:rPr>
        <w:t>Cathars and Computers: A Digital Approach to Studying Manuscript 609</w:t>
      </w:r>
    </w:p>
    <w:p w14:paraId="23AB82DB" w14:textId="77777777" w:rsidR="000C1D4B" w:rsidRPr="0035045F" w:rsidRDefault="000C1D4B" w:rsidP="000C1D4B">
      <w:pPr>
        <w:jc w:val="center"/>
        <w:rPr>
          <w:rFonts w:ascii="Times New Roman" w:hAnsi="Times New Roman" w:cs="Times New Roman"/>
          <w:sz w:val="24"/>
          <w:szCs w:val="24"/>
        </w:rPr>
      </w:pPr>
    </w:p>
    <w:p w14:paraId="05C7DC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F651AFC" w14:textId="77777777" w:rsidR="000C1D4B" w:rsidRPr="0035045F" w:rsidRDefault="000C1D4B" w:rsidP="000C1D4B">
      <w:pPr>
        <w:jc w:val="center"/>
        <w:rPr>
          <w:rFonts w:ascii="Times New Roman" w:hAnsi="Times New Roman" w:cs="Times New Roman"/>
          <w:sz w:val="24"/>
          <w:szCs w:val="24"/>
        </w:rPr>
      </w:pPr>
    </w:p>
    <w:p w14:paraId="44C928DD" w14:textId="77777777" w:rsidR="000C1D4B" w:rsidRPr="0035045F" w:rsidRDefault="000C1D4B" w:rsidP="000C1D4B">
      <w:pPr>
        <w:jc w:val="center"/>
        <w:rPr>
          <w:rFonts w:ascii="Times New Roman" w:hAnsi="Times New Roman" w:cs="Times New Roman"/>
          <w:sz w:val="24"/>
          <w:szCs w:val="24"/>
        </w:rPr>
      </w:pPr>
      <w:r>
        <w:rPr>
          <w:rFonts w:ascii="Times New Roman" w:hAnsi="Times New Roman" w:cs="Times New Roman"/>
          <w:sz w:val="24"/>
          <w:szCs w:val="24"/>
        </w:rPr>
        <w:t>Madeline Linder</w:t>
      </w:r>
    </w:p>
    <w:p w14:paraId="74316EAA" w14:textId="77777777" w:rsidR="000C1D4B" w:rsidRPr="0035045F" w:rsidRDefault="000C1D4B" w:rsidP="000C1D4B">
      <w:pPr>
        <w:rPr>
          <w:rFonts w:ascii="Times New Roman" w:hAnsi="Times New Roman" w:cs="Times New Roman"/>
          <w:sz w:val="24"/>
          <w:szCs w:val="24"/>
        </w:rPr>
      </w:pPr>
    </w:p>
    <w:p w14:paraId="276F5B6E" w14:textId="77777777" w:rsidR="000C1D4B" w:rsidRPr="0035045F" w:rsidRDefault="000C1D4B" w:rsidP="000C1D4B">
      <w:pPr>
        <w:jc w:val="center"/>
        <w:rPr>
          <w:rFonts w:ascii="Times New Roman" w:hAnsi="Times New Roman" w:cs="Times New Roman"/>
          <w:sz w:val="24"/>
          <w:szCs w:val="24"/>
        </w:rPr>
      </w:pPr>
    </w:p>
    <w:p w14:paraId="7613658C" w14:textId="77777777" w:rsidR="000C1D4B" w:rsidRPr="0035045F" w:rsidRDefault="000C1D4B" w:rsidP="000C1D4B">
      <w:pPr>
        <w:jc w:val="center"/>
        <w:rPr>
          <w:rFonts w:ascii="Times New Roman" w:hAnsi="Times New Roman" w:cs="Times New Roman"/>
          <w:sz w:val="24"/>
          <w:szCs w:val="24"/>
        </w:rPr>
      </w:pPr>
    </w:p>
    <w:p w14:paraId="612B9CD9" w14:textId="77777777" w:rsidR="000C1D4B" w:rsidRPr="0035045F" w:rsidRDefault="000C1D4B" w:rsidP="000C1D4B">
      <w:pPr>
        <w:jc w:val="center"/>
        <w:rPr>
          <w:rFonts w:ascii="Times New Roman" w:hAnsi="Times New Roman" w:cs="Times New Roman"/>
          <w:sz w:val="24"/>
          <w:szCs w:val="24"/>
        </w:rPr>
      </w:pPr>
    </w:p>
    <w:p w14:paraId="612D2DBC" w14:textId="77777777" w:rsidR="000C1D4B" w:rsidRPr="0035045F" w:rsidRDefault="000C1D4B" w:rsidP="000C1D4B">
      <w:pPr>
        <w:jc w:val="center"/>
        <w:rPr>
          <w:rFonts w:ascii="Times New Roman" w:hAnsi="Times New Roman" w:cs="Times New Roman"/>
          <w:sz w:val="24"/>
          <w:szCs w:val="24"/>
        </w:rPr>
      </w:pPr>
    </w:p>
    <w:p w14:paraId="1D407DA2" w14:textId="77777777" w:rsidR="000C1D4B" w:rsidRPr="0035045F" w:rsidRDefault="000C1D4B" w:rsidP="000C1D4B">
      <w:pPr>
        <w:jc w:val="center"/>
        <w:rPr>
          <w:rFonts w:ascii="Times New Roman" w:hAnsi="Times New Roman" w:cs="Times New Roman"/>
          <w:sz w:val="24"/>
          <w:szCs w:val="24"/>
        </w:rPr>
      </w:pPr>
    </w:p>
    <w:p w14:paraId="4E207EC0" w14:textId="77777777" w:rsidR="000C1D4B" w:rsidRPr="0035045F" w:rsidRDefault="000C1D4B" w:rsidP="000C1D4B">
      <w:pPr>
        <w:jc w:val="center"/>
        <w:rPr>
          <w:rFonts w:ascii="Times New Roman" w:hAnsi="Times New Roman" w:cs="Times New Roman"/>
          <w:sz w:val="24"/>
          <w:szCs w:val="24"/>
        </w:rPr>
      </w:pPr>
    </w:p>
    <w:p w14:paraId="4FAB6FDB" w14:textId="77777777" w:rsidR="000C1D4B" w:rsidRPr="0035045F" w:rsidRDefault="000C1D4B" w:rsidP="000C1D4B">
      <w:pPr>
        <w:jc w:val="center"/>
        <w:rPr>
          <w:rFonts w:ascii="Times New Roman" w:hAnsi="Times New Roman" w:cs="Times New Roman"/>
          <w:sz w:val="24"/>
          <w:szCs w:val="24"/>
        </w:rPr>
      </w:pPr>
    </w:p>
    <w:p w14:paraId="7EEEF1CE" w14:textId="77777777" w:rsidR="000C1D4B" w:rsidRPr="0035045F" w:rsidRDefault="000C1D4B" w:rsidP="000C1D4B">
      <w:pPr>
        <w:jc w:val="center"/>
        <w:rPr>
          <w:rFonts w:ascii="Times New Roman" w:hAnsi="Times New Roman" w:cs="Times New Roman"/>
          <w:sz w:val="24"/>
          <w:szCs w:val="24"/>
        </w:rPr>
      </w:pPr>
    </w:p>
    <w:p w14:paraId="2FBF767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5F301B7A"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539B0145"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7C8C87C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3641198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7A7E54FE" w14:textId="77777777" w:rsidR="000C1D4B" w:rsidRPr="0035045F" w:rsidRDefault="000C1D4B" w:rsidP="000C1D4B">
      <w:pPr>
        <w:jc w:val="center"/>
        <w:rPr>
          <w:rFonts w:ascii="Times New Roman" w:hAnsi="Times New Roman" w:cs="Times New Roman"/>
          <w:sz w:val="24"/>
          <w:szCs w:val="24"/>
        </w:rPr>
      </w:pPr>
    </w:p>
    <w:p w14:paraId="5B8F9081" w14:textId="77777777" w:rsidR="000C1D4B" w:rsidRPr="0035045F" w:rsidRDefault="000C1D4B" w:rsidP="000C1D4B">
      <w:pPr>
        <w:jc w:val="center"/>
        <w:rPr>
          <w:rFonts w:ascii="Times New Roman" w:hAnsi="Times New Roman" w:cs="Times New Roman"/>
          <w:sz w:val="24"/>
          <w:szCs w:val="24"/>
        </w:rPr>
      </w:pPr>
    </w:p>
    <w:p w14:paraId="2DA784F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 xml:space="preserve">Advisor: </w:t>
      </w:r>
      <w:r>
        <w:rPr>
          <w:rFonts w:ascii="Times New Roman" w:hAnsi="Times New Roman" w:cs="Times New Roman"/>
          <w:sz w:val="24"/>
          <w:szCs w:val="24"/>
        </w:rPr>
        <w:t>Mark Gregory Pegg</w:t>
      </w:r>
    </w:p>
    <w:p w14:paraId="0EA60634" w14:textId="77777777" w:rsidR="000C1D4B" w:rsidRPr="0035045F" w:rsidRDefault="000C1D4B" w:rsidP="000C1D4B">
      <w:pPr>
        <w:jc w:val="center"/>
        <w:rPr>
          <w:rFonts w:ascii="Times New Roman" w:hAnsi="Times New Roman" w:cs="Times New Roman"/>
          <w:sz w:val="24"/>
          <w:szCs w:val="24"/>
        </w:rPr>
      </w:pPr>
    </w:p>
    <w:p w14:paraId="1248AB05" w14:textId="77777777" w:rsidR="000C1D4B" w:rsidRPr="0035045F" w:rsidRDefault="000C1D4B" w:rsidP="000C1D4B">
      <w:pPr>
        <w:jc w:val="center"/>
        <w:rPr>
          <w:rFonts w:ascii="Times New Roman" w:hAnsi="Times New Roman" w:cs="Times New Roman"/>
          <w:sz w:val="24"/>
          <w:szCs w:val="24"/>
        </w:rPr>
      </w:pPr>
    </w:p>
    <w:p w14:paraId="08D5A627" w14:textId="77777777" w:rsidR="000C1D4B" w:rsidRPr="0035045F" w:rsidRDefault="000C1D4B" w:rsidP="000C1D4B">
      <w:pPr>
        <w:jc w:val="center"/>
        <w:rPr>
          <w:rFonts w:ascii="Times New Roman" w:hAnsi="Times New Roman" w:cs="Times New Roman"/>
          <w:sz w:val="24"/>
          <w:szCs w:val="24"/>
        </w:rPr>
      </w:pPr>
    </w:p>
    <w:p w14:paraId="0753D6A6"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365E65CA" w14:textId="77777777" w:rsidR="000C1D4B" w:rsidRPr="0035045F" w:rsidRDefault="000C1D4B" w:rsidP="000C1D4B">
      <w:pPr>
        <w:rPr>
          <w:rFonts w:ascii="Times New Roman" w:hAnsi="Times New Roman" w:cs="Times New Roman"/>
          <w:sz w:val="24"/>
          <w:szCs w:val="24"/>
        </w:rPr>
      </w:pPr>
    </w:p>
    <w:p w14:paraId="5E73B4CC" w14:textId="77777777" w:rsidR="000C1D4B" w:rsidRPr="0035045F" w:rsidRDefault="000C1D4B" w:rsidP="000C1D4B">
      <w:pPr>
        <w:rPr>
          <w:rFonts w:ascii="Times New Roman" w:hAnsi="Times New Roman" w:cs="Times New Roman"/>
          <w:sz w:val="24"/>
          <w:szCs w:val="24"/>
        </w:rPr>
      </w:pPr>
    </w:p>
    <w:p w14:paraId="17EBDBB7" w14:textId="77777777" w:rsidR="000C1D4B" w:rsidRPr="0035045F" w:rsidRDefault="000C1D4B" w:rsidP="000C1D4B">
      <w:pPr>
        <w:rPr>
          <w:rFonts w:ascii="Times New Roman" w:hAnsi="Times New Roman" w:cs="Times New Roman"/>
          <w:sz w:val="24"/>
          <w:szCs w:val="24"/>
        </w:rPr>
      </w:pPr>
    </w:p>
    <w:p w14:paraId="4E58BAA5" w14:textId="77777777" w:rsidR="000C1D4B" w:rsidRPr="0035045F" w:rsidRDefault="000C1D4B" w:rsidP="000C1D4B">
      <w:pPr>
        <w:rPr>
          <w:rFonts w:ascii="Times New Roman" w:hAnsi="Times New Roman" w:cs="Times New Roman"/>
          <w:sz w:val="24"/>
          <w:szCs w:val="24"/>
        </w:rPr>
      </w:pPr>
    </w:p>
    <w:p w14:paraId="3CFD2A80" w14:textId="77777777" w:rsidR="000C1D4B" w:rsidRPr="0035045F" w:rsidRDefault="000C1D4B" w:rsidP="000C1D4B">
      <w:pPr>
        <w:rPr>
          <w:rFonts w:ascii="Times New Roman" w:hAnsi="Times New Roman" w:cs="Times New Roman"/>
          <w:sz w:val="24"/>
          <w:szCs w:val="24"/>
        </w:rPr>
      </w:pPr>
    </w:p>
    <w:p w14:paraId="5754532E" w14:textId="77777777" w:rsidR="000C1D4B" w:rsidRPr="0035045F" w:rsidRDefault="000C1D4B" w:rsidP="000C1D4B">
      <w:pPr>
        <w:rPr>
          <w:rFonts w:ascii="Times New Roman" w:hAnsi="Times New Roman" w:cs="Times New Roman"/>
          <w:sz w:val="24"/>
          <w:szCs w:val="24"/>
        </w:rPr>
      </w:pPr>
    </w:p>
    <w:p w14:paraId="5907EE04" w14:textId="77777777" w:rsidR="000C1D4B" w:rsidRPr="0035045F" w:rsidRDefault="000C1D4B" w:rsidP="000C1D4B">
      <w:pPr>
        <w:rPr>
          <w:rFonts w:ascii="Times New Roman" w:hAnsi="Times New Roman" w:cs="Times New Roman"/>
          <w:sz w:val="24"/>
          <w:szCs w:val="24"/>
        </w:rPr>
      </w:pPr>
    </w:p>
    <w:p w14:paraId="2042F548" w14:textId="77777777" w:rsidR="000C1D4B" w:rsidRPr="0035045F" w:rsidRDefault="000C1D4B" w:rsidP="000C1D4B">
      <w:pPr>
        <w:rPr>
          <w:rFonts w:ascii="Times New Roman" w:hAnsi="Times New Roman" w:cs="Times New Roman"/>
          <w:sz w:val="24"/>
          <w:szCs w:val="24"/>
        </w:rPr>
      </w:pPr>
    </w:p>
    <w:p w14:paraId="43C89F3A" w14:textId="77777777" w:rsidR="000C1D4B" w:rsidRPr="0035045F" w:rsidRDefault="000C1D4B" w:rsidP="000C1D4B">
      <w:pPr>
        <w:rPr>
          <w:rFonts w:ascii="Times New Roman" w:hAnsi="Times New Roman" w:cs="Times New Roman"/>
          <w:sz w:val="24"/>
          <w:szCs w:val="24"/>
        </w:rPr>
      </w:pPr>
    </w:p>
    <w:p w14:paraId="02914645" w14:textId="77777777" w:rsidR="000C1D4B" w:rsidRPr="0035045F" w:rsidRDefault="000C1D4B" w:rsidP="000C1D4B">
      <w:pPr>
        <w:rPr>
          <w:rFonts w:ascii="Times New Roman" w:hAnsi="Times New Roman" w:cs="Times New Roman"/>
          <w:sz w:val="24"/>
          <w:szCs w:val="24"/>
        </w:rPr>
      </w:pPr>
    </w:p>
    <w:p w14:paraId="1A418283" w14:textId="77777777" w:rsidR="000C1D4B" w:rsidRPr="0035045F" w:rsidRDefault="000C1D4B" w:rsidP="000C1D4B">
      <w:pPr>
        <w:rPr>
          <w:rFonts w:ascii="Times New Roman" w:hAnsi="Times New Roman" w:cs="Times New Roman"/>
          <w:sz w:val="24"/>
          <w:szCs w:val="24"/>
        </w:rPr>
      </w:pPr>
    </w:p>
    <w:p w14:paraId="5E388CF8" w14:textId="77777777" w:rsidR="000C1D4B" w:rsidRPr="0035045F" w:rsidRDefault="000C1D4B" w:rsidP="000C1D4B">
      <w:pPr>
        <w:rPr>
          <w:rFonts w:ascii="Times New Roman" w:hAnsi="Times New Roman" w:cs="Times New Roman"/>
          <w:sz w:val="24"/>
          <w:szCs w:val="24"/>
        </w:rPr>
      </w:pPr>
    </w:p>
    <w:p w14:paraId="3A84EB79" w14:textId="77777777" w:rsidR="000C1D4B" w:rsidRPr="0035045F" w:rsidRDefault="000C1D4B" w:rsidP="000C1D4B">
      <w:pPr>
        <w:rPr>
          <w:rFonts w:ascii="Times New Roman" w:hAnsi="Times New Roman" w:cs="Times New Roman"/>
          <w:sz w:val="24"/>
          <w:szCs w:val="24"/>
        </w:rPr>
      </w:pPr>
    </w:p>
    <w:p w14:paraId="184A5195" w14:textId="77777777" w:rsidR="000C1D4B" w:rsidRPr="0035045F" w:rsidRDefault="000C1D4B" w:rsidP="000C1D4B">
      <w:pPr>
        <w:rPr>
          <w:rFonts w:ascii="Times New Roman" w:hAnsi="Times New Roman" w:cs="Times New Roman"/>
          <w:sz w:val="24"/>
          <w:szCs w:val="24"/>
        </w:rPr>
      </w:pPr>
    </w:p>
    <w:p w14:paraId="762885AF"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w:t>
      </w:r>
      <w:r>
        <w:rPr>
          <w:rFonts w:ascii="Times New Roman" w:hAnsi="Times New Roman" w:cs="Times New Roman"/>
          <w:sz w:val="24"/>
          <w:szCs w:val="24"/>
        </w:rPr>
        <w:t xml:space="preserve"> Madeline Linder</w:t>
      </w:r>
      <w:r w:rsidRPr="0035045F">
        <w:rPr>
          <w:rFonts w:ascii="Times New Roman" w:hAnsi="Times New Roman" w:cs="Times New Roman"/>
          <w:sz w:val="24"/>
          <w:szCs w:val="24"/>
        </w:rPr>
        <w:t>, 2019. All rights reserved.</w:t>
      </w:r>
    </w:p>
    <w:p w14:paraId="0B9D927F" w14:textId="77777777" w:rsidR="000C1D4B" w:rsidRPr="0035045F" w:rsidRDefault="000C1D4B" w:rsidP="000C1D4B">
      <w:pPr>
        <w:jc w:val="center"/>
        <w:rPr>
          <w:rFonts w:ascii="Times New Roman" w:hAnsi="Times New Roman" w:cs="Times New Roman"/>
        </w:rPr>
      </w:pPr>
    </w:p>
    <w:p w14:paraId="3709D8CC" w14:textId="77777777" w:rsidR="000C1D4B" w:rsidRPr="0035045F" w:rsidRDefault="000C1D4B" w:rsidP="000C1D4B">
      <w:pPr>
        <w:jc w:val="center"/>
        <w:rPr>
          <w:rFonts w:ascii="Times New Roman" w:hAnsi="Times New Roman" w:cs="Times New Roman"/>
        </w:rPr>
      </w:pPr>
    </w:p>
    <w:p w14:paraId="0FCEC89A" w14:textId="77777777" w:rsidR="000C1D4B" w:rsidRPr="0035045F" w:rsidRDefault="000C1D4B" w:rsidP="000C1D4B">
      <w:pPr>
        <w:jc w:val="center"/>
        <w:rPr>
          <w:rFonts w:ascii="Times New Roman" w:hAnsi="Times New Roman" w:cs="Times New Roman"/>
        </w:rPr>
      </w:pPr>
    </w:p>
    <w:p w14:paraId="0AF28228" w14:textId="77777777" w:rsidR="000C1D4B" w:rsidRPr="0035045F" w:rsidRDefault="000C1D4B" w:rsidP="000C1D4B">
      <w:pPr>
        <w:jc w:val="center"/>
        <w:rPr>
          <w:rFonts w:ascii="Times New Roman" w:hAnsi="Times New Roman" w:cs="Times New Roman"/>
        </w:rPr>
      </w:pPr>
    </w:p>
    <w:p w14:paraId="1477F394" w14:textId="77777777" w:rsidR="000C1D4B" w:rsidRPr="0035045F" w:rsidRDefault="000C1D4B" w:rsidP="000C1D4B">
      <w:pPr>
        <w:jc w:val="center"/>
        <w:rPr>
          <w:rFonts w:ascii="Times New Roman" w:hAnsi="Times New Roman" w:cs="Times New Roman"/>
        </w:rPr>
      </w:pPr>
    </w:p>
    <w:p w14:paraId="58C82D56" w14:textId="77777777" w:rsidR="000C1D4B" w:rsidRPr="0035045F" w:rsidRDefault="000C1D4B" w:rsidP="000C1D4B">
      <w:pPr>
        <w:jc w:val="center"/>
        <w:rPr>
          <w:rFonts w:ascii="Times New Roman" w:hAnsi="Times New Roman" w:cs="Times New Roman"/>
        </w:rPr>
      </w:pPr>
    </w:p>
    <w:p w14:paraId="12801B67" w14:textId="77777777" w:rsidR="000C1D4B" w:rsidRPr="0035045F" w:rsidRDefault="000C1D4B" w:rsidP="000C1D4B">
      <w:pPr>
        <w:jc w:val="center"/>
        <w:rPr>
          <w:rFonts w:ascii="Times New Roman" w:hAnsi="Times New Roman" w:cs="Times New Roman"/>
        </w:rPr>
      </w:pPr>
    </w:p>
    <w:p w14:paraId="57A80C1E" w14:textId="77777777" w:rsidR="000C1D4B" w:rsidRPr="0035045F" w:rsidRDefault="000C1D4B" w:rsidP="000C1D4B">
      <w:pPr>
        <w:jc w:val="center"/>
        <w:rPr>
          <w:rFonts w:ascii="Times New Roman" w:hAnsi="Times New Roman" w:cs="Times New Roman"/>
        </w:rPr>
      </w:pPr>
    </w:p>
    <w:p w14:paraId="64E5C299" w14:textId="77777777" w:rsidR="000C1D4B" w:rsidRPr="0035045F" w:rsidRDefault="000C1D4B" w:rsidP="000C1D4B">
      <w:pPr>
        <w:jc w:val="center"/>
        <w:rPr>
          <w:rFonts w:ascii="Times New Roman" w:hAnsi="Times New Roman" w:cs="Times New Roman"/>
        </w:rPr>
      </w:pPr>
    </w:p>
    <w:p w14:paraId="5D675068" w14:textId="77777777" w:rsidR="000C1D4B" w:rsidRPr="0035045F" w:rsidRDefault="000C1D4B" w:rsidP="000C1D4B">
      <w:pPr>
        <w:jc w:val="center"/>
        <w:rPr>
          <w:rFonts w:ascii="Times New Roman" w:hAnsi="Times New Roman" w:cs="Times New Roman"/>
        </w:rPr>
      </w:pPr>
    </w:p>
    <w:p w14:paraId="5F84840A" w14:textId="77777777" w:rsidR="000C1D4B" w:rsidRPr="0035045F" w:rsidRDefault="000C1D4B" w:rsidP="000C1D4B">
      <w:pPr>
        <w:jc w:val="center"/>
        <w:rPr>
          <w:rFonts w:ascii="Times New Roman" w:hAnsi="Times New Roman" w:cs="Times New Roman"/>
        </w:rPr>
      </w:pPr>
    </w:p>
    <w:p w14:paraId="79CA60CD" w14:textId="77777777" w:rsidR="000C1D4B" w:rsidRPr="0035045F" w:rsidRDefault="000C1D4B" w:rsidP="000C1D4B">
      <w:pPr>
        <w:jc w:val="center"/>
        <w:rPr>
          <w:rFonts w:ascii="Times New Roman" w:hAnsi="Times New Roman" w:cs="Times New Roman"/>
        </w:rPr>
      </w:pPr>
    </w:p>
    <w:p w14:paraId="63F08B43" w14:textId="77777777" w:rsidR="000C1D4B" w:rsidRPr="0035045F" w:rsidRDefault="000C1D4B" w:rsidP="000C1D4B">
      <w:pPr>
        <w:outlineLvl w:val="0"/>
        <w:rPr>
          <w:rFonts w:ascii="Times New Roman" w:hAnsi="Times New Roman" w:cs="Times New Roman"/>
        </w:rPr>
      </w:pPr>
    </w:p>
    <w:p w14:paraId="1E1B6DAC" w14:textId="77777777" w:rsidR="000C1D4B" w:rsidRPr="0035045F" w:rsidRDefault="000C1D4B" w:rsidP="000C1D4B">
      <w:pPr>
        <w:outlineLvl w:val="0"/>
        <w:rPr>
          <w:rFonts w:ascii="Times New Roman" w:hAnsi="Times New Roman" w:cs="Times New Roman"/>
        </w:rPr>
      </w:pPr>
    </w:p>
    <w:p w14:paraId="1D4B1B48" w14:textId="77777777" w:rsidR="000C1D4B" w:rsidRPr="0035045F" w:rsidRDefault="000C1D4B" w:rsidP="000C1D4B">
      <w:pPr>
        <w:outlineLvl w:val="0"/>
        <w:rPr>
          <w:rFonts w:ascii="Times New Roman" w:hAnsi="Times New Roman" w:cs="Times New Roman"/>
        </w:rPr>
      </w:pPr>
    </w:p>
    <w:p w14:paraId="65624AAF" w14:textId="77777777" w:rsidR="000C1D4B" w:rsidRPr="0035045F" w:rsidRDefault="000C1D4B" w:rsidP="000C1D4B">
      <w:pPr>
        <w:outlineLvl w:val="0"/>
        <w:rPr>
          <w:rFonts w:ascii="Times New Roman" w:hAnsi="Times New Roman" w:cs="Times New Roman"/>
        </w:rPr>
      </w:pPr>
    </w:p>
    <w:p w14:paraId="06D7F7E4" w14:textId="77777777" w:rsidR="000C1D4B" w:rsidRPr="0035045F" w:rsidRDefault="000C1D4B" w:rsidP="000C1D4B">
      <w:pPr>
        <w:outlineLvl w:val="0"/>
        <w:rPr>
          <w:rFonts w:ascii="Times New Roman" w:hAnsi="Times New Roman" w:cs="Times New Roman"/>
        </w:rPr>
      </w:pPr>
    </w:p>
    <w:p w14:paraId="264D90EA" w14:textId="77777777" w:rsidR="000C1D4B" w:rsidRPr="0035045F" w:rsidRDefault="000C1D4B" w:rsidP="000C1D4B">
      <w:pPr>
        <w:outlineLvl w:val="0"/>
        <w:rPr>
          <w:rFonts w:ascii="Times New Roman" w:hAnsi="Times New Roman" w:cs="Times New Roman"/>
        </w:rPr>
      </w:pPr>
    </w:p>
    <w:p w14:paraId="08BD257F" w14:textId="77777777" w:rsidR="000C1D4B" w:rsidRPr="0035045F" w:rsidRDefault="000C1D4B" w:rsidP="000C1D4B">
      <w:pPr>
        <w:outlineLvl w:val="0"/>
        <w:rPr>
          <w:rFonts w:ascii="Times New Roman" w:hAnsi="Times New Roman" w:cs="Times New Roman"/>
        </w:rPr>
      </w:pPr>
    </w:p>
    <w:p w14:paraId="5B542D5C" w14:textId="77777777" w:rsidR="000C1D4B" w:rsidRPr="0035045F" w:rsidRDefault="000C1D4B" w:rsidP="000C1D4B">
      <w:pPr>
        <w:outlineLvl w:val="0"/>
        <w:rPr>
          <w:rFonts w:ascii="Times New Roman" w:hAnsi="Times New Roman" w:cs="Times New Roman"/>
        </w:rPr>
      </w:pPr>
    </w:p>
    <w:p w14:paraId="475D136A" w14:textId="77777777" w:rsidR="000C1D4B" w:rsidRPr="0035045F" w:rsidRDefault="000C1D4B" w:rsidP="000C1D4B">
      <w:pPr>
        <w:outlineLvl w:val="0"/>
        <w:rPr>
          <w:rFonts w:ascii="Times New Roman" w:hAnsi="Times New Roman" w:cs="Times New Roman"/>
        </w:rPr>
      </w:pPr>
    </w:p>
    <w:p w14:paraId="58BEA00C" w14:textId="77777777" w:rsidR="000C1D4B" w:rsidRPr="0035045F" w:rsidRDefault="000C1D4B" w:rsidP="000C1D4B">
      <w:pPr>
        <w:outlineLvl w:val="0"/>
        <w:rPr>
          <w:rFonts w:ascii="Times New Roman" w:hAnsi="Times New Roman" w:cs="Times New Roman"/>
        </w:rPr>
      </w:pPr>
    </w:p>
    <w:p w14:paraId="240EE4B2" w14:textId="77777777" w:rsidR="000C1D4B" w:rsidRPr="0035045F" w:rsidRDefault="000C1D4B" w:rsidP="000C1D4B">
      <w:pPr>
        <w:outlineLvl w:val="0"/>
        <w:rPr>
          <w:rFonts w:ascii="Times New Roman" w:hAnsi="Times New Roman" w:cs="Times New Roman"/>
        </w:rPr>
      </w:pPr>
    </w:p>
    <w:p w14:paraId="6A684F90" w14:textId="77777777" w:rsidR="000C1D4B" w:rsidRPr="0035045F" w:rsidRDefault="000C1D4B" w:rsidP="000C1D4B">
      <w:pPr>
        <w:outlineLvl w:val="0"/>
        <w:rPr>
          <w:rFonts w:ascii="Times New Roman" w:hAnsi="Times New Roman" w:cs="Times New Roman"/>
        </w:rPr>
      </w:pPr>
    </w:p>
    <w:p w14:paraId="3EC12B6B" w14:textId="77777777" w:rsidR="000C1D4B" w:rsidRPr="0035045F" w:rsidRDefault="000C1D4B" w:rsidP="000C1D4B">
      <w:pPr>
        <w:outlineLvl w:val="0"/>
        <w:rPr>
          <w:rFonts w:ascii="Times New Roman" w:hAnsi="Times New Roman" w:cs="Times New Roman"/>
        </w:rPr>
      </w:pPr>
    </w:p>
    <w:p w14:paraId="13AB7520" w14:textId="77777777" w:rsidR="000C1D4B" w:rsidRPr="0035045F" w:rsidRDefault="000C1D4B" w:rsidP="000C1D4B">
      <w:pPr>
        <w:outlineLvl w:val="0"/>
        <w:rPr>
          <w:rFonts w:ascii="Times New Roman" w:hAnsi="Times New Roman" w:cs="Times New Roman"/>
        </w:rPr>
      </w:pPr>
    </w:p>
    <w:p w14:paraId="33B90A84" w14:textId="77777777" w:rsidR="000C1D4B" w:rsidRPr="0035045F" w:rsidRDefault="000C1D4B" w:rsidP="000C1D4B">
      <w:pPr>
        <w:outlineLvl w:val="0"/>
        <w:rPr>
          <w:rFonts w:ascii="Times New Roman" w:hAnsi="Times New Roman" w:cs="Times New Roman"/>
        </w:rPr>
      </w:pPr>
    </w:p>
    <w:p w14:paraId="5CD54524" w14:textId="77777777" w:rsidR="000C1D4B" w:rsidRPr="0035045F" w:rsidRDefault="000C1D4B" w:rsidP="000C1D4B">
      <w:pPr>
        <w:outlineLvl w:val="0"/>
        <w:rPr>
          <w:rFonts w:ascii="Times New Roman" w:hAnsi="Times New Roman" w:cs="Times New Roman"/>
        </w:rPr>
      </w:pPr>
    </w:p>
    <w:p w14:paraId="7CCA5216" w14:textId="77777777" w:rsidR="000C1D4B" w:rsidRPr="0035045F" w:rsidRDefault="000C1D4B" w:rsidP="000C1D4B">
      <w:pPr>
        <w:outlineLvl w:val="0"/>
        <w:rPr>
          <w:rFonts w:ascii="Times New Roman" w:hAnsi="Times New Roman" w:cs="Times New Roman"/>
        </w:rPr>
      </w:pPr>
    </w:p>
    <w:p w14:paraId="78BC184A" w14:textId="77777777" w:rsidR="000C1D4B" w:rsidRPr="0035045F" w:rsidRDefault="000C1D4B" w:rsidP="000C1D4B">
      <w:pPr>
        <w:outlineLvl w:val="0"/>
        <w:rPr>
          <w:rFonts w:ascii="Times New Roman" w:hAnsi="Times New Roman" w:cs="Times New Roman"/>
        </w:rPr>
      </w:pPr>
    </w:p>
    <w:p w14:paraId="62FCCA4A" w14:textId="77777777" w:rsidR="000C1D4B" w:rsidRPr="0035045F" w:rsidRDefault="000C1D4B" w:rsidP="000C1D4B">
      <w:pPr>
        <w:outlineLvl w:val="0"/>
        <w:rPr>
          <w:rFonts w:ascii="Times New Roman" w:hAnsi="Times New Roman" w:cs="Times New Roman"/>
        </w:rPr>
      </w:pPr>
    </w:p>
    <w:p w14:paraId="16E95905" w14:textId="77777777" w:rsidR="000C1D4B" w:rsidRPr="0035045F" w:rsidRDefault="000C1D4B" w:rsidP="000C1D4B">
      <w:pPr>
        <w:outlineLvl w:val="0"/>
        <w:rPr>
          <w:rFonts w:ascii="Times New Roman" w:hAnsi="Times New Roman" w:cs="Times New Roman"/>
        </w:rPr>
      </w:pPr>
    </w:p>
    <w:p w14:paraId="1108CA05" w14:textId="77777777" w:rsidR="000C1D4B" w:rsidRPr="0035045F" w:rsidRDefault="000C1D4B" w:rsidP="000C1D4B">
      <w:pPr>
        <w:outlineLvl w:val="0"/>
        <w:rPr>
          <w:rFonts w:ascii="Times New Roman" w:hAnsi="Times New Roman" w:cs="Times New Roman"/>
        </w:rPr>
      </w:pPr>
    </w:p>
    <w:p w14:paraId="193AD3F2" w14:textId="77777777" w:rsidR="000C1D4B" w:rsidRPr="0035045F" w:rsidRDefault="000C1D4B" w:rsidP="000C1D4B">
      <w:pPr>
        <w:outlineLvl w:val="0"/>
        <w:rPr>
          <w:rFonts w:ascii="Times New Roman" w:hAnsi="Times New Roman" w:cs="Times New Roman"/>
        </w:rPr>
      </w:pPr>
    </w:p>
    <w:p w14:paraId="00E1B240" w14:textId="77777777" w:rsidR="000C1D4B" w:rsidRPr="0035045F" w:rsidRDefault="000C1D4B" w:rsidP="000C1D4B">
      <w:pPr>
        <w:outlineLvl w:val="0"/>
        <w:rPr>
          <w:rFonts w:ascii="Times New Roman" w:hAnsi="Times New Roman" w:cs="Times New Roman"/>
        </w:rPr>
      </w:pPr>
    </w:p>
    <w:p w14:paraId="6D7FF1BA" w14:textId="77777777" w:rsidR="000C1D4B" w:rsidRPr="0035045F" w:rsidRDefault="000C1D4B" w:rsidP="000C1D4B">
      <w:pPr>
        <w:outlineLvl w:val="0"/>
        <w:rPr>
          <w:rFonts w:ascii="Times New Roman" w:hAnsi="Times New Roman" w:cs="Times New Roman"/>
        </w:rPr>
      </w:pPr>
    </w:p>
    <w:p w14:paraId="60695A6A" w14:textId="77777777" w:rsidR="000C1D4B" w:rsidRPr="0035045F" w:rsidRDefault="000C1D4B" w:rsidP="000C1D4B">
      <w:pPr>
        <w:outlineLvl w:val="0"/>
        <w:rPr>
          <w:rFonts w:ascii="Times New Roman" w:hAnsi="Times New Roman" w:cs="Times New Roman"/>
        </w:rPr>
      </w:pPr>
    </w:p>
    <w:p w14:paraId="44BE84D3" w14:textId="77777777" w:rsidR="000C1D4B" w:rsidRPr="0035045F" w:rsidRDefault="000C1D4B" w:rsidP="000C1D4B">
      <w:pPr>
        <w:outlineLvl w:val="0"/>
        <w:rPr>
          <w:rFonts w:ascii="Times New Roman" w:hAnsi="Times New Roman" w:cs="Times New Roman"/>
        </w:rPr>
      </w:pPr>
    </w:p>
    <w:p w14:paraId="5BFA7734" w14:textId="77777777" w:rsidR="000C1D4B" w:rsidRPr="0035045F" w:rsidRDefault="000C1D4B" w:rsidP="000C1D4B">
      <w:pPr>
        <w:outlineLvl w:val="0"/>
        <w:rPr>
          <w:rFonts w:ascii="Times New Roman" w:hAnsi="Times New Roman" w:cs="Times New Roman"/>
        </w:rPr>
      </w:pPr>
    </w:p>
    <w:p w14:paraId="32BBFCF4" w14:textId="77777777" w:rsidR="000C1D4B" w:rsidRPr="0035045F" w:rsidRDefault="000C1D4B" w:rsidP="000C1D4B">
      <w:pPr>
        <w:outlineLvl w:val="0"/>
        <w:rPr>
          <w:rFonts w:ascii="Times New Roman" w:hAnsi="Times New Roman" w:cs="Times New Roman"/>
        </w:rPr>
      </w:pPr>
    </w:p>
    <w:p w14:paraId="70E3E82A" w14:textId="77777777" w:rsidR="000C1D4B" w:rsidRPr="0035045F" w:rsidRDefault="000C1D4B" w:rsidP="000C1D4B">
      <w:pPr>
        <w:outlineLvl w:val="0"/>
        <w:rPr>
          <w:rFonts w:ascii="Times New Roman" w:hAnsi="Times New Roman" w:cs="Times New Roman"/>
        </w:rPr>
      </w:pPr>
    </w:p>
    <w:p w14:paraId="724E970E" w14:textId="77777777" w:rsidR="000C1D4B" w:rsidRPr="0035045F" w:rsidRDefault="000C1D4B" w:rsidP="000C1D4B">
      <w:pPr>
        <w:outlineLvl w:val="0"/>
        <w:rPr>
          <w:rFonts w:ascii="Times New Roman" w:hAnsi="Times New Roman" w:cs="Times New Roman"/>
        </w:rPr>
      </w:pPr>
    </w:p>
    <w:p w14:paraId="4C05E168" w14:textId="77777777" w:rsidR="000C1D4B" w:rsidRPr="0035045F" w:rsidRDefault="000C1D4B" w:rsidP="000C1D4B">
      <w:pPr>
        <w:outlineLvl w:val="0"/>
        <w:rPr>
          <w:rFonts w:ascii="Times New Roman" w:eastAsia="Times New Roman" w:hAnsi="Times New Roman" w:cs="Times New Roman"/>
          <w:b/>
          <w:sz w:val="24"/>
          <w:szCs w:val="24"/>
        </w:rPr>
      </w:pPr>
    </w:p>
    <w:p w14:paraId="18A52D39" w14:textId="77777777" w:rsidR="000C1D4B" w:rsidRDefault="000C1D4B" w:rsidP="000C1D4B">
      <w:pPr>
        <w:jc w:val="center"/>
        <w:rPr>
          <w:rFonts w:ascii="Times New Roman" w:hAnsi="Times New Roman" w:cs="Times New Roman"/>
          <w:b/>
          <w:sz w:val="24"/>
          <w:szCs w:val="24"/>
        </w:rPr>
      </w:pPr>
      <w:r w:rsidRPr="00894505">
        <w:rPr>
          <w:rFonts w:ascii="Times New Roman" w:hAnsi="Times New Roman" w:cs="Times New Roman"/>
          <w:b/>
          <w:sz w:val="24"/>
          <w:szCs w:val="24"/>
        </w:rPr>
        <w:lastRenderedPageBreak/>
        <w:t>Table of Contents</w:t>
      </w:r>
    </w:p>
    <w:p w14:paraId="010582FB" w14:textId="77777777" w:rsidR="00894505" w:rsidRPr="00894505" w:rsidRDefault="00894505" w:rsidP="000C1D4B">
      <w:pPr>
        <w:jc w:val="center"/>
        <w:rPr>
          <w:rFonts w:ascii="Times New Roman" w:hAnsi="Times New Roman" w:cs="Times New Roman"/>
          <w:b/>
          <w:sz w:val="24"/>
          <w:szCs w:val="24"/>
        </w:rPr>
      </w:pPr>
    </w:p>
    <w:p w14:paraId="13C4A067"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794A47D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4B7E777A" w14:textId="77777777" w:rsidR="00894505" w:rsidRPr="0035045F" w:rsidRDefault="00894505" w:rsidP="000C1D4B">
      <w:pPr>
        <w:jc w:val="center"/>
        <w:rPr>
          <w:rFonts w:ascii="Times New Roman" w:hAnsi="Times New Roman" w:cs="Times New Roman"/>
          <w:sz w:val="24"/>
          <w:szCs w:val="24"/>
        </w:rPr>
      </w:pPr>
    </w:p>
    <w:p w14:paraId="31B2D454"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4887076"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5CF19E47" w14:textId="77777777" w:rsidR="00894505" w:rsidRPr="0035045F" w:rsidRDefault="00894505" w:rsidP="000C1D4B">
      <w:pPr>
        <w:jc w:val="center"/>
        <w:rPr>
          <w:rFonts w:ascii="Times New Roman" w:hAnsi="Times New Roman" w:cs="Times New Roman"/>
          <w:sz w:val="24"/>
          <w:szCs w:val="24"/>
        </w:rPr>
      </w:pPr>
    </w:p>
    <w:p w14:paraId="714F1F74" w14:textId="4FA8F692"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w:t>
      </w:r>
      <w:r w:rsidR="00894505">
        <w:rPr>
          <w:rFonts w:ascii="Times New Roman" w:hAnsi="Times New Roman" w:cs="Times New Roman"/>
          <w:sz w:val="24"/>
          <w:szCs w:val="24"/>
        </w:rPr>
        <w:t>pter One</w:t>
      </w:r>
    </w:p>
    <w:p w14:paraId="03769503"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773F4EE8" w14:textId="77777777" w:rsidR="000C1D4B"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67D74400" w14:textId="77777777" w:rsidR="00894505" w:rsidRPr="0035045F" w:rsidRDefault="00894505" w:rsidP="000C1D4B">
      <w:pPr>
        <w:jc w:val="center"/>
        <w:rPr>
          <w:rFonts w:ascii="Times New Roman" w:hAnsi="Times New Roman" w:cs="Times New Roman"/>
          <w:sz w:val="24"/>
          <w:szCs w:val="24"/>
        </w:rPr>
      </w:pPr>
    </w:p>
    <w:p w14:paraId="52C30AAC" w14:textId="7172E420"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w:t>
      </w:r>
      <w:r w:rsidR="00894505">
        <w:rPr>
          <w:rFonts w:ascii="Times New Roman" w:hAnsi="Times New Roman" w:cs="Times New Roman"/>
          <w:sz w:val="24"/>
          <w:szCs w:val="24"/>
        </w:rPr>
        <w:t>ter Two</w:t>
      </w:r>
    </w:p>
    <w:p w14:paraId="1F7D5402" w14:textId="77777777" w:rsidR="000C1D4B" w:rsidRPr="0035045F" w:rsidRDefault="000C1D4B" w:rsidP="000C1D4B">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4CFB853D" w14:textId="1CF27516" w:rsidR="000C1D4B" w:rsidRDefault="000C1D4B"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1F5EBBD" w14:textId="77777777" w:rsidR="00894505" w:rsidRDefault="00894505" w:rsidP="00894505">
      <w:pPr>
        <w:jc w:val="center"/>
        <w:rPr>
          <w:rFonts w:ascii="Times New Roman" w:hAnsi="Times New Roman" w:cs="Times New Roman"/>
          <w:sz w:val="24"/>
          <w:szCs w:val="24"/>
        </w:rPr>
      </w:pPr>
    </w:p>
    <w:p w14:paraId="67F6E1E4" w14:textId="51310E69"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 xml:space="preserve">ter </w:t>
      </w:r>
      <w:r>
        <w:rPr>
          <w:rFonts w:ascii="Times New Roman" w:hAnsi="Times New Roman" w:cs="Times New Roman"/>
          <w:sz w:val="24"/>
          <w:szCs w:val="24"/>
        </w:rPr>
        <w:t>Three</w:t>
      </w:r>
    </w:p>
    <w:p w14:paraId="0544E018" w14:textId="77777777"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3E559A49" w14:textId="1C829CB8"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2CB99E33" w14:textId="77777777" w:rsidR="00894505" w:rsidRDefault="00894505" w:rsidP="00894505">
      <w:pPr>
        <w:jc w:val="center"/>
        <w:rPr>
          <w:rFonts w:ascii="Times New Roman" w:hAnsi="Times New Roman" w:cs="Times New Roman"/>
          <w:sz w:val="24"/>
          <w:szCs w:val="24"/>
        </w:rPr>
      </w:pPr>
    </w:p>
    <w:p w14:paraId="06CACE44" w14:textId="1E9D70EA"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w:t>
      </w:r>
      <w:r>
        <w:rPr>
          <w:rFonts w:ascii="Times New Roman" w:hAnsi="Times New Roman" w:cs="Times New Roman"/>
          <w:sz w:val="24"/>
          <w:szCs w:val="24"/>
        </w:rPr>
        <w:t xml:space="preserve">ter </w:t>
      </w:r>
      <w:r>
        <w:rPr>
          <w:rFonts w:ascii="Times New Roman" w:hAnsi="Times New Roman" w:cs="Times New Roman"/>
          <w:sz w:val="24"/>
          <w:szCs w:val="24"/>
        </w:rPr>
        <w:t>Four</w:t>
      </w:r>
    </w:p>
    <w:p w14:paraId="2D57C844" w14:textId="77777777" w:rsidR="00894505" w:rsidRPr="0035045F" w:rsidRDefault="00894505" w:rsidP="00894505">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1BAAB012" w14:textId="59C2FC82"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750CCABE" w14:textId="77777777" w:rsidR="00894505" w:rsidRDefault="00894505" w:rsidP="00894505">
      <w:pPr>
        <w:jc w:val="center"/>
        <w:rPr>
          <w:rFonts w:ascii="Times New Roman" w:hAnsi="Times New Roman" w:cs="Times New Roman"/>
          <w:sz w:val="24"/>
          <w:szCs w:val="24"/>
        </w:rPr>
      </w:pPr>
    </w:p>
    <w:p w14:paraId="7BB9F99F" w14:textId="54DF7E05" w:rsidR="00894505" w:rsidRPr="0035045F" w:rsidRDefault="00894505" w:rsidP="00894505">
      <w:pPr>
        <w:jc w:val="center"/>
        <w:rPr>
          <w:rFonts w:ascii="Times New Roman" w:hAnsi="Times New Roman" w:cs="Times New Roman"/>
          <w:sz w:val="24"/>
          <w:szCs w:val="24"/>
        </w:rPr>
      </w:pPr>
      <w:r>
        <w:rPr>
          <w:rFonts w:ascii="Times New Roman" w:hAnsi="Times New Roman" w:cs="Times New Roman"/>
          <w:sz w:val="24"/>
          <w:szCs w:val="24"/>
        </w:rPr>
        <w:t>Conclusion</w:t>
      </w:r>
    </w:p>
    <w:p w14:paraId="7E31746F" w14:textId="285DF3E0"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692ADEFE" w14:textId="77777777" w:rsidR="00894505" w:rsidRPr="000C1D4B" w:rsidRDefault="00894505" w:rsidP="00894505">
      <w:pPr>
        <w:jc w:val="center"/>
        <w:rPr>
          <w:rFonts w:ascii="Times New Roman" w:hAnsi="Times New Roman" w:cs="Times New Roman"/>
          <w:sz w:val="24"/>
          <w:szCs w:val="24"/>
        </w:rPr>
      </w:pPr>
    </w:p>
    <w:p w14:paraId="66B6FDC3" w14:textId="25CCB3ED"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 xml:space="preserve">Appendices </w:t>
      </w:r>
    </w:p>
    <w:p w14:paraId="153216CE" w14:textId="7F9F5D98" w:rsidR="000C1D4B" w:rsidRDefault="00894505" w:rsidP="000C1D4B">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D68376" w14:textId="77777777" w:rsidR="00894505" w:rsidRPr="000C1D4B" w:rsidRDefault="00894505" w:rsidP="000C1D4B">
      <w:pPr>
        <w:jc w:val="center"/>
        <w:rPr>
          <w:rFonts w:ascii="Times New Roman" w:hAnsi="Times New Roman" w:cs="Times New Roman"/>
          <w:sz w:val="24"/>
          <w:szCs w:val="24"/>
        </w:rPr>
      </w:pPr>
    </w:p>
    <w:p w14:paraId="3DA1A511" w14:textId="77777777" w:rsidR="000C1D4B" w:rsidRPr="000C1D4B" w:rsidRDefault="000C1D4B" w:rsidP="000C1D4B">
      <w:pPr>
        <w:jc w:val="center"/>
        <w:rPr>
          <w:rFonts w:ascii="Times New Roman" w:hAnsi="Times New Roman" w:cs="Times New Roman"/>
          <w:sz w:val="24"/>
          <w:szCs w:val="24"/>
        </w:rPr>
      </w:pPr>
      <w:r w:rsidRPr="000C1D4B">
        <w:rPr>
          <w:rFonts w:ascii="Times New Roman" w:hAnsi="Times New Roman" w:cs="Times New Roman"/>
          <w:sz w:val="24"/>
          <w:szCs w:val="24"/>
        </w:rPr>
        <w:t>Bibliography</w:t>
      </w:r>
    </w:p>
    <w:p w14:paraId="00AD8BD5" w14:textId="77777777" w:rsidR="00894505" w:rsidRDefault="00894505" w:rsidP="00894505">
      <w:pPr>
        <w:jc w:val="center"/>
        <w:rPr>
          <w:rFonts w:ascii="Times New Roman" w:hAnsi="Times New Roman" w:cs="Times New Roman"/>
          <w:sz w:val="24"/>
          <w:szCs w:val="24"/>
        </w:rPr>
      </w:pPr>
      <w:r w:rsidRPr="000C1D4B">
        <w:rPr>
          <w:rFonts w:ascii="Times New Roman" w:hAnsi="Times New Roman" w:cs="Times New Roman"/>
          <w:sz w:val="24"/>
          <w:szCs w:val="24"/>
        </w:rPr>
        <w:t>??-??</w:t>
      </w:r>
    </w:p>
    <w:p w14:paraId="1F4AD0F5" w14:textId="77777777" w:rsidR="000C1D4B" w:rsidRPr="000C1D4B" w:rsidRDefault="000C1D4B" w:rsidP="00632FE0">
      <w:pPr>
        <w:jc w:val="center"/>
        <w:outlineLvl w:val="0"/>
        <w:rPr>
          <w:rFonts w:ascii="Times New Roman" w:eastAsia="Times New Roman" w:hAnsi="Times New Roman" w:cs="Times New Roman"/>
          <w:b/>
          <w:sz w:val="24"/>
          <w:szCs w:val="24"/>
        </w:rPr>
      </w:pPr>
    </w:p>
    <w:p w14:paraId="7D465AE8"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F1A7F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3DAF1ECE" w14:textId="77777777" w:rsidR="000C1D4B" w:rsidRDefault="000C1D4B" w:rsidP="00894505">
      <w:pPr>
        <w:outlineLvl w:val="0"/>
        <w:rPr>
          <w:rFonts w:ascii="Times New Roman" w:eastAsia="Times New Roman" w:hAnsi="Times New Roman" w:cs="Times New Roman"/>
          <w:b/>
          <w:sz w:val="24"/>
          <w:szCs w:val="24"/>
        </w:rPr>
      </w:pPr>
    </w:p>
    <w:p w14:paraId="1CDA0E32" w14:textId="77777777" w:rsidR="00894505" w:rsidRPr="000C1D4B" w:rsidRDefault="00894505" w:rsidP="00894505">
      <w:pPr>
        <w:outlineLvl w:val="0"/>
        <w:rPr>
          <w:rFonts w:ascii="Times New Roman" w:eastAsia="Times New Roman" w:hAnsi="Times New Roman" w:cs="Times New Roman"/>
          <w:b/>
          <w:sz w:val="24"/>
          <w:szCs w:val="24"/>
        </w:rPr>
      </w:pPr>
    </w:p>
    <w:p w14:paraId="023D872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0D768D22"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4C9F467" w14:textId="77777777" w:rsidR="000C1D4B" w:rsidRPr="000C1D4B" w:rsidRDefault="000C1D4B" w:rsidP="00632FE0">
      <w:pPr>
        <w:jc w:val="center"/>
        <w:outlineLvl w:val="0"/>
        <w:rPr>
          <w:rFonts w:ascii="Times New Roman" w:eastAsia="Times New Roman" w:hAnsi="Times New Roman" w:cs="Times New Roman"/>
          <w:b/>
          <w:sz w:val="24"/>
          <w:szCs w:val="24"/>
        </w:rPr>
      </w:pPr>
    </w:p>
    <w:p w14:paraId="2F473093" w14:textId="265FABBE" w:rsidR="00306807" w:rsidRPr="000C1D4B" w:rsidRDefault="000C1D4B" w:rsidP="00A56EE5">
      <w:pPr>
        <w:jc w:val="center"/>
        <w:outlineLvl w:val="0"/>
        <w:rPr>
          <w:rFonts w:ascii="Times New Roman" w:eastAsia="Times New Roman" w:hAnsi="Times New Roman" w:cs="Times New Roman"/>
          <w:b/>
          <w:sz w:val="24"/>
          <w:szCs w:val="24"/>
        </w:rPr>
      </w:pPr>
      <w:r w:rsidRPr="000C1D4B">
        <w:rPr>
          <w:rFonts w:ascii="Times New Roman" w:eastAsia="Times New Roman" w:hAnsi="Times New Roman" w:cs="Times New Roman"/>
          <w:b/>
          <w:sz w:val="24"/>
          <w:szCs w:val="24"/>
        </w:rPr>
        <w:lastRenderedPageBreak/>
        <w:t>Abstract</w:t>
      </w:r>
    </w:p>
    <w:p w14:paraId="78491459" w14:textId="77777777" w:rsidR="000C1D4B" w:rsidRPr="000C1D4B" w:rsidRDefault="000C1D4B" w:rsidP="000C1D4B">
      <w:pPr>
        <w:jc w:val="center"/>
        <w:outlineLvl w:val="0"/>
        <w:rPr>
          <w:rFonts w:ascii="Times New Roman" w:eastAsia="Times New Roman" w:hAnsi="Times New Roman" w:cs="Times New Roman"/>
          <w:sz w:val="24"/>
          <w:szCs w:val="24"/>
        </w:rPr>
      </w:pPr>
    </w:p>
    <w:p w14:paraId="269E8CAD" w14:textId="77777777" w:rsidR="000C1D4B" w:rsidRPr="000C1D4B" w:rsidRDefault="000C1D4B" w:rsidP="000C1D4B">
      <w:pPr>
        <w:spacing w:line="480" w:lineRule="auto"/>
        <w:rPr>
          <w:rFonts w:ascii="Times New Roman" w:eastAsia="Times New Roman" w:hAnsi="Times New Roman" w:cs="Times New Roman"/>
          <w:color w:val="000000"/>
          <w:sz w:val="24"/>
          <w:szCs w:val="24"/>
          <w:lang w:val="en-US"/>
        </w:rPr>
      </w:pPr>
      <w:r w:rsidRPr="000C1D4B">
        <w:rPr>
          <w:rFonts w:ascii="Times New Roman" w:eastAsia="Times New Roman" w:hAnsi="Times New Roman" w:cs="Times New Roman"/>
          <w:sz w:val="24"/>
          <w:szCs w:val="24"/>
        </w:rPr>
        <w:tab/>
      </w:r>
      <w:r w:rsidRPr="000C1D4B">
        <w:rPr>
          <w:rFonts w:ascii="Times New Roman" w:eastAsia="Times New Roman" w:hAnsi="Times New Roman" w:cs="Times New Roman"/>
          <w:color w:val="000000"/>
          <w:sz w:val="24"/>
          <w:szCs w:val="24"/>
          <w:lang w:val="en-US"/>
        </w:rPr>
        <w:t>When the Albigensian Crusade ended with the signing of the Peace of Paris on 12 April 1229, the Lauragais region in what is now Southern France and the men, women, and children who lived there, had dranatically changed from what it and they were when thew war began two decades earlier. Whereas local nobles had once been tolerant, even sympathetic, towards those accused of heresy, the devastating conflict left them much more willing to combat heresy. Beginning in 1245, the Dominican inquisitors Bernart de Caux and Jean de Saint Pierre began what would become the largest inquisition ever conducted in the Middle Ages. Thousands of depositions were recorded over two hundred and one days.  The original record of this trial is lost, but two volumes with around six thousand testimonies from a copy made a decade later survives as Manuscript (MS) 609 in the Muncipal Library of Toulouse. This manuscript is one of the few records of the from thirteenth-century </w:t>
      </w:r>
      <w:r w:rsidRPr="000C1D4B">
        <w:rPr>
          <w:rFonts w:ascii="Times New Roman" w:eastAsia="Times New Roman" w:hAnsi="Times New Roman" w:cs="Times New Roman"/>
          <w:i/>
          <w:iCs/>
          <w:color w:val="000000"/>
          <w:sz w:val="24"/>
          <w:szCs w:val="24"/>
          <w:lang w:val="en-US"/>
        </w:rPr>
        <w:t>inquisitiones heretice dpravitatis</w:t>
      </w:r>
      <w:r w:rsidRPr="000C1D4B">
        <w:rPr>
          <w:rFonts w:ascii="Times New Roman" w:eastAsia="Times New Roman" w:hAnsi="Times New Roman" w:cs="Times New Roman"/>
          <w:color w:val="000000"/>
          <w:sz w:val="24"/>
          <w:szCs w:val="24"/>
          <w:lang w:val="en-US"/>
        </w:rPr>
        <w:t xml:space="preserve">.  It is an immensely important document in the history of medieval heresy and society.  It has also become a text at the center of the contentious and lively scholarly debate over the existence of Catharism, usually assumed to be the most famous heresy of the Middle Age.  If there is no Catharism, then the history of Latin Christianity and the Middle Ages will have to be rewritten.  </w:t>
      </w:r>
    </w:p>
    <w:p w14:paraId="2B878385" w14:textId="77777777" w:rsidR="000C1D4B" w:rsidRPr="000C1D4B" w:rsidRDefault="000C1D4B" w:rsidP="000C1D4B">
      <w:pPr>
        <w:spacing w:line="480" w:lineRule="auto"/>
        <w:ind w:firstLine="720"/>
        <w:rPr>
          <w:rFonts w:ascii="Times New Roman" w:eastAsia="Times New Roman" w:hAnsi="Times New Roman" w:cs="Times New Roman"/>
          <w:sz w:val="24"/>
          <w:szCs w:val="24"/>
          <w:lang w:val="en-US"/>
        </w:rPr>
      </w:pPr>
      <w:r w:rsidRPr="000C1D4B">
        <w:rPr>
          <w:rFonts w:ascii="Times New Roman" w:eastAsia="Times New Roman" w:hAnsi="Times New Roman" w:cs="Times New Roman"/>
          <w:color w:val="000000"/>
          <w:sz w:val="24"/>
          <w:szCs w:val="24"/>
          <w:lang w:val="en-US"/>
        </w:rPr>
        <w:t xml:space="preserve">Recently, the study of MS 609 has been reinvigorated with the work of Jean-Paul Rehr, who encoded and published much of MS 609 earlier this year. Rehr’s encoding of the manuscript included extensive and detailed metadata. Using Rehr’s digital encoding of MS 609, I was able to break the depositions down into their segmented parts. By extracting and analyzing the metadata included in his XML files, I was able to filter and analyze depositions based on specific attributes while still considering the manuscript as a whole.  As such, this thesis contributes to </w:t>
      </w:r>
      <w:r w:rsidRPr="000C1D4B">
        <w:rPr>
          <w:rFonts w:ascii="Times New Roman" w:eastAsia="Times New Roman" w:hAnsi="Times New Roman" w:cs="Times New Roman"/>
          <w:color w:val="000000"/>
          <w:sz w:val="24"/>
          <w:szCs w:val="24"/>
          <w:lang w:val="en-US"/>
        </w:rPr>
        <w:lastRenderedPageBreak/>
        <w:t>the debate about Catharism by arguing that there is no evidence in MS 609 of a widespread structured heresy in twelfth and early thirteenth-century Lauragais.</w:t>
      </w:r>
    </w:p>
    <w:p w14:paraId="08CD416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553268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FA94B0"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526F6E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2DA18D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3F8AB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55CBD5D5"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7D7293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6454FED7"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BC17278"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75142C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37CB12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A5EB1C"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753949E4"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31D49CED"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494F58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19D310A"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266F080E"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0C94B623" w14:textId="77777777" w:rsidR="000C1D4B" w:rsidRPr="000C1D4B" w:rsidRDefault="000C1D4B" w:rsidP="000C1D4B">
      <w:pPr>
        <w:spacing w:line="480" w:lineRule="auto"/>
        <w:outlineLvl w:val="0"/>
        <w:rPr>
          <w:rFonts w:ascii="Times New Roman" w:eastAsia="Times New Roman" w:hAnsi="Times New Roman" w:cs="Times New Roman"/>
          <w:sz w:val="24"/>
          <w:szCs w:val="24"/>
        </w:rPr>
      </w:pPr>
    </w:p>
    <w:p w14:paraId="401C2745" w14:textId="77777777" w:rsidR="000C1D4B" w:rsidRPr="000C1D4B" w:rsidRDefault="000C1D4B" w:rsidP="000C1D4B">
      <w:pPr>
        <w:outlineLvl w:val="0"/>
        <w:rPr>
          <w:rFonts w:ascii="Times New Roman" w:eastAsia="Times New Roman" w:hAnsi="Times New Roman" w:cs="Times New Roman"/>
          <w:sz w:val="24"/>
          <w:szCs w:val="24"/>
        </w:rPr>
      </w:pPr>
    </w:p>
    <w:p w14:paraId="131B51A5" w14:textId="77777777" w:rsidR="000C1D4B" w:rsidRPr="000C1D4B" w:rsidRDefault="000C1D4B" w:rsidP="000C1D4B">
      <w:pPr>
        <w:outlineLvl w:val="0"/>
        <w:rPr>
          <w:rFonts w:ascii="Times New Roman" w:eastAsia="Times New Roman" w:hAnsi="Times New Roman" w:cs="Times New Roman"/>
          <w:sz w:val="24"/>
          <w:szCs w:val="24"/>
        </w:rPr>
      </w:pPr>
    </w:p>
    <w:p w14:paraId="1A17D6AC" w14:textId="77777777" w:rsidR="000C1D4B" w:rsidRPr="000C1D4B" w:rsidRDefault="000C1D4B" w:rsidP="000C1D4B">
      <w:pPr>
        <w:outlineLvl w:val="0"/>
        <w:rPr>
          <w:rFonts w:ascii="Times New Roman" w:eastAsia="Times New Roman" w:hAnsi="Times New Roman" w:cs="Times New Roman"/>
          <w:sz w:val="24"/>
          <w:szCs w:val="24"/>
        </w:rPr>
      </w:pPr>
    </w:p>
    <w:p w14:paraId="1F935303" w14:textId="77777777" w:rsidR="000C1D4B" w:rsidRPr="000C1D4B" w:rsidRDefault="000C1D4B" w:rsidP="000C1D4B">
      <w:pPr>
        <w:outlineLvl w:val="0"/>
        <w:rPr>
          <w:rFonts w:ascii="Times New Roman" w:eastAsia="Times New Roman" w:hAnsi="Times New Roman" w:cs="Times New Roman"/>
          <w:sz w:val="24"/>
          <w:szCs w:val="24"/>
        </w:rPr>
      </w:pPr>
    </w:p>
    <w:p w14:paraId="19B4EA40" w14:textId="4C8B6753" w:rsidR="004F4606" w:rsidRPr="000C1D4B" w:rsidRDefault="000C1D4B" w:rsidP="004F4606">
      <w:pPr>
        <w:jc w:val="center"/>
        <w:rPr>
          <w:rFonts w:ascii="Times New Roman" w:hAnsi="Times New Roman" w:cs="Times New Roman"/>
          <w:b/>
          <w:sz w:val="24"/>
          <w:szCs w:val="24"/>
        </w:rPr>
      </w:pPr>
      <w:r w:rsidRPr="000C1D4B">
        <w:rPr>
          <w:rFonts w:ascii="Times New Roman" w:hAnsi="Times New Roman" w:cs="Times New Roman"/>
          <w:b/>
          <w:sz w:val="24"/>
          <w:szCs w:val="24"/>
        </w:rPr>
        <w:lastRenderedPageBreak/>
        <w:t>Acknowledgements</w:t>
      </w:r>
    </w:p>
    <w:p w14:paraId="60916D8D" w14:textId="77777777" w:rsidR="000C1D4B" w:rsidRPr="000C1D4B" w:rsidRDefault="000C1D4B" w:rsidP="000C1D4B">
      <w:pPr>
        <w:jc w:val="center"/>
        <w:rPr>
          <w:rFonts w:ascii="Times New Roman" w:hAnsi="Times New Roman" w:cs="Times New Roman"/>
          <w:sz w:val="24"/>
          <w:szCs w:val="24"/>
        </w:rPr>
      </w:pPr>
    </w:p>
    <w:p w14:paraId="46249CC1" w14:textId="1F43A4DA" w:rsidR="000C1D4B" w:rsidRDefault="000C1D4B" w:rsidP="000C1D4B">
      <w:pPr>
        <w:rPr>
          <w:rFonts w:ascii="Times New Roman" w:hAnsi="Times New Roman" w:cs="Times New Roman"/>
          <w:sz w:val="24"/>
          <w:szCs w:val="24"/>
        </w:rPr>
      </w:pPr>
      <w:r w:rsidRPr="000C1D4B">
        <w:rPr>
          <w:rFonts w:ascii="Times New Roman" w:hAnsi="Times New Roman" w:cs="Times New Roman"/>
          <w:sz w:val="24"/>
          <w:szCs w:val="24"/>
        </w:rPr>
        <w:tab/>
        <w:t>I would like to thank Professor Kastor, Stephen Pentecost, Douglas Knox, and above all Professor Pegg. I greatly appreciate all of the guidance and support. This paper is dedicated to my parents, my sister, and</w:t>
      </w:r>
      <w:r w:rsidR="00306807">
        <w:rPr>
          <w:rFonts w:ascii="Times New Roman" w:hAnsi="Times New Roman" w:cs="Times New Roman"/>
          <w:sz w:val="24"/>
          <w:szCs w:val="24"/>
        </w:rPr>
        <w:t xml:space="preserve"> finally</w:t>
      </w:r>
      <w:r w:rsidRPr="000C1D4B">
        <w:rPr>
          <w:rFonts w:ascii="Times New Roman" w:hAnsi="Times New Roman" w:cs="Times New Roman"/>
          <w:sz w:val="24"/>
          <w:szCs w:val="24"/>
        </w:rPr>
        <w:t xml:space="preserve"> Professor Garb.</w:t>
      </w:r>
    </w:p>
    <w:p w14:paraId="059E6C7D" w14:textId="77777777" w:rsidR="000C1D4B" w:rsidRDefault="000C1D4B" w:rsidP="000C1D4B">
      <w:pPr>
        <w:rPr>
          <w:rFonts w:ascii="Times New Roman" w:hAnsi="Times New Roman" w:cs="Times New Roman"/>
          <w:sz w:val="24"/>
          <w:szCs w:val="24"/>
        </w:rPr>
      </w:pPr>
    </w:p>
    <w:p w14:paraId="29B498C1" w14:textId="77777777" w:rsidR="000C1D4B" w:rsidRDefault="000C1D4B" w:rsidP="000C1D4B">
      <w:pPr>
        <w:rPr>
          <w:rFonts w:ascii="Times New Roman" w:hAnsi="Times New Roman" w:cs="Times New Roman"/>
          <w:sz w:val="24"/>
          <w:szCs w:val="24"/>
        </w:rPr>
      </w:pPr>
    </w:p>
    <w:p w14:paraId="1054F770" w14:textId="77777777" w:rsidR="000C1D4B" w:rsidRDefault="000C1D4B" w:rsidP="000C1D4B">
      <w:pPr>
        <w:rPr>
          <w:rFonts w:ascii="Times New Roman" w:hAnsi="Times New Roman" w:cs="Times New Roman"/>
          <w:sz w:val="24"/>
          <w:szCs w:val="24"/>
        </w:rPr>
      </w:pPr>
    </w:p>
    <w:p w14:paraId="26A53691" w14:textId="77777777" w:rsidR="000C1D4B" w:rsidRDefault="000C1D4B" w:rsidP="000C1D4B">
      <w:pPr>
        <w:rPr>
          <w:rFonts w:ascii="Times New Roman" w:hAnsi="Times New Roman" w:cs="Times New Roman"/>
          <w:sz w:val="24"/>
          <w:szCs w:val="24"/>
        </w:rPr>
      </w:pPr>
    </w:p>
    <w:p w14:paraId="2B2B18F7" w14:textId="77777777" w:rsidR="000C1D4B" w:rsidRDefault="000C1D4B" w:rsidP="000C1D4B">
      <w:pPr>
        <w:rPr>
          <w:rFonts w:ascii="Times New Roman" w:hAnsi="Times New Roman" w:cs="Times New Roman"/>
          <w:sz w:val="24"/>
          <w:szCs w:val="24"/>
        </w:rPr>
      </w:pPr>
    </w:p>
    <w:p w14:paraId="2F698FBA" w14:textId="77777777" w:rsidR="000C1D4B" w:rsidRDefault="000C1D4B" w:rsidP="000C1D4B">
      <w:pPr>
        <w:rPr>
          <w:rFonts w:ascii="Times New Roman" w:hAnsi="Times New Roman" w:cs="Times New Roman"/>
          <w:sz w:val="24"/>
          <w:szCs w:val="24"/>
        </w:rPr>
      </w:pPr>
    </w:p>
    <w:p w14:paraId="7FBB9DCB" w14:textId="77777777" w:rsidR="000C1D4B" w:rsidRDefault="000C1D4B" w:rsidP="000C1D4B">
      <w:pPr>
        <w:rPr>
          <w:rFonts w:ascii="Times New Roman" w:hAnsi="Times New Roman" w:cs="Times New Roman"/>
          <w:sz w:val="24"/>
          <w:szCs w:val="24"/>
        </w:rPr>
      </w:pPr>
    </w:p>
    <w:p w14:paraId="5BA18309" w14:textId="77777777" w:rsidR="000C1D4B" w:rsidRDefault="000C1D4B" w:rsidP="000C1D4B">
      <w:pPr>
        <w:rPr>
          <w:rFonts w:ascii="Times New Roman" w:hAnsi="Times New Roman" w:cs="Times New Roman"/>
          <w:sz w:val="24"/>
          <w:szCs w:val="24"/>
        </w:rPr>
      </w:pPr>
    </w:p>
    <w:p w14:paraId="5E2CC7B6" w14:textId="77777777" w:rsidR="000C1D4B" w:rsidRDefault="000C1D4B" w:rsidP="000C1D4B">
      <w:pPr>
        <w:rPr>
          <w:rFonts w:ascii="Times New Roman" w:hAnsi="Times New Roman" w:cs="Times New Roman"/>
          <w:sz w:val="24"/>
          <w:szCs w:val="24"/>
        </w:rPr>
      </w:pPr>
    </w:p>
    <w:p w14:paraId="76F669FB" w14:textId="77777777" w:rsidR="000C1D4B" w:rsidRDefault="000C1D4B" w:rsidP="000C1D4B">
      <w:pPr>
        <w:rPr>
          <w:rFonts w:ascii="Times New Roman" w:hAnsi="Times New Roman" w:cs="Times New Roman"/>
          <w:sz w:val="24"/>
          <w:szCs w:val="24"/>
        </w:rPr>
      </w:pPr>
    </w:p>
    <w:p w14:paraId="664CAC5B" w14:textId="77777777" w:rsidR="000C1D4B" w:rsidRDefault="000C1D4B" w:rsidP="000C1D4B">
      <w:pPr>
        <w:rPr>
          <w:rFonts w:ascii="Times New Roman" w:hAnsi="Times New Roman" w:cs="Times New Roman"/>
          <w:sz w:val="24"/>
          <w:szCs w:val="24"/>
        </w:rPr>
      </w:pPr>
    </w:p>
    <w:p w14:paraId="267D07BC" w14:textId="77777777" w:rsidR="000C1D4B" w:rsidRDefault="000C1D4B" w:rsidP="000C1D4B">
      <w:pPr>
        <w:rPr>
          <w:rFonts w:ascii="Times New Roman" w:hAnsi="Times New Roman" w:cs="Times New Roman"/>
          <w:sz w:val="24"/>
          <w:szCs w:val="24"/>
        </w:rPr>
      </w:pPr>
    </w:p>
    <w:p w14:paraId="259E879F" w14:textId="77777777" w:rsidR="000C1D4B" w:rsidRDefault="000C1D4B" w:rsidP="000C1D4B">
      <w:pPr>
        <w:rPr>
          <w:rFonts w:ascii="Times New Roman" w:hAnsi="Times New Roman" w:cs="Times New Roman"/>
          <w:sz w:val="24"/>
          <w:szCs w:val="24"/>
        </w:rPr>
      </w:pPr>
    </w:p>
    <w:p w14:paraId="4DC5ADD0" w14:textId="77777777" w:rsidR="000C1D4B" w:rsidRDefault="000C1D4B" w:rsidP="000C1D4B">
      <w:pPr>
        <w:rPr>
          <w:rFonts w:ascii="Times New Roman" w:hAnsi="Times New Roman" w:cs="Times New Roman"/>
          <w:sz w:val="24"/>
          <w:szCs w:val="24"/>
        </w:rPr>
      </w:pPr>
    </w:p>
    <w:p w14:paraId="33A9D03E" w14:textId="77777777" w:rsidR="000C1D4B" w:rsidRDefault="000C1D4B" w:rsidP="000C1D4B">
      <w:pPr>
        <w:rPr>
          <w:rFonts w:ascii="Times New Roman" w:hAnsi="Times New Roman" w:cs="Times New Roman"/>
          <w:sz w:val="24"/>
          <w:szCs w:val="24"/>
        </w:rPr>
      </w:pPr>
    </w:p>
    <w:p w14:paraId="14A69F89" w14:textId="77777777" w:rsidR="000C1D4B" w:rsidRDefault="000C1D4B" w:rsidP="000C1D4B">
      <w:pPr>
        <w:rPr>
          <w:rFonts w:ascii="Times New Roman" w:hAnsi="Times New Roman" w:cs="Times New Roman"/>
          <w:sz w:val="24"/>
          <w:szCs w:val="24"/>
        </w:rPr>
      </w:pPr>
    </w:p>
    <w:p w14:paraId="57430969" w14:textId="77777777" w:rsidR="000C1D4B" w:rsidRDefault="000C1D4B" w:rsidP="000C1D4B">
      <w:pPr>
        <w:rPr>
          <w:rFonts w:ascii="Times New Roman" w:hAnsi="Times New Roman" w:cs="Times New Roman"/>
          <w:sz w:val="24"/>
          <w:szCs w:val="24"/>
        </w:rPr>
      </w:pPr>
    </w:p>
    <w:p w14:paraId="41CCD54A" w14:textId="77777777" w:rsidR="000C1D4B" w:rsidRDefault="000C1D4B" w:rsidP="000C1D4B">
      <w:pPr>
        <w:rPr>
          <w:rFonts w:ascii="Times New Roman" w:hAnsi="Times New Roman" w:cs="Times New Roman"/>
          <w:sz w:val="24"/>
          <w:szCs w:val="24"/>
        </w:rPr>
      </w:pPr>
    </w:p>
    <w:p w14:paraId="6A1F510C" w14:textId="77777777" w:rsidR="000C1D4B" w:rsidRDefault="000C1D4B" w:rsidP="000C1D4B">
      <w:pPr>
        <w:rPr>
          <w:rFonts w:ascii="Times New Roman" w:hAnsi="Times New Roman" w:cs="Times New Roman"/>
          <w:sz w:val="24"/>
          <w:szCs w:val="24"/>
        </w:rPr>
      </w:pPr>
    </w:p>
    <w:p w14:paraId="4E75190B" w14:textId="77777777" w:rsidR="000C1D4B" w:rsidRDefault="000C1D4B" w:rsidP="000C1D4B">
      <w:pPr>
        <w:rPr>
          <w:rFonts w:ascii="Times New Roman" w:hAnsi="Times New Roman" w:cs="Times New Roman"/>
          <w:sz w:val="24"/>
          <w:szCs w:val="24"/>
        </w:rPr>
      </w:pPr>
    </w:p>
    <w:p w14:paraId="7D4E931C" w14:textId="77777777" w:rsidR="000C1D4B" w:rsidRDefault="000C1D4B" w:rsidP="000C1D4B">
      <w:pPr>
        <w:rPr>
          <w:rFonts w:ascii="Times New Roman" w:hAnsi="Times New Roman" w:cs="Times New Roman"/>
          <w:sz w:val="24"/>
          <w:szCs w:val="24"/>
        </w:rPr>
      </w:pPr>
    </w:p>
    <w:p w14:paraId="4A6E8A63" w14:textId="77777777" w:rsidR="000C1D4B" w:rsidRDefault="000C1D4B" w:rsidP="000C1D4B">
      <w:pPr>
        <w:rPr>
          <w:rFonts w:ascii="Times New Roman" w:hAnsi="Times New Roman" w:cs="Times New Roman"/>
          <w:sz w:val="24"/>
          <w:szCs w:val="24"/>
        </w:rPr>
      </w:pPr>
    </w:p>
    <w:p w14:paraId="0DBFE37E" w14:textId="77777777" w:rsidR="000C1D4B" w:rsidRDefault="000C1D4B" w:rsidP="000C1D4B">
      <w:pPr>
        <w:rPr>
          <w:rFonts w:ascii="Times New Roman" w:hAnsi="Times New Roman" w:cs="Times New Roman"/>
          <w:sz w:val="24"/>
          <w:szCs w:val="24"/>
        </w:rPr>
      </w:pPr>
    </w:p>
    <w:p w14:paraId="1586FEFD" w14:textId="77777777" w:rsidR="000C1D4B" w:rsidRDefault="000C1D4B" w:rsidP="000C1D4B">
      <w:pPr>
        <w:rPr>
          <w:rFonts w:ascii="Times New Roman" w:hAnsi="Times New Roman" w:cs="Times New Roman"/>
          <w:sz w:val="24"/>
          <w:szCs w:val="24"/>
        </w:rPr>
      </w:pPr>
    </w:p>
    <w:p w14:paraId="76F0FBCF" w14:textId="77777777" w:rsidR="000C1D4B" w:rsidRDefault="000C1D4B" w:rsidP="000C1D4B">
      <w:pPr>
        <w:rPr>
          <w:rFonts w:ascii="Times New Roman" w:hAnsi="Times New Roman" w:cs="Times New Roman"/>
          <w:sz w:val="24"/>
          <w:szCs w:val="24"/>
        </w:rPr>
      </w:pPr>
    </w:p>
    <w:p w14:paraId="15F9347B" w14:textId="77777777" w:rsidR="000C1D4B" w:rsidRDefault="000C1D4B" w:rsidP="000C1D4B">
      <w:pPr>
        <w:rPr>
          <w:rFonts w:ascii="Times New Roman" w:hAnsi="Times New Roman" w:cs="Times New Roman"/>
          <w:sz w:val="24"/>
          <w:szCs w:val="24"/>
        </w:rPr>
      </w:pPr>
    </w:p>
    <w:p w14:paraId="145F04F7" w14:textId="77777777" w:rsidR="000C1D4B" w:rsidRDefault="000C1D4B" w:rsidP="000C1D4B">
      <w:pPr>
        <w:rPr>
          <w:rFonts w:ascii="Times New Roman" w:hAnsi="Times New Roman" w:cs="Times New Roman"/>
          <w:sz w:val="24"/>
          <w:szCs w:val="24"/>
        </w:rPr>
      </w:pPr>
    </w:p>
    <w:p w14:paraId="1C4E26A3" w14:textId="77777777" w:rsidR="000C1D4B" w:rsidRDefault="000C1D4B" w:rsidP="000C1D4B">
      <w:pPr>
        <w:rPr>
          <w:rFonts w:ascii="Times New Roman" w:hAnsi="Times New Roman" w:cs="Times New Roman"/>
          <w:sz w:val="24"/>
          <w:szCs w:val="24"/>
        </w:rPr>
      </w:pPr>
    </w:p>
    <w:p w14:paraId="7D2D09D0" w14:textId="77777777" w:rsidR="000C1D4B" w:rsidRDefault="000C1D4B" w:rsidP="000C1D4B">
      <w:pPr>
        <w:rPr>
          <w:rFonts w:ascii="Times New Roman" w:hAnsi="Times New Roman" w:cs="Times New Roman"/>
          <w:sz w:val="24"/>
          <w:szCs w:val="24"/>
        </w:rPr>
      </w:pPr>
    </w:p>
    <w:p w14:paraId="43DE5F28" w14:textId="77777777" w:rsidR="000C1D4B" w:rsidRDefault="000C1D4B" w:rsidP="000C1D4B">
      <w:pPr>
        <w:rPr>
          <w:rFonts w:ascii="Times New Roman" w:hAnsi="Times New Roman" w:cs="Times New Roman"/>
          <w:sz w:val="24"/>
          <w:szCs w:val="24"/>
        </w:rPr>
      </w:pPr>
    </w:p>
    <w:p w14:paraId="44F55F44" w14:textId="77777777" w:rsidR="000C1D4B" w:rsidRDefault="000C1D4B" w:rsidP="000C1D4B">
      <w:pPr>
        <w:rPr>
          <w:rFonts w:ascii="Times New Roman" w:hAnsi="Times New Roman" w:cs="Times New Roman"/>
          <w:sz w:val="24"/>
          <w:szCs w:val="24"/>
        </w:rPr>
      </w:pPr>
    </w:p>
    <w:p w14:paraId="14549676" w14:textId="77777777" w:rsidR="000C1D4B" w:rsidRDefault="000C1D4B" w:rsidP="000C1D4B">
      <w:pPr>
        <w:rPr>
          <w:rFonts w:ascii="Times New Roman" w:hAnsi="Times New Roman" w:cs="Times New Roman"/>
          <w:sz w:val="24"/>
          <w:szCs w:val="24"/>
        </w:rPr>
      </w:pPr>
    </w:p>
    <w:p w14:paraId="0C1CEFC8" w14:textId="77777777" w:rsidR="000C1D4B" w:rsidRDefault="000C1D4B" w:rsidP="000C1D4B">
      <w:pPr>
        <w:rPr>
          <w:rFonts w:ascii="Times New Roman" w:hAnsi="Times New Roman" w:cs="Times New Roman"/>
          <w:sz w:val="24"/>
          <w:szCs w:val="24"/>
        </w:rPr>
      </w:pPr>
    </w:p>
    <w:p w14:paraId="4D278700" w14:textId="77777777" w:rsidR="000C1D4B" w:rsidRPr="000C1D4B" w:rsidRDefault="000C1D4B" w:rsidP="000C1D4B">
      <w:pPr>
        <w:rPr>
          <w:rFonts w:ascii="Times New Roman" w:hAnsi="Times New Roman" w:cs="Times New Roman"/>
          <w:sz w:val="24"/>
          <w:szCs w:val="24"/>
        </w:rPr>
      </w:pPr>
    </w:p>
    <w:p w14:paraId="72B1ECCE" w14:textId="77777777" w:rsidR="000C1D4B" w:rsidRDefault="000C1D4B" w:rsidP="00632FE0">
      <w:pPr>
        <w:jc w:val="center"/>
        <w:outlineLvl w:val="0"/>
        <w:rPr>
          <w:rFonts w:ascii="Times New Roman" w:eastAsia="Times New Roman" w:hAnsi="Times New Roman" w:cs="Times New Roman"/>
          <w:b/>
          <w:sz w:val="24"/>
          <w:szCs w:val="24"/>
        </w:rPr>
      </w:pPr>
    </w:p>
    <w:p w14:paraId="453D537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Historical Background</w:t>
      </w:r>
    </w:p>
    <w:p w14:paraId="5CB821BF" w14:textId="77777777" w:rsidR="00632FE0" w:rsidRPr="0035045F" w:rsidRDefault="00632FE0" w:rsidP="004F4606">
      <w:pPr>
        <w:spacing w:line="480" w:lineRule="auto"/>
        <w:jc w:val="center"/>
        <w:rPr>
          <w:rFonts w:ascii="Times New Roman" w:eastAsia="Times New Roman" w:hAnsi="Times New Roman" w:cs="Times New Roman"/>
          <w:sz w:val="24"/>
          <w:szCs w:val="24"/>
          <w:highlight w:val="yellow"/>
        </w:rPr>
      </w:pPr>
    </w:p>
    <w:p w14:paraId="1EF37F98" w14:textId="3F687AA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Pr="001A625F">
        <w:rPr>
          <w:rFonts w:ascii="Times New Roman" w:eastAsia="Times New Roman" w:hAnsi="Times New Roman" w:cs="Times New Roman"/>
          <w:sz w:val="24"/>
          <w:szCs w:val="24"/>
        </w:rPr>
        <w:t>Jean [or</w:t>
      </w:r>
      <w:r w:rsidR="008361DE" w:rsidRPr="001A625F">
        <w:rPr>
          <w:rFonts w:ascii="Times New Roman" w:eastAsia="Times New Roman" w:hAnsi="Times New Roman" w:cs="Times New Roman"/>
          <w:sz w:val="24"/>
          <w:szCs w:val="24"/>
        </w:rPr>
        <w:t xml:space="preserve"> Jo[h]an]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heard, or interacted with heretics.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8"/>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9"/>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north, </w:t>
      </w:r>
      <w:r w:rsidRPr="0035045F">
        <w:rPr>
          <w:rFonts w:ascii="Times New Roman" w:eastAsia="Times New Roman" w:hAnsi="Times New Roman" w:cs="Times New Roman"/>
          <w:sz w:val="24"/>
          <w:szCs w:val="24"/>
        </w:rPr>
        <w:lastRenderedPageBreak/>
        <w:t xml:space="preserve">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0"/>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599947B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5"/>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7"/>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8"/>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9"/>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t>
      </w:r>
      <w:r w:rsidRPr="0035045F">
        <w:rPr>
          <w:rFonts w:ascii="Times New Roman" w:eastAsia="Times New Roman" w:hAnsi="Times New Roman" w:cs="Times New Roman"/>
          <w:sz w:val="24"/>
          <w:szCs w:val="24"/>
        </w:rPr>
        <w:lastRenderedPageBreak/>
        <w:t>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3"/>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4"/>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6CBABE40" w14:textId="77777777" w:rsidR="00CD1657" w:rsidRDefault="00CD1657" w:rsidP="00CD1657">
      <w:pPr>
        <w:spacing w:line="480" w:lineRule="auto"/>
        <w:ind w:firstLine="720"/>
        <w:rPr>
          <w:rFonts w:ascii="Times New Roman" w:eastAsia="Times New Roman" w:hAnsi="Times New Roman" w:cs="Times New Roman"/>
          <w:sz w:val="24"/>
          <w:szCs w:val="24"/>
          <w:highlight w:val="yellow"/>
        </w:rPr>
      </w:pPr>
    </w:p>
    <w:p w14:paraId="53218493" w14:textId="77777777" w:rsidR="00CD1657" w:rsidRPr="0035045F" w:rsidRDefault="00CD1657" w:rsidP="00CD1657">
      <w:pPr>
        <w:spacing w:line="480" w:lineRule="auto"/>
        <w:ind w:firstLine="720"/>
        <w:rPr>
          <w:rFonts w:ascii="Times New Roman" w:eastAsia="Times New Roman" w:hAnsi="Times New Roman" w:cs="Times New Roman"/>
          <w:sz w:val="24"/>
          <w:szCs w:val="24"/>
          <w:highlight w:val="yellow"/>
        </w:rPr>
      </w:pP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21A299D8" w14:textId="75F4C3DD" w:rsidR="004F4606" w:rsidRDefault="00632FE0" w:rsidP="004F4606">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p>
    <w:p w14:paraId="4A0AF1AA" w14:textId="77777777" w:rsidR="004F4606" w:rsidRPr="00CD1657" w:rsidRDefault="004F4606" w:rsidP="004F4606">
      <w:pPr>
        <w:jc w:val="center"/>
        <w:outlineLvl w:val="0"/>
        <w:rPr>
          <w:rFonts w:ascii="Times New Roman" w:eastAsia="Times New Roman" w:hAnsi="Times New Roman" w:cs="Times New Roman"/>
          <w:b/>
          <w:sz w:val="24"/>
          <w:szCs w:val="24"/>
        </w:rPr>
      </w:pPr>
    </w:p>
    <w:p w14:paraId="1B262C21" w14:textId="3AA492F9" w:rsidR="00632FE0" w:rsidRPr="0035045F" w:rsidRDefault="00632FE0" w:rsidP="004F4606">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6"/>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9"/>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4"/>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5"/>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7"/>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8"/>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3"/>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5"/>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6"/>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8"/>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0"/>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inquisition of 1</w:t>
      </w:r>
      <w:r w:rsidR="009D20C1" w:rsidRPr="000B5D1C">
        <w:rPr>
          <w:rFonts w:ascii="Times New Roman" w:eastAsia="Times New Roman" w:hAnsi="Times New Roman" w:cs="Times New Roman"/>
          <w:sz w:val="24"/>
          <w:szCs w:val="24"/>
        </w:rPr>
        <w:t xml:space="preserve">245-1246 </w:t>
      </w:r>
      <w:r w:rsidRPr="000B5D1C">
        <w:rPr>
          <w:rFonts w:ascii="Times New Roman" w:eastAsia="Times New Roman" w:hAnsi="Times New Roman" w:cs="Times New Roman"/>
          <w:sz w:val="24"/>
          <w:szCs w:val="24"/>
        </w:rPr>
        <w:t xml:space="preserve">difficult. </w:t>
      </w:r>
      <w:r w:rsidR="001F688C" w:rsidRPr="000B5D1C">
        <w:rPr>
          <w:rFonts w:ascii="Times New Roman" w:eastAsia="Times New Roman" w:hAnsi="Times New Roman" w:cs="Times New Roman"/>
          <w:sz w:val="24"/>
          <w:szCs w:val="24"/>
          <w:highlight w:val="yellow"/>
        </w:rPr>
        <w:t>Trying to draw meaningful conclusions from MS</w:t>
      </w:r>
      <w:r w:rsidR="00680DBC" w:rsidRPr="000B5D1C">
        <w:rPr>
          <w:rFonts w:ascii="Times New Roman" w:eastAsia="Times New Roman" w:hAnsi="Times New Roman" w:cs="Times New Roman"/>
          <w:sz w:val="24"/>
          <w:szCs w:val="24"/>
          <w:highlight w:val="yellow"/>
        </w:rPr>
        <w:t xml:space="preserve"> 609</w:t>
      </w:r>
      <w:r w:rsidRPr="000B5D1C">
        <w:rPr>
          <w:rFonts w:ascii="Times New Roman" w:eastAsia="Times New Roman" w:hAnsi="Times New Roman" w:cs="Times New Roman"/>
          <w:sz w:val="24"/>
          <w:szCs w:val="24"/>
          <w:highlight w:val="yellow"/>
        </w:rPr>
        <w:t xml:space="preserve"> inevitably begs the question “</w:t>
      </w:r>
      <w:r w:rsidR="000B5D1C" w:rsidRPr="000B5D1C">
        <w:rPr>
          <w:rFonts w:ascii="Times New Roman" w:eastAsia="Times New Roman" w:hAnsi="Times New Roman" w:cs="Times New Roman"/>
          <w:sz w:val="24"/>
          <w:szCs w:val="24"/>
          <w:highlight w:val="yellow"/>
        </w:rPr>
        <w:t>how reliable can conclusions drawn from incomplete sources be?”</w:t>
      </w:r>
      <w:r w:rsidRPr="000B5D1C">
        <w:rPr>
          <w:rFonts w:ascii="Times New Roman" w:eastAsia="Times New Roman" w:hAnsi="Times New Roman" w:cs="Times New Roman"/>
          <w:sz w:val="24"/>
          <w:szCs w:val="24"/>
          <w:highlight w:val="yellow"/>
        </w:rPr>
        <w:t xml:space="preserve"> </w:t>
      </w:r>
      <w:r w:rsidR="000B5D1C" w:rsidRPr="000B5D1C">
        <w:rPr>
          <w:rFonts w:ascii="Times New Roman" w:eastAsia="Times New Roman" w:hAnsi="Times New Roman" w:cs="Times New Roman"/>
          <w:sz w:val="24"/>
          <w:szCs w:val="24"/>
          <w:highlight w:val="yellow"/>
        </w:rPr>
        <w:t>U</w:t>
      </w:r>
      <w:r w:rsidRPr="000B5D1C">
        <w:rPr>
          <w:rFonts w:ascii="Times New Roman" w:eastAsia="Times New Roman" w:hAnsi="Times New Roman" w:cs="Times New Roman"/>
          <w:sz w:val="24"/>
          <w:szCs w:val="24"/>
          <w:highlight w:val="yellow"/>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52"/>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15F0A60" w14:textId="20E5F4AE" w:rsidR="001765C4" w:rsidRDefault="00632FE0" w:rsidP="004F4606">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30E87C99" w14:textId="77777777" w:rsidR="004F4606" w:rsidRPr="0035045F" w:rsidRDefault="004F4606" w:rsidP="004F4606">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ED922C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62"/>
      </w:r>
      <w:r w:rsidRPr="000B5D1C">
        <w:rPr>
          <w:rFonts w:ascii="Times New Roman" w:eastAsia="Times New Roman" w:hAnsi="Times New Roman" w:cs="Times New Roman"/>
          <w:sz w:val="24"/>
          <w:szCs w:val="24"/>
        </w:rPr>
        <w:t xml:space="preserve"> </w:t>
      </w:r>
    </w:p>
    <w:p w14:paraId="50DCA8BE" w14:textId="6221F88E"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century.</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Pegg has claimed that not only is Catharism a fabrication by nineteenth century scholarship, but the notion of a heresy of ‘good men’ and ‘good women’ in Languedoc was a fabrication by thirteenth century Latin intellectuals. </w:t>
      </w:r>
      <w:r w:rsidRPr="009D7090">
        <w:rPr>
          <w:rFonts w:ascii="Times New Roman" w:eastAsia="Times New Roman" w:hAnsi="Times New Roman" w:cs="Times New Roman"/>
          <w:sz w:val="24"/>
          <w:szCs w:val="24"/>
        </w:rPr>
        <w:t>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8"/>
      </w:r>
      <w:r w:rsidRPr="009D7090">
        <w:rPr>
          <w:rFonts w:ascii="Times New Roman" w:eastAsia="Times New Roman" w:hAnsi="Times New Roman" w:cs="Times New Roman"/>
          <w:sz w:val="24"/>
          <w:szCs w:val="24"/>
        </w:rPr>
        <w:t xml:space="preserve"> Pegg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9D7090">
        <w:rPr>
          <w:rFonts w:ascii="Times New Roman" w:eastAsia="Times New Roman" w:hAnsi="Times New Roman" w:cs="Times New Roman"/>
          <w:sz w:val="24"/>
          <w:szCs w:val="24"/>
        </w:rPr>
        <w:lastRenderedPageBreak/>
        <w:t>people to bend down.</w:t>
      </w:r>
      <w:r w:rsidR="00477CD7" w:rsidRPr="009D7090">
        <w:rPr>
          <w:rStyle w:val="FootnoteReference"/>
          <w:rFonts w:ascii="Times New Roman" w:eastAsia="Times New Roman" w:hAnsi="Times New Roman" w:cs="Times New Roman"/>
          <w:sz w:val="24"/>
          <w:szCs w:val="24"/>
        </w:rPr>
        <w:footnoteReference w:id="69"/>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70"/>
      </w:r>
      <w:r w:rsidRPr="009D7090">
        <w:rPr>
          <w:rFonts w:ascii="Times New Roman" w:eastAsia="Times New Roman" w:hAnsi="Times New Roman" w:cs="Times New Roman"/>
          <w:sz w:val="24"/>
          <w:szCs w:val="24"/>
        </w:rPr>
        <w:t xml:space="preserve"> </w:t>
      </w:r>
    </w:p>
    <w:p w14:paraId="683F3980" w14:textId="0507DD1D"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Another common critique of Pegg’s </w:t>
      </w:r>
      <w:r w:rsidRPr="00763B31">
        <w:rPr>
          <w:rFonts w:ascii="Times New Roman" w:eastAsiaTheme="minorHAnsi" w:hAnsi="Times New Roman" w:cs="Times New Roman"/>
          <w:color w:val="000000"/>
          <w:sz w:val="24"/>
          <w:szCs w:val="24"/>
          <w:lang w:val="en-US"/>
        </w:rPr>
        <w:lastRenderedPageBreak/>
        <w:t>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5"/>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6"/>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7"/>
      </w:r>
      <w:r w:rsidRPr="00763B31">
        <w:rPr>
          <w:rFonts w:ascii="Times New Roman" w:eastAsiaTheme="minorHAnsi" w:hAnsi="Times New Roman" w:cs="Times New Roman"/>
          <w:color w:val="000000"/>
          <w:sz w:val="24"/>
          <w:szCs w:val="24"/>
          <w:lang w:val="en-US"/>
        </w:rPr>
        <w:t xml:space="preserve"> </w:t>
      </w:r>
      <w:r w:rsidRPr="00763B31">
        <w:rPr>
          <w:rFonts w:ascii="Times New Roman" w:eastAsiaTheme="minorHAnsi" w:hAnsi="Times New Roman" w:cs="Times New Roman"/>
          <w:color w:val="000000"/>
          <w:sz w:val="24"/>
          <w:szCs w:val="24"/>
          <w:highlight w:val="red"/>
          <w:lang w:val="en-US"/>
        </w:rPr>
        <w:t>EXPLIN WHY PRE-1200S (willingly ignore other documents)</w:t>
      </w:r>
      <w:r w:rsidRPr="00763B31">
        <w:rPr>
          <w:rFonts w:ascii="Times New Roman" w:eastAsiaTheme="minorHAnsi" w:hAnsi="Times New Roman" w:cs="Times New Roman"/>
          <w:color w:val="000000"/>
          <w:sz w:val="24"/>
          <w:szCs w:val="24"/>
          <w:lang w:val="en-US"/>
        </w:rPr>
        <w:t xml:space="preserve"> Arnold posits that Pegg is trying to make a cons</w:t>
      </w:r>
      <w:r>
        <w:rPr>
          <w:rFonts w:ascii="Times New Roman" w:eastAsiaTheme="minorHAnsi" w:hAnsi="Times New Roman" w:cs="Times New Roman"/>
          <w:color w:val="000000"/>
          <w:sz w:val="24"/>
          <w:szCs w:val="24"/>
          <w:lang w:val="en-US"/>
        </w:rPr>
        <w:t>tellation with only one star.</w:t>
      </w:r>
      <w:r>
        <w:rPr>
          <w:rStyle w:val="FootnoteReference"/>
          <w:rFonts w:ascii="Times New Roman" w:eastAsiaTheme="minorHAnsi" w:hAnsi="Times New Roman" w:cs="Times New Roman"/>
          <w:color w:val="000000"/>
          <w:sz w:val="24"/>
          <w:szCs w:val="24"/>
          <w:lang w:val="en-US"/>
        </w:rPr>
        <w:footnoteReference w:id="78"/>
      </w:r>
      <w:r w:rsidRPr="00763B31">
        <w:rPr>
          <w:rFonts w:ascii="Times New Roman" w:eastAsiaTheme="minorHAnsi" w:hAnsi="Times New Roman" w:cs="Times New Roman"/>
          <w:color w:val="000000"/>
          <w:sz w:val="24"/>
          <w:szCs w:val="24"/>
          <w:lang w:val="en-US"/>
        </w:rPr>
        <w:t xml:space="preserve"> By focusing on one document, Biller and Arnold believe that Pegg is unable to see the bigger picture of heresy in the thirteenth century.</w:t>
      </w:r>
      <w:r>
        <w:rPr>
          <w:rStyle w:val="FootnoteReference"/>
          <w:rFonts w:ascii="Times New Roman" w:eastAsiaTheme="minorHAnsi" w:hAnsi="Times New Roman" w:cs="Times New Roman"/>
          <w:color w:val="000000"/>
          <w:sz w:val="24"/>
          <w:szCs w:val="24"/>
          <w:lang w:val="en-US"/>
        </w:rPr>
        <w:footnoteReference w:id="79"/>
      </w:r>
    </w:p>
    <w:p w14:paraId="5C8DDBAF"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actually written by the supposed Cathars themselves. If this Cathar Church did have a structured liturgy that spread across Western Europe, why do we not have any documents? </w:t>
      </w:r>
      <w:r w:rsidRPr="00763B31">
        <w:rPr>
          <w:rFonts w:ascii="Times New Roman" w:eastAsiaTheme="minorHAnsi" w:hAnsi="Times New Roman" w:cs="Times New Roman"/>
          <w:color w:val="000000"/>
          <w:sz w:val="24"/>
          <w:szCs w:val="24"/>
          <w:lang w:val="en-US"/>
        </w:rPr>
        <w:lastRenderedPageBreak/>
        <w:t>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w:t>
      </w:r>
    </w:p>
    <w:p w14:paraId="4931AFE6"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w:t>
      </w:r>
      <w:r w:rsidRPr="00763B31">
        <w:rPr>
          <w:rFonts w:ascii="Times New Roman" w:eastAsiaTheme="minorHAnsi" w:hAnsi="Times New Roman" w:cs="Times New Roman"/>
          <w:color w:val="000000"/>
          <w:sz w:val="24"/>
          <w:szCs w:val="24"/>
          <w:lang w:val="en-US"/>
        </w:rPr>
        <w:lastRenderedPageBreak/>
        <w:t>debate. Pegg, like a skeptic in any field, has the luxury of being able to dismiss the convictions 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3C0BB66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C64411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D22F1C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0A1CC31"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A231B10"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FD2158D"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9916DE9"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7B3E1F32" w14:textId="77777777" w:rsidR="004440E0" w:rsidRDefault="004440E0" w:rsidP="00632FE0">
      <w:pPr>
        <w:rPr>
          <w:rFonts w:ascii="Times New Roman" w:eastAsia="Times New Roman" w:hAnsi="Times New Roman" w:cs="Times New Roman"/>
          <w:sz w:val="24"/>
          <w:szCs w:val="24"/>
        </w:rPr>
      </w:pPr>
    </w:p>
    <w:p w14:paraId="6200B4B3" w14:textId="77777777" w:rsidR="004F4606" w:rsidRDefault="004F4606" w:rsidP="00632FE0">
      <w:pPr>
        <w:rPr>
          <w:rFonts w:ascii="Times New Roman" w:eastAsia="Times New Roman" w:hAnsi="Times New Roman" w:cs="Times New Roman"/>
          <w:sz w:val="24"/>
          <w:szCs w:val="24"/>
        </w:rPr>
      </w:pPr>
    </w:p>
    <w:p w14:paraId="50211CEE" w14:textId="77777777" w:rsidR="004F4606" w:rsidRPr="0035045F" w:rsidRDefault="004F4606"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4F4606">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80"/>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81"/>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2"/>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3"/>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4"/>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0710" w:type="dxa"/>
        <w:tblInd w:w="-720" w:type="dxa"/>
        <w:tblCellMar>
          <w:top w:w="15" w:type="dxa"/>
          <w:left w:w="15" w:type="dxa"/>
          <w:bottom w:w="15" w:type="dxa"/>
          <w:right w:w="15" w:type="dxa"/>
        </w:tblCellMar>
        <w:tblLook w:val="04A0" w:firstRow="1" w:lastRow="0" w:firstColumn="1" w:lastColumn="0" w:noHBand="0" w:noVBand="1"/>
      </w:tblPr>
      <w:tblGrid>
        <w:gridCol w:w="1844"/>
        <w:gridCol w:w="1909"/>
        <w:gridCol w:w="2112"/>
        <w:gridCol w:w="738"/>
        <w:gridCol w:w="640"/>
        <w:gridCol w:w="1063"/>
        <w:gridCol w:w="2404"/>
      </w:tblGrid>
      <w:tr w:rsidR="006D35E8" w:rsidRPr="0035045F" w14:paraId="3EDA58C6" w14:textId="77777777" w:rsidTr="006D35E8">
        <w:trPr>
          <w:trHeight w:val="515"/>
        </w:trPr>
        <w:tc>
          <w:tcPr>
            <w:tcW w:w="184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240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6D35E8" w:rsidRPr="0035045F" w14:paraId="11B004A1" w14:textId="77777777" w:rsidTr="006D35E8">
        <w:trPr>
          <w:trHeight w:val="3080"/>
        </w:trPr>
        <w:tc>
          <w:tcPr>
            <w:tcW w:w="184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240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4972A3A"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w:t>
      </w:r>
      <w:r w:rsidR="000659E8" w:rsidRPr="0035045F">
        <w:rPr>
          <w:rFonts w:ascii="Times New Roman" w:eastAsia="Times New Roman" w:hAnsi="Times New Roman" w:cs="Times New Roman"/>
          <w:sz w:val="24"/>
          <w:szCs w:val="24"/>
        </w:rPr>
        <w:lastRenderedPageBreak/>
        <w:t xml:space="preserve">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9D7090"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5"/>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9D7090">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3B7079E9" w:rsidR="00D67822" w:rsidRPr="009D7090" w:rsidRDefault="00170D3C" w:rsidP="00D67822">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The </w:t>
      </w:r>
      <w:r w:rsidR="00320ADC" w:rsidRPr="009D7090">
        <w:rPr>
          <w:rFonts w:ascii="Times New Roman" w:eastAsia="Times New Roman" w:hAnsi="Times New Roman" w:cs="Times New Roman"/>
          <w:sz w:val="24"/>
          <w:szCs w:val="24"/>
        </w:rPr>
        <w:t>fundamental question historians have been asking about Cathars and heresy in medieval Toulouse fo</w:t>
      </w:r>
      <w:r w:rsidR="00917E59" w:rsidRPr="009D7090">
        <w:rPr>
          <w:rFonts w:ascii="Times New Roman" w:eastAsia="Times New Roman" w:hAnsi="Times New Roman" w:cs="Times New Roman"/>
          <w:sz w:val="24"/>
          <w:szCs w:val="24"/>
        </w:rPr>
        <w:t xml:space="preserve">r nearly two </w:t>
      </w:r>
      <w:r w:rsidR="00917E59" w:rsidRPr="009D7090">
        <w:rPr>
          <w:rFonts w:ascii="Times New Roman" w:eastAsia="Times New Roman" w:hAnsi="Times New Roman" w:cs="Times New Roman"/>
          <w:sz w:val="24"/>
          <w:szCs w:val="24"/>
          <w:highlight w:val="yellow"/>
        </w:rPr>
        <w:t xml:space="preserve">centuries has </w:t>
      </w:r>
      <w:r w:rsidR="009D7090" w:rsidRPr="009D7090">
        <w:rPr>
          <w:rFonts w:ascii="Times New Roman" w:eastAsia="Times New Roman" w:hAnsi="Times New Roman" w:cs="Times New Roman"/>
          <w:sz w:val="24"/>
          <w:szCs w:val="24"/>
          <w:highlight w:val="yellow"/>
        </w:rPr>
        <w:t>been: W</w:t>
      </w:r>
      <w:r w:rsidR="00320ADC" w:rsidRPr="009D7090">
        <w:rPr>
          <w:rFonts w:ascii="Times New Roman" w:eastAsia="Times New Roman" w:hAnsi="Times New Roman" w:cs="Times New Roman"/>
          <w:sz w:val="24"/>
          <w:szCs w:val="24"/>
          <w:highlight w:val="yellow"/>
        </w:rPr>
        <w:t>hat did</w:t>
      </w:r>
      <w:r w:rsidR="00320ADC" w:rsidRPr="009D7090">
        <w:rPr>
          <w:rFonts w:ascii="Times New Roman" w:eastAsia="Times New Roman" w:hAnsi="Times New Roman" w:cs="Times New Roman"/>
          <w:sz w:val="24"/>
          <w:szCs w:val="24"/>
        </w:rPr>
        <w:t xml:space="preserve"> </w:t>
      </w:r>
      <w:r w:rsidR="00D67822" w:rsidRPr="009D7090">
        <w:rPr>
          <w:rFonts w:ascii="Times New Roman" w:eastAsia="Times New Roman" w:hAnsi="Times New Roman" w:cs="Times New Roman"/>
          <w:sz w:val="24"/>
          <w:szCs w:val="24"/>
        </w:rPr>
        <w:t>the people of southern France</w:t>
      </w:r>
      <w:r w:rsidR="00320ADC" w:rsidRPr="009D7090">
        <w:rPr>
          <w:rFonts w:ascii="Times New Roman" w:eastAsia="Times New Roman" w:hAnsi="Times New Roman" w:cs="Times New Roman"/>
          <w:sz w:val="24"/>
          <w:szCs w:val="24"/>
        </w:rPr>
        <w:t xml:space="preserve"> really believe? Unfortunately for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s beliefs – which is the </w:t>
      </w:r>
      <w:r w:rsidR="001A7CEA" w:rsidRPr="0035045F">
        <w:rPr>
          <w:rFonts w:ascii="Times New Roman" w:eastAsia="Times New Roman" w:hAnsi="Times New Roman" w:cs="Times New Roman"/>
          <w:sz w:val="24"/>
          <w:szCs w:val="24"/>
        </w:rPr>
        <w:lastRenderedPageBreak/>
        <w:t>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w:t>
      </w:r>
      <w:r w:rsidR="00D03A6B" w:rsidRPr="009D7090">
        <w:rPr>
          <w:rFonts w:ascii="Times New Roman" w:eastAsia="Times New Roman" w:hAnsi="Times New Roman" w:cs="Times New Roman"/>
          <w:sz w:val="24"/>
          <w:szCs w:val="24"/>
        </w:rPr>
        <w:lastRenderedPageBreak/>
        <w:t>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6"/>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w:t>
      </w:r>
      <w:r w:rsidR="001C0DF6" w:rsidRPr="0035045F">
        <w:rPr>
          <w:rFonts w:ascii="Times New Roman" w:eastAsia="Times New Roman" w:hAnsi="Times New Roman" w:cs="Times New Roman"/>
          <w:sz w:val="24"/>
          <w:szCs w:val="24"/>
        </w:rPr>
        <w:lastRenderedPageBreak/>
        <w:t>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7"/>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Cathar believers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w:t>
      </w:r>
      <w:r w:rsidR="00D360EA" w:rsidRPr="0035045F">
        <w:rPr>
          <w:rFonts w:ascii="Times New Roman" w:eastAsia="Times New Roman" w:hAnsi="Times New Roman" w:cs="Times New Roman"/>
          <w:sz w:val="24"/>
          <w:szCs w:val="24"/>
        </w:rPr>
        <w:lastRenderedPageBreak/>
        <w:t xml:space="preserve">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9"/>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90"/>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w:t>
      </w:r>
      <w:r w:rsidR="008052CB" w:rsidRPr="00260968">
        <w:rPr>
          <w:rFonts w:ascii="Times New Roman" w:eastAsia="Times New Roman" w:hAnsi="Times New Roman" w:cs="Times New Roman"/>
          <w:sz w:val="24"/>
          <w:szCs w:val="24"/>
        </w:rPr>
        <w:lastRenderedPageBreak/>
        <w:t>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91"/>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3AF71545" w14:textId="77777777" w:rsidR="00134FB4" w:rsidRPr="0035045F" w:rsidRDefault="00134FB4" w:rsidP="00134FB4">
      <w:pPr>
        <w:spacing w:line="480" w:lineRule="auto"/>
        <w:rPr>
          <w:rFonts w:ascii="Times New Roman" w:eastAsia="Times New Roman" w:hAnsi="Times New Roman" w:cs="Times New Roman"/>
          <w:sz w:val="24"/>
          <w:szCs w:val="24"/>
        </w:rPr>
      </w:pPr>
    </w:p>
    <w:p w14:paraId="5B16717E" w14:textId="77777777" w:rsidR="00C71A8A" w:rsidRPr="0035045F" w:rsidRDefault="00C71A8A" w:rsidP="00134FB4">
      <w:pPr>
        <w:spacing w:line="480" w:lineRule="auto"/>
        <w:rPr>
          <w:rFonts w:ascii="Times New Roman" w:eastAsia="Times New Roman" w:hAnsi="Times New Roman" w:cs="Times New Roman"/>
          <w:sz w:val="24"/>
          <w:szCs w:val="24"/>
        </w:rPr>
      </w:pPr>
    </w:p>
    <w:p w14:paraId="070CC4DF" w14:textId="77777777" w:rsidR="00C71A8A" w:rsidRDefault="00C71A8A"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215FB180" w14:textId="77777777" w:rsidR="004F4606" w:rsidRDefault="004F4606" w:rsidP="00632FE0">
      <w:pPr>
        <w:jc w:val="center"/>
        <w:outlineLvl w:val="0"/>
        <w:rPr>
          <w:rFonts w:ascii="Times New Roman" w:eastAsia="Times New Roman" w:hAnsi="Times New Roman" w:cs="Times New Roman"/>
          <w:sz w:val="24"/>
          <w:szCs w:val="24"/>
        </w:rPr>
      </w:pPr>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D5B07E" w14:textId="3293D2B9" w:rsidR="002119BB" w:rsidRDefault="003B2A90" w:rsidP="004F4606">
      <w:pPr>
        <w:spacing w:before="24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443571" w14:textId="5CCAD238" w:rsidR="00C74121" w:rsidRDefault="002119BB" w:rsidP="002119BB">
      <w:pPr>
        <w:spacing w:line="480" w:lineRule="auto"/>
        <w:ind w:firstLine="720"/>
        <w:rPr>
          <w:rFonts w:ascii="Times New Roman" w:eastAsia="Times New Roman" w:hAnsi="Times New Roman" w:cs="Times New Roman"/>
          <w:sz w:val="24"/>
          <w:szCs w:val="24"/>
        </w:rPr>
      </w:pPr>
      <w:r w:rsidRPr="003B2A90">
        <w:rPr>
          <w:rFonts w:ascii="Times New Roman" w:eastAsia="Times New Roman" w:hAnsi="Times New Roman" w:cs="Times New Roman"/>
          <w:sz w:val="24"/>
          <w:szCs w:val="24"/>
        </w:rPr>
        <w:t xml:space="preserve">MS 609 is a collection of documents that has divided medieval scholars for nearly two decades now. Scholars who believe in Cathars and scholars that do not believe in them have used MS 609 to bolster their antithetical claims. Due to the very nature of the depositions, I do not believe that MS 609 is capable of decisively ending the debate on its own. Few deponents explicitly stated what their actual religious beliefs were, making it impossible to know for certain what people truly believed – or, at the very least, what the Church thought these people believed. However, the onus of proof is on the Cathar believers, and I think it can be said definitively that MS 609 cannot be used as evidence for a widespread dualist heresy in the thirteenth-century Lauragais. </w:t>
      </w:r>
      <w:r w:rsidR="00410B23" w:rsidRPr="003B2A90">
        <w:rPr>
          <w:rFonts w:ascii="Times New Roman" w:eastAsia="Times New Roman" w:hAnsi="Times New Roman" w:cs="Times New Roman"/>
          <w:sz w:val="24"/>
          <w:szCs w:val="24"/>
        </w:rPr>
        <w:t xml:space="preserve">Studying MS 609 using digital humanities techniques can provide valuable insights into the manuscript that scholars would have otherwise missed. By extracting and analyzing data from Rehr’s XML document, I was able to </w:t>
      </w:r>
      <w:r w:rsidR="00532A99" w:rsidRPr="003B2A90">
        <w:rPr>
          <w:rFonts w:ascii="Times New Roman" w:eastAsia="Times New Roman" w:hAnsi="Times New Roman" w:cs="Times New Roman"/>
          <w:sz w:val="24"/>
          <w:szCs w:val="24"/>
        </w:rPr>
        <w:t xml:space="preserve">break down MS 609 into segmented parts while still being able to study the document as a whole. </w:t>
      </w:r>
      <w:r w:rsidR="00532A99" w:rsidRPr="003B2A90">
        <w:rPr>
          <w:rFonts w:ascii="Times New Roman" w:eastAsia="Times New Roman" w:hAnsi="Times New Roman" w:cs="Times New Roman"/>
          <w:sz w:val="24"/>
          <w:szCs w:val="24"/>
          <w:highlight w:val="yellow"/>
        </w:rPr>
        <w:t>Essentially, I was</w:t>
      </w:r>
      <w:r w:rsidR="007F5347" w:rsidRPr="003B2A90">
        <w:rPr>
          <w:rFonts w:ascii="Times New Roman" w:eastAsia="Times New Roman" w:hAnsi="Times New Roman" w:cs="Times New Roman"/>
          <w:sz w:val="24"/>
          <w:szCs w:val="24"/>
          <w:highlight w:val="yellow"/>
        </w:rPr>
        <w:t xml:space="preserve"> able to conduct both a </w:t>
      </w:r>
      <w:r w:rsidR="000820FE" w:rsidRPr="003B2A90">
        <w:rPr>
          <w:rFonts w:ascii="Times New Roman" w:eastAsia="Times New Roman" w:hAnsi="Times New Roman" w:cs="Times New Roman"/>
          <w:sz w:val="24"/>
          <w:szCs w:val="24"/>
          <w:highlight w:val="yellow"/>
        </w:rPr>
        <w:t>“</w:t>
      </w:r>
      <w:r w:rsidR="007F5347" w:rsidRPr="003B2A90">
        <w:rPr>
          <w:rFonts w:ascii="Times New Roman" w:eastAsia="Times New Roman" w:hAnsi="Times New Roman" w:cs="Times New Roman"/>
          <w:sz w:val="24"/>
          <w:szCs w:val="24"/>
          <w:highlight w:val="yellow"/>
        </w:rPr>
        <w:t>distant</w:t>
      </w:r>
      <w:r w:rsidR="000820FE" w:rsidRPr="003B2A90">
        <w:rPr>
          <w:rFonts w:ascii="Times New Roman" w:eastAsia="Times New Roman" w:hAnsi="Times New Roman" w:cs="Times New Roman"/>
          <w:sz w:val="24"/>
          <w:szCs w:val="24"/>
          <w:highlight w:val="yellow"/>
        </w:rPr>
        <w:t>”</w:t>
      </w:r>
      <w:r w:rsidR="00532A99" w:rsidRPr="003B2A90">
        <w:rPr>
          <w:rFonts w:ascii="Times New Roman" w:eastAsia="Times New Roman" w:hAnsi="Times New Roman" w:cs="Times New Roman"/>
          <w:sz w:val="24"/>
          <w:szCs w:val="24"/>
          <w:highlight w:val="yellow"/>
        </w:rPr>
        <w:t xml:space="preserve"> and close reading of MS 609.</w:t>
      </w:r>
      <w:r w:rsidR="00532A99" w:rsidRPr="003B2A90">
        <w:rPr>
          <w:rFonts w:ascii="Times New Roman" w:eastAsia="Times New Roman" w:hAnsi="Times New Roman" w:cs="Times New Roman"/>
          <w:sz w:val="24"/>
          <w:szCs w:val="24"/>
        </w:rPr>
        <w:t xml:space="preserve"> What I discovered</w:t>
      </w:r>
      <w:r w:rsidR="00532A99" w:rsidRPr="0035045F">
        <w:rPr>
          <w:rFonts w:ascii="Times New Roman" w:eastAsia="Times New Roman" w:hAnsi="Times New Roman" w:cs="Times New Roman"/>
          <w:sz w:val="24"/>
          <w:szCs w:val="24"/>
        </w:rPr>
        <w:t xml:space="preserve">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MS 609, </w:t>
      </w:r>
      <w:r w:rsidR="00AA42A2">
        <w:rPr>
          <w:rFonts w:ascii="Times New Roman" w:eastAsia="Times New Roman" w:hAnsi="Times New Roman" w:cs="Times New Roman"/>
          <w:sz w:val="24"/>
          <w:szCs w:val="24"/>
        </w:rPr>
        <w:t>such scholars</w:t>
      </w:r>
      <w:r w:rsidR="0054164E">
        <w:rPr>
          <w:rFonts w:ascii="Times New Roman" w:eastAsia="Times New Roman" w:hAnsi="Times New Roman" w:cs="Times New Roman"/>
          <w:sz w:val="24"/>
          <w:szCs w:val="24"/>
        </w:rPr>
        <w:t xml:space="preserve"> </w:t>
      </w:r>
      <w:r w:rsidR="003922E3" w:rsidRPr="0035045F">
        <w:rPr>
          <w:rFonts w:ascii="Times New Roman" w:eastAsia="Times New Roman" w:hAnsi="Times New Roman" w:cs="Times New Roman"/>
          <w:sz w:val="24"/>
          <w:szCs w:val="24"/>
        </w:rPr>
        <w:t xml:space="preserve">isolate instances of dualist beliefs </w:t>
      </w:r>
      <w:r w:rsidR="0054164E">
        <w:rPr>
          <w:rFonts w:ascii="Times New Roman" w:eastAsia="Times New Roman" w:hAnsi="Times New Roman" w:cs="Times New Roman"/>
          <w:sz w:val="24"/>
          <w:szCs w:val="24"/>
        </w:rPr>
        <w:t>that they</w:t>
      </w:r>
      <w:r w:rsidR="00AA42A2">
        <w:rPr>
          <w:rFonts w:ascii="Times New Roman" w:eastAsia="Times New Roman" w:hAnsi="Times New Roman" w:cs="Times New Roman"/>
          <w:sz w:val="24"/>
          <w:szCs w:val="24"/>
        </w:rPr>
        <w:t xml:space="preserve"> then</w:t>
      </w:r>
      <w:r w:rsidR="00766CE6" w:rsidRPr="0035045F">
        <w:rPr>
          <w:rFonts w:ascii="Times New Roman" w:eastAsia="Times New Roman" w:hAnsi="Times New Roman" w:cs="Times New Roman"/>
          <w:sz w:val="24"/>
          <w:szCs w:val="24"/>
        </w:rPr>
        <w:t xml:space="preserve"> point to as evidence of </w:t>
      </w:r>
      <w:r w:rsidR="004A7E5F" w:rsidRPr="0035045F">
        <w:rPr>
          <w:rFonts w:ascii="Times New Roman" w:eastAsia="Times New Roman" w:hAnsi="Times New Roman" w:cs="Times New Roman"/>
          <w:sz w:val="24"/>
          <w:szCs w:val="24"/>
        </w:rPr>
        <w:t>a dualist heresy.</w:t>
      </w:r>
      <w:r w:rsidR="00AA42A2">
        <w:rPr>
          <w:rFonts w:ascii="Times New Roman" w:eastAsia="Times New Roman" w:hAnsi="Times New Roman" w:cs="Times New Roman"/>
          <w:sz w:val="24"/>
          <w:szCs w:val="24"/>
        </w:rPr>
        <w:t xml:space="preserve">  </w:t>
      </w:r>
      <w:r w:rsidR="00AA42A2" w:rsidRPr="00AA42A2">
        <w:rPr>
          <w:rFonts w:ascii="Times New Roman" w:eastAsia="Times New Roman" w:hAnsi="Times New Roman" w:cs="Times New Roman"/>
          <w:sz w:val="24"/>
          <w:szCs w:val="24"/>
          <w:highlight w:val="magenta"/>
        </w:rPr>
        <w:t xml:space="preserve">Keep trying to isolate </w:t>
      </w:r>
      <w:r w:rsidR="00AA42A2">
        <w:rPr>
          <w:rFonts w:ascii="Times New Roman" w:eastAsia="Times New Roman" w:hAnsi="Times New Roman" w:cs="Times New Roman"/>
          <w:sz w:val="24"/>
          <w:szCs w:val="24"/>
          <w:highlight w:val="magenta"/>
        </w:rPr>
        <w:t>instances (strip mine)</w:t>
      </w:r>
      <w:r w:rsidR="00AA42A2" w:rsidRPr="00AA42A2">
        <w:rPr>
          <w:rFonts w:ascii="Times New Roman" w:eastAsia="Times New Roman" w:hAnsi="Times New Roman" w:cs="Times New Roman"/>
          <w:sz w:val="24"/>
          <w:szCs w:val="24"/>
          <w:highlight w:val="magenta"/>
        </w:rPr>
        <w:t xml:space="preserve"> which is bad. My methodology is good because I dont</w:t>
      </w:r>
      <w:r w:rsidR="004A7E5F" w:rsidRPr="0035045F">
        <w:rPr>
          <w:rFonts w:ascii="Times New Roman" w:eastAsia="Times New Roman" w:hAnsi="Times New Roman" w:cs="Times New Roman"/>
          <w:sz w:val="24"/>
          <w:szCs w:val="24"/>
        </w:rPr>
        <w:t xml:space="preserve"> </w:t>
      </w:r>
    </w:p>
    <w:p w14:paraId="27546E4F" w14:textId="350082FA"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lastRenderedPageBreak/>
        <w:t>Peter</w:t>
      </w:r>
      <w:r w:rsidR="006965E4">
        <w:rPr>
          <w:rFonts w:ascii="Times New Roman" w:eastAsia="Times New Roman" w:hAnsi="Times New Roman" w:cs="Times New Roman"/>
          <w:sz w:val="24"/>
          <w:szCs w:val="24"/>
          <w:highlight w:val="yellow"/>
        </w:rPr>
        <w:t xml:space="preserve"> </w:t>
      </w:r>
      <w:r w:rsidR="003F4DCC">
        <w:rPr>
          <w:rFonts w:ascii="Times New Roman" w:eastAsia="Times New Roman" w:hAnsi="Times New Roman" w:cs="Times New Roman"/>
          <w:sz w:val="24"/>
          <w:szCs w:val="24"/>
          <w:highlight w:val="yellow"/>
        </w:rPr>
        <w:t>Biller</w:t>
      </w:r>
      <w:r w:rsidR="00CA382F">
        <w:rPr>
          <w:rFonts w:ascii="Times New Roman" w:eastAsia="Times New Roman" w:hAnsi="Times New Roman" w:cs="Times New Roman"/>
          <w:sz w:val="24"/>
          <w:szCs w:val="24"/>
          <w:highlight w:val="yellow"/>
        </w:rPr>
        <w:t>, for example,</w:t>
      </w:r>
      <w:r w:rsidR="006965E4">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highlight w:val="yellow"/>
        </w:rPr>
        <w:t xml:space="preserve">counted the total number of </w:t>
      </w:r>
      <w:r w:rsidR="00E42082">
        <w:rPr>
          <w:rFonts w:ascii="Times New Roman" w:eastAsia="Times New Roman" w:hAnsi="Times New Roman" w:cs="Times New Roman"/>
          <w:sz w:val="24"/>
          <w:szCs w:val="24"/>
          <w:highlight w:val="yellow"/>
        </w:rPr>
        <w:t>deponents</w:t>
      </w:r>
      <w:r>
        <w:rPr>
          <w:rFonts w:ascii="Times New Roman" w:eastAsia="Times New Roman" w:hAnsi="Times New Roman" w:cs="Times New Roman"/>
          <w:sz w:val="24"/>
          <w:szCs w:val="24"/>
          <w:highlight w:val="yellow"/>
        </w:rPr>
        <w:t xml:space="preserve"> who claimed to have heard </w:t>
      </w:r>
      <w:r w:rsidR="006B7137">
        <w:rPr>
          <w:rFonts w:ascii="Times New Roman" w:eastAsia="Times New Roman" w:hAnsi="Times New Roman" w:cs="Times New Roman"/>
          <w:sz w:val="24"/>
          <w:szCs w:val="24"/>
          <w:highlight w:val="yellow"/>
        </w:rPr>
        <w:t>heretical errors, and concluded that</w:t>
      </w:r>
      <w:r w:rsidR="00F71EE8">
        <w:rPr>
          <w:rFonts w:ascii="Times New Roman" w:eastAsia="Times New Roman" w:hAnsi="Times New Roman" w:cs="Times New Roman"/>
          <w:sz w:val="24"/>
          <w:szCs w:val="24"/>
          <w:highlight w:val="yellow"/>
        </w:rPr>
        <w:t xml:space="preserve"> 209 </w:t>
      </w:r>
      <w:r w:rsidR="00E42082">
        <w:rPr>
          <w:rFonts w:ascii="Times New Roman" w:eastAsia="Times New Roman" w:hAnsi="Times New Roman" w:cs="Times New Roman"/>
          <w:sz w:val="24"/>
          <w:szCs w:val="24"/>
          <w:highlight w:val="yellow"/>
        </w:rPr>
        <w:t>individuals</w:t>
      </w:r>
      <w:r w:rsidR="006965E4">
        <w:rPr>
          <w:rFonts w:ascii="Times New Roman" w:eastAsia="Times New Roman" w:hAnsi="Times New Roman" w:cs="Times New Roman"/>
          <w:sz w:val="24"/>
          <w:szCs w:val="24"/>
          <w:highlight w:val="yellow"/>
        </w:rPr>
        <w:t xml:space="preserve"> claimed to have heard of </w:t>
      </w:r>
      <w:r w:rsidR="006965E4" w:rsidRPr="00F71EE8">
        <w:rPr>
          <w:rFonts w:ascii="Times New Roman" w:eastAsia="Times New Roman" w:hAnsi="Times New Roman" w:cs="Times New Roman"/>
          <w:sz w:val="24"/>
          <w:szCs w:val="24"/>
          <w:highlight w:val="yellow"/>
        </w:rPr>
        <w:t>heretical errors.</w:t>
      </w:r>
      <w:r w:rsidR="006965E4" w:rsidRPr="00F71EE8">
        <w:rPr>
          <w:rStyle w:val="FootnoteReference"/>
          <w:rFonts w:ascii="Times New Roman" w:eastAsia="Times New Roman" w:hAnsi="Times New Roman" w:cs="Times New Roman"/>
          <w:sz w:val="24"/>
          <w:szCs w:val="24"/>
          <w:highlight w:val="yellow"/>
        </w:rPr>
        <w:footnoteReference w:id="92"/>
      </w:r>
      <w:r w:rsidR="00F71EE8" w:rsidRPr="00F71EE8">
        <w:rPr>
          <w:rFonts w:ascii="Times New Roman" w:eastAsia="Times New Roman" w:hAnsi="Times New Roman" w:cs="Times New Roman"/>
          <w:sz w:val="24"/>
          <w:szCs w:val="24"/>
          <w:highlight w:val="yellow"/>
        </w:rPr>
        <w:t xml:space="preserve"> However, </w:t>
      </w:r>
      <w:r w:rsidR="00AB6068">
        <w:rPr>
          <w:rFonts w:ascii="Times New Roman" w:eastAsia="Times New Roman" w:hAnsi="Times New Roman" w:cs="Times New Roman"/>
          <w:sz w:val="24"/>
          <w:szCs w:val="24"/>
        </w:rPr>
        <w:t>c</w:t>
      </w:r>
      <w:r w:rsidR="006B7137">
        <w:rPr>
          <w:rFonts w:ascii="Times New Roman" w:eastAsia="Times New Roman" w:hAnsi="Times New Roman" w:cs="Times New Roman"/>
          <w:sz w:val="24"/>
          <w:szCs w:val="24"/>
        </w:rPr>
        <w:t>onsidering that nearly 6,000 depositions we</w:t>
      </w:r>
      <w:r w:rsidR="00AB6068">
        <w:rPr>
          <w:rFonts w:ascii="Times New Roman" w:eastAsia="Times New Roman" w:hAnsi="Times New Roman" w:cs="Times New Roman"/>
          <w:sz w:val="24"/>
          <w:szCs w:val="24"/>
        </w:rPr>
        <w:t>re recorded, 209 is a paltry number</w:t>
      </w:r>
      <w:r w:rsidR="006B7137">
        <w:rPr>
          <w:rFonts w:ascii="Times New Roman" w:eastAsia="Times New Roman" w:hAnsi="Times New Roman" w:cs="Times New Roman"/>
          <w:sz w:val="24"/>
          <w:szCs w:val="24"/>
        </w:rPr>
        <w:t>.</w:t>
      </w:r>
      <w:r w:rsidR="00F71EE8">
        <w:rPr>
          <w:rFonts w:ascii="Times New Roman" w:eastAsia="Times New Roman" w:hAnsi="Times New Roman" w:cs="Times New Roman"/>
          <w:sz w:val="24"/>
          <w:szCs w:val="24"/>
        </w:rPr>
        <w:t xml:space="preserve"> </w:t>
      </w:r>
      <w:r w:rsidR="006B7137">
        <w:rPr>
          <w:rFonts w:ascii="Times New Roman" w:eastAsia="Times New Roman" w:hAnsi="Times New Roman" w:cs="Times New Roman"/>
          <w:sz w:val="24"/>
          <w:szCs w:val="24"/>
        </w:rPr>
        <w:t>Furthermore,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3"/>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when</w:t>
      </w:r>
      <w:r w:rsidR="000954DC" w:rsidRPr="0035045F">
        <w:rPr>
          <w:rFonts w:ascii="Times New Roman" w:eastAsia="Times New Roman" w:hAnsi="Times New Roman" w:cs="Times New Roman"/>
          <w:sz w:val="24"/>
          <w:szCs w:val="24"/>
        </w:rPr>
        <w:t xml:space="preserve"> taking this approach to studying MS 609. When Biller mentions specific instances of </w:t>
      </w:r>
      <w:r w:rsidR="009F627A" w:rsidRPr="0035045F">
        <w:rPr>
          <w:rFonts w:ascii="Times New Roman" w:eastAsia="Times New Roman" w:hAnsi="Times New Roman" w:cs="Times New Roman"/>
          <w:sz w:val="24"/>
          <w:szCs w:val="24"/>
        </w:rPr>
        <w:t xml:space="preserve">deponents talking about </w:t>
      </w:r>
      <w:r w:rsidR="000954DC" w:rsidRPr="0035045F">
        <w:rPr>
          <w:rFonts w:ascii="Times New Roman" w:eastAsia="Times New Roman" w:hAnsi="Times New Roman" w:cs="Times New Roman"/>
          <w:sz w:val="24"/>
          <w:szCs w:val="24"/>
        </w:rPr>
        <w:t xml:space="preserve">dualist beliefs, he fails to see just how many </w:t>
      </w:r>
      <w:r w:rsidR="009F627A" w:rsidRPr="0035045F">
        <w:rPr>
          <w:rFonts w:ascii="Times New Roman" w:eastAsia="Times New Roman" w:hAnsi="Times New Roman" w:cs="Times New Roman"/>
          <w:sz w:val="24"/>
          <w:szCs w:val="24"/>
        </w:rPr>
        <w:t>deponents</w:t>
      </w:r>
      <w:r w:rsidR="000954DC" w:rsidRPr="0035045F">
        <w:rPr>
          <w:rFonts w:ascii="Times New Roman" w:eastAsia="Times New Roman" w:hAnsi="Times New Roman" w:cs="Times New Roman"/>
          <w:sz w:val="24"/>
          <w:szCs w:val="24"/>
        </w:rPr>
        <w:t xml:space="preserve"> </w:t>
      </w:r>
      <w:r w:rsidR="000954DC" w:rsidRPr="0035045F">
        <w:rPr>
          <w:rFonts w:ascii="Times New Roman" w:eastAsia="Times New Roman" w:hAnsi="Times New Roman" w:cs="Times New Roman"/>
          <w:i/>
          <w:sz w:val="24"/>
          <w:szCs w:val="24"/>
        </w:rPr>
        <w:t xml:space="preserve">did not </w:t>
      </w:r>
      <w:r w:rsidR="009F627A" w:rsidRPr="0035045F">
        <w:rPr>
          <w:rFonts w:ascii="Times New Roman" w:eastAsia="Times New Roman" w:hAnsi="Times New Roman" w:cs="Times New Roman"/>
          <w:sz w:val="24"/>
          <w:szCs w:val="24"/>
        </w:rPr>
        <w:t xml:space="preserve">talk about dualist beliefs. </w:t>
      </w:r>
      <w:r w:rsidR="007C0277">
        <w:rPr>
          <w:rFonts w:ascii="Times New Roman" w:eastAsia="Times New Roman" w:hAnsi="Times New Roman" w:cs="Times New Roman"/>
          <w:sz w:val="24"/>
          <w:szCs w:val="24"/>
          <w:highlight w:val="yellow"/>
        </w:rPr>
        <w:t xml:space="preserve">When Biller talks about the 209 deponents who claimed to have heard heretical errors, he fails to mention the </w:t>
      </w:r>
      <w:r w:rsidR="00A726B0">
        <w:rPr>
          <w:rFonts w:ascii="Times New Roman" w:eastAsia="Times New Roman" w:hAnsi="Times New Roman" w:cs="Times New Roman"/>
          <w:sz w:val="24"/>
          <w:szCs w:val="24"/>
          <w:highlight w:val="yellow"/>
        </w:rPr>
        <w:t>thousands of</w:t>
      </w:r>
      <w:r w:rsidR="007C0277">
        <w:rPr>
          <w:rFonts w:ascii="Times New Roman" w:eastAsia="Times New Roman" w:hAnsi="Times New Roman" w:cs="Times New Roman"/>
          <w:sz w:val="24"/>
          <w:szCs w:val="24"/>
          <w:highlight w:val="yellow"/>
        </w:rPr>
        <w:t xml:space="preserve"> deponents that did not</w:t>
      </w:r>
      <w:r w:rsidR="00E42082">
        <w:rPr>
          <w:rFonts w:ascii="Times New Roman" w:eastAsia="Times New Roman" w:hAnsi="Times New Roman" w:cs="Times New Roman"/>
          <w:sz w:val="24"/>
          <w:szCs w:val="24"/>
          <w:highlight w:val="yellow"/>
        </w:rPr>
        <w:t xml:space="preserve"> claim to have heard heretical errors</w:t>
      </w:r>
      <w:r w:rsidR="008D273A" w:rsidRPr="00715DBF">
        <w:rPr>
          <w:rFonts w:ascii="Times New Roman" w:eastAsia="Times New Roman" w:hAnsi="Times New Roman" w:cs="Times New Roman"/>
          <w:sz w:val="24"/>
          <w:szCs w:val="24"/>
          <w:highlight w:val="yellow"/>
        </w:rPr>
        <w:t xml:space="preserve">. </w:t>
      </w:r>
      <w:r w:rsidR="00715DBF" w:rsidRPr="00715DBF">
        <w:rPr>
          <w:rFonts w:ascii="Times New Roman" w:eastAsia="Times New Roman" w:hAnsi="Times New Roman" w:cs="Times New Roman"/>
          <w:sz w:val="24"/>
          <w:szCs w:val="24"/>
          <w:highlight w:val="yellow"/>
        </w:rPr>
        <w:t xml:space="preserve">Failing to take into account </w:t>
      </w:r>
      <w:r w:rsidR="007C0277">
        <w:rPr>
          <w:rFonts w:ascii="Times New Roman" w:eastAsia="Times New Roman" w:hAnsi="Times New Roman" w:cs="Times New Roman"/>
          <w:sz w:val="24"/>
          <w:szCs w:val="24"/>
          <w:highlight w:val="yellow"/>
        </w:rPr>
        <w:t>the entirety of the manuscript</w:t>
      </w:r>
      <w:r w:rsidR="00715DBF" w:rsidRPr="00715DBF">
        <w:rPr>
          <w:rFonts w:ascii="Times New Roman" w:eastAsia="Times New Roman" w:hAnsi="Times New Roman" w:cs="Times New Roman"/>
          <w:sz w:val="24"/>
          <w:szCs w:val="24"/>
          <w:highlight w:val="yellow"/>
        </w:rPr>
        <w:t xml:space="preserve"> is especially troublesome</w:t>
      </w:r>
      <w:r w:rsidR="008D273A" w:rsidRPr="0035045F">
        <w:rPr>
          <w:rFonts w:ascii="Times New Roman" w:eastAsia="Times New Roman" w:hAnsi="Times New Roman" w:cs="Times New Roman"/>
          <w:sz w:val="24"/>
          <w:szCs w:val="24"/>
        </w:rPr>
        <w:t>, because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4"/>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0E260F">
        <w:rPr>
          <w:rFonts w:ascii="Times New Roman" w:eastAsia="Times New Roman" w:hAnsi="Times New Roman" w:cs="Times New Roman"/>
          <w:sz w:val="24"/>
          <w:szCs w:val="24"/>
        </w:rPr>
        <w:t xml:space="preserve">borderline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w:t>
      </w:r>
      <w:r w:rsidR="004759AF">
        <w:rPr>
          <w:rFonts w:ascii="Times New Roman" w:eastAsia="Times New Roman" w:hAnsi="Times New Roman" w:cs="Times New Roman"/>
          <w:sz w:val="24"/>
          <w:szCs w:val="24"/>
        </w:rPr>
        <w:lastRenderedPageBreak/>
        <w:t>pollster not taking into account sample size before publishing his or her results.</w:t>
      </w:r>
      <w:r w:rsidR="00B426AF" w:rsidRPr="0035045F">
        <w:rPr>
          <w:rFonts w:ascii="Times New Roman" w:eastAsia="Times New Roman" w:hAnsi="Times New Roman" w:cs="Times New Roman"/>
          <w:sz w:val="24"/>
          <w:szCs w:val="24"/>
        </w:rPr>
        <w:t xml:space="preserve"> </w:t>
      </w:r>
      <w:r w:rsidR="001D21FA" w:rsidRPr="001D21FA">
        <w:rPr>
          <w:rFonts w:ascii="Times New Roman" w:eastAsia="Times New Roman" w:hAnsi="Times New Roman" w:cs="Times New Roman"/>
          <w:sz w:val="24"/>
          <w:szCs w:val="24"/>
          <w:highlight w:val="yellow"/>
        </w:rPr>
        <w:t>TRANSITION SENTENCE</w:t>
      </w:r>
    </w:p>
    <w:p w14:paraId="10D3BA78" w14:textId="290324B2" w:rsidR="00BF4CFF" w:rsidRPr="0035045F" w:rsidRDefault="00BF4CFF" w:rsidP="00AD1F63">
      <w:pPr>
        <w:spacing w:line="480" w:lineRule="auto"/>
        <w:ind w:firstLine="720"/>
        <w:rPr>
          <w:rFonts w:ascii="Times New Roman" w:eastAsia="Times New Roman" w:hAnsi="Times New Roman" w:cs="Times New Roman"/>
          <w:sz w:val="24"/>
          <w:szCs w:val="24"/>
        </w:rPr>
      </w:pPr>
      <w:r w:rsidRPr="00E33F83">
        <w:rPr>
          <w:rFonts w:ascii="Times New Roman" w:eastAsia="Times New Roman" w:hAnsi="Times New Roman" w:cs="Times New Roman"/>
          <w:sz w:val="24"/>
          <w:szCs w:val="24"/>
        </w:rPr>
        <w:t xml:space="preserve">Scholars have long treated </w:t>
      </w:r>
      <w:r w:rsidR="002A373A" w:rsidRPr="00E33F83">
        <w:rPr>
          <w:rFonts w:ascii="Times New Roman" w:eastAsia="Times New Roman" w:hAnsi="Times New Roman" w:cs="Times New Roman"/>
          <w:sz w:val="24"/>
          <w:szCs w:val="24"/>
        </w:rPr>
        <w:t xml:space="preserve">taking a digital approach to the study of history with disdain. In 1989 </w:t>
      </w:r>
      <w:r w:rsidR="005B16A8" w:rsidRPr="00E33F83">
        <w:rPr>
          <w:rFonts w:ascii="Times New Roman" w:eastAsia="Times New Roman" w:hAnsi="Times New Roman" w:cs="Times New Roman"/>
          <w:sz w:val="24"/>
          <w:szCs w:val="24"/>
        </w:rPr>
        <w:t xml:space="preserve">David Greenstein </w:t>
      </w:r>
      <w:r w:rsidR="002A373A" w:rsidRPr="00E33F83">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E33F83">
        <w:rPr>
          <w:rFonts w:ascii="Times New Roman" w:eastAsia="Times New Roman" w:hAnsi="Times New Roman" w:cs="Times New Roman"/>
          <w:sz w:val="24"/>
          <w:szCs w:val="24"/>
        </w:rPr>
        <w:t>transforming history from an art into an objective science.”</w:t>
      </w:r>
      <w:r w:rsidR="009864B5" w:rsidRPr="00E33F83">
        <w:rPr>
          <w:rStyle w:val="FootnoteReference"/>
          <w:rFonts w:ascii="Times New Roman" w:eastAsia="Times New Roman" w:hAnsi="Times New Roman" w:cs="Times New Roman"/>
          <w:sz w:val="24"/>
          <w:szCs w:val="24"/>
        </w:rPr>
        <w:footnoteReference w:id="95"/>
      </w:r>
      <w:r w:rsidR="00705DF8" w:rsidRPr="00E33F83">
        <w:rPr>
          <w:rFonts w:ascii="Times New Roman" w:eastAsia="Times New Roman" w:hAnsi="Times New Roman" w:cs="Times New Roman"/>
          <w:sz w:val="24"/>
          <w:szCs w:val="24"/>
        </w:rPr>
        <w:t xml:space="preserve"> While </w:t>
      </w:r>
      <w:r w:rsidR="004F053A" w:rsidRPr="00E33F83">
        <w:rPr>
          <w:rFonts w:ascii="Times New Roman" w:eastAsia="Times New Roman" w:hAnsi="Times New Roman" w:cs="Times New Roman"/>
          <w:sz w:val="24"/>
          <w:szCs w:val="24"/>
        </w:rPr>
        <w:t>Greenstein puts forth a</w:t>
      </w:r>
      <w:r w:rsidR="00705DF8" w:rsidRPr="00E33F83">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sidRPr="00E33F83">
        <w:rPr>
          <w:rFonts w:ascii="Times New Roman" w:eastAsia="Times New Roman" w:hAnsi="Times New Roman" w:cs="Times New Roman"/>
          <w:sz w:val="24"/>
          <w:szCs w:val="24"/>
        </w:rPr>
        <w:t xml:space="preserve">For far too long, traditional historians have viewed digital history as something separate from their </w:t>
      </w:r>
      <w:r w:rsidR="00C44390" w:rsidRPr="00E33F83">
        <w:rPr>
          <w:rFonts w:ascii="Times New Roman" w:eastAsia="Times New Roman" w:hAnsi="Times New Roman" w:cs="Times New Roman"/>
          <w:sz w:val="24"/>
          <w:szCs w:val="24"/>
        </w:rPr>
        <w:t>own work.</w:t>
      </w:r>
      <w:r w:rsidR="00AC4E88" w:rsidRPr="00E33F83">
        <w:rPr>
          <w:rFonts w:ascii="Times New Roman" w:eastAsia="Times New Roman" w:hAnsi="Times New Roman" w:cs="Times New Roman"/>
          <w:sz w:val="24"/>
          <w:szCs w:val="24"/>
        </w:rPr>
        <w:t xml:space="preserve"> </w:t>
      </w:r>
      <w:r w:rsidR="00C44390" w:rsidRPr="00E33F83">
        <w:rPr>
          <w:rFonts w:ascii="Times New Roman" w:eastAsia="Times New Roman" w:hAnsi="Times New Roman" w:cs="Times New Roman"/>
          <w:sz w:val="24"/>
          <w:szCs w:val="24"/>
        </w:rPr>
        <w:t>While t</w:t>
      </w:r>
      <w:r w:rsidR="005E0A21" w:rsidRPr="00E33F83">
        <w:rPr>
          <w:rFonts w:ascii="Times New Roman" w:eastAsia="Times New Roman" w:hAnsi="Times New Roman" w:cs="Times New Roman"/>
          <w:sz w:val="24"/>
          <w:szCs w:val="24"/>
        </w:rPr>
        <w:t>he</w:t>
      </w:r>
      <w:r w:rsidR="005969F3" w:rsidRPr="00E33F83">
        <w:rPr>
          <w:rFonts w:ascii="Times New Roman" w:eastAsia="Times New Roman" w:hAnsi="Times New Roman" w:cs="Times New Roman"/>
          <w:sz w:val="24"/>
          <w:szCs w:val="24"/>
        </w:rPr>
        <w:t xml:space="preserve"> </w:t>
      </w:r>
      <w:r w:rsidR="005E0A21" w:rsidRPr="00E33F83">
        <w:rPr>
          <w:rFonts w:ascii="Times New Roman" w:eastAsia="Times New Roman" w:hAnsi="Times New Roman" w:cs="Times New Roman"/>
          <w:sz w:val="24"/>
          <w:szCs w:val="24"/>
        </w:rPr>
        <w:t>techniques</w:t>
      </w:r>
      <w:r w:rsidR="005969F3" w:rsidRPr="00E33F83">
        <w:rPr>
          <w:rFonts w:ascii="Times New Roman" w:eastAsia="Times New Roman" w:hAnsi="Times New Roman" w:cs="Times New Roman"/>
          <w:sz w:val="24"/>
          <w:szCs w:val="24"/>
        </w:rPr>
        <w:t xml:space="preserve"> I used to conduct my research are </w:t>
      </w:r>
      <w:r w:rsidR="00C44390" w:rsidRPr="00E33F83">
        <w:rPr>
          <w:rFonts w:ascii="Times New Roman" w:eastAsia="Times New Roman" w:hAnsi="Times New Roman" w:cs="Times New Roman"/>
          <w:sz w:val="24"/>
          <w:szCs w:val="24"/>
        </w:rPr>
        <w:t xml:space="preserve">rather unconventional, </w:t>
      </w:r>
      <w:r w:rsidR="005E0A21" w:rsidRPr="00E33F83">
        <w:rPr>
          <w:rFonts w:ascii="Times New Roman" w:eastAsia="Times New Roman" w:hAnsi="Times New Roman" w:cs="Times New Roman"/>
          <w:sz w:val="24"/>
          <w:szCs w:val="24"/>
        </w:rPr>
        <w:t xml:space="preserve"> the methodology behind my analysis is</w:t>
      </w:r>
      <w:r w:rsidR="005969F3" w:rsidRPr="00E33F83">
        <w:rPr>
          <w:rFonts w:ascii="Times New Roman" w:eastAsia="Times New Roman" w:hAnsi="Times New Roman" w:cs="Times New Roman"/>
          <w:sz w:val="24"/>
          <w:szCs w:val="24"/>
        </w:rPr>
        <w:t xml:space="preserve"> actually </w:t>
      </w:r>
      <w:r w:rsidR="005E0A21" w:rsidRPr="00E33F83">
        <w:rPr>
          <w:rFonts w:ascii="Times New Roman" w:eastAsia="Times New Roman" w:hAnsi="Times New Roman" w:cs="Times New Roman"/>
          <w:sz w:val="24"/>
          <w:szCs w:val="24"/>
        </w:rPr>
        <w:t>fairly</w:t>
      </w:r>
      <w:r w:rsidR="005969F3" w:rsidRPr="00E33F83">
        <w:rPr>
          <w:rFonts w:ascii="Times New Roman" w:eastAsia="Times New Roman" w:hAnsi="Times New Roman" w:cs="Times New Roman"/>
          <w:sz w:val="24"/>
          <w:szCs w:val="24"/>
        </w:rPr>
        <w:t xml:space="preserve"> conventional</w:t>
      </w:r>
      <w:r w:rsidR="00AC4E88" w:rsidRPr="00E33F83">
        <w:rPr>
          <w:rFonts w:ascii="Times New Roman" w:eastAsia="Times New Roman" w:hAnsi="Times New Roman" w:cs="Times New Roman"/>
          <w:sz w:val="24"/>
          <w:szCs w:val="24"/>
        </w:rPr>
        <w:t>.</w:t>
      </w:r>
      <w:r w:rsidR="00D67B33">
        <w:rPr>
          <w:rFonts w:ascii="Times New Roman" w:eastAsia="Times New Roman" w:hAnsi="Times New Roman" w:cs="Times New Roman"/>
          <w:sz w:val="24"/>
          <w:szCs w:val="24"/>
        </w:rPr>
        <w:t xml:space="preserve"> Scholars have been counting the number of depositions in MS 609 with certain attributes to prove their point for decades. </w:t>
      </w:r>
      <w:r w:rsidR="00D67B33" w:rsidRPr="002119BB">
        <w:rPr>
          <w:rFonts w:ascii="Times New Roman" w:eastAsia="Times New Roman" w:hAnsi="Times New Roman" w:cs="Times New Roman"/>
          <w:sz w:val="24"/>
          <w:szCs w:val="24"/>
          <w:highlight w:val="yellow"/>
        </w:rPr>
        <w:t>EXAMPLE</w:t>
      </w:r>
      <w:r w:rsidR="00D67B33">
        <w:rPr>
          <w:rFonts w:ascii="Times New Roman" w:eastAsia="Times New Roman" w:hAnsi="Times New Roman" w:cs="Times New Roman"/>
          <w:sz w:val="24"/>
          <w:szCs w:val="24"/>
        </w:rPr>
        <w:t>.</w:t>
      </w:r>
      <w:r w:rsidR="00AC4E88" w:rsidRPr="00E33F83">
        <w:rPr>
          <w:rFonts w:ascii="Times New Roman" w:eastAsia="Times New Roman" w:hAnsi="Times New Roman" w:cs="Times New Roman"/>
          <w:sz w:val="24"/>
          <w:szCs w:val="24"/>
        </w:rPr>
        <w:t xml:space="preserve"> </w:t>
      </w:r>
      <w:r w:rsidR="00AC4E88" w:rsidRPr="00AF23A5">
        <w:rPr>
          <w:rFonts w:ascii="Times New Roman" w:eastAsia="Times New Roman" w:hAnsi="Times New Roman" w:cs="Times New Roman"/>
          <w:sz w:val="24"/>
          <w:szCs w:val="24"/>
          <w:highlight w:val="magenta"/>
        </w:rPr>
        <w:t>However, by using</w:t>
      </w:r>
      <w:r w:rsidR="00C44390" w:rsidRPr="00AF23A5">
        <w:rPr>
          <w:rFonts w:ascii="Times New Roman" w:eastAsia="Times New Roman" w:hAnsi="Times New Roman" w:cs="Times New Roman"/>
          <w:sz w:val="24"/>
          <w:szCs w:val="24"/>
          <w:highlight w:val="magenta"/>
        </w:rPr>
        <w:t xml:space="preserve"> a computer</w:t>
      </w:r>
      <w:r w:rsidR="00AC4E88" w:rsidRPr="00AF23A5">
        <w:rPr>
          <w:rFonts w:ascii="Times New Roman" w:eastAsia="Times New Roman" w:hAnsi="Times New Roman" w:cs="Times New Roman"/>
          <w:sz w:val="24"/>
          <w:szCs w:val="24"/>
          <w:highlight w:val="magenta"/>
        </w:rPr>
        <w:t xml:space="preserve"> to </w:t>
      </w:r>
      <w:r w:rsidR="00D23583" w:rsidRPr="00AF23A5">
        <w:rPr>
          <w:rFonts w:ascii="Times New Roman" w:eastAsia="Times New Roman" w:hAnsi="Times New Roman" w:cs="Times New Roman"/>
          <w:sz w:val="24"/>
          <w:szCs w:val="24"/>
          <w:highlight w:val="magenta"/>
        </w:rPr>
        <w:t xml:space="preserve">do the actual </w:t>
      </w:r>
      <w:r w:rsidR="00D67B33">
        <w:rPr>
          <w:rFonts w:ascii="Times New Roman" w:eastAsia="Times New Roman" w:hAnsi="Times New Roman" w:cs="Times New Roman"/>
          <w:sz w:val="24"/>
          <w:szCs w:val="24"/>
          <w:highlight w:val="magenta"/>
        </w:rPr>
        <w:t>filtering and counting</w:t>
      </w:r>
      <w:r w:rsidR="00D23583" w:rsidRPr="00AF23A5">
        <w:rPr>
          <w:rFonts w:ascii="Times New Roman" w:eastAsia="Times New Roman" w:hAnsi="Times New Roman" w:cs="Times New Roman"/>
          <w:sz w:val="24"/>
          <w:szCs w:val="24"/>
          <w:highlight w:val="magenta"/>
        </w:rPr>
        <w:t xml:space="preserve"> for me,</w:t>
      </w:r>
      <w:r w:rsidR="00AC4E88" w:rsidRPr="00AF23A5">
        <w:rPr>
          <w:rFonts w:ascii="Times New Roman" w:eastAsia="Times New Roman" w:hAnsi="Times New Roman" w:cs="Times New Roman"/>
          <w:sz w:val="24"/>
          <w:szCs w:val="24"/>
          <w:highlight w:val="magenta"/>
        </w:rPr>
        <w:t xml:space="preserve"> I was able to look at a lot more information in a lot less time. I simply did what</w:t>
      </w:r>
      <w:r w:rsidR="00D67B33">
        <w:rPr>
          <w:rFonts w:ascii="Times New Roman" w:eastAsia="Times New Roman" w:hAnsi="Times New Roman" w:cs="Times New Roman"/>
          <w:sz w:val="24"/>
          <w:szCs w:val="24"/>
          <w:highlight w:val="magenta"/>
        </w:rPr>
        <w:t xml:space="preserve"> other</w:t>
      </w:r>
      <w:r w:rsidR="00AC4E88" w:rsidRPr="00AF23A5">
        <w:rPr>
          <w:rFonts w:ascii="Times New Roman" w:eastAsia="Times New Roman" w:hAnsi="Times New Roman" w:cs="Times New Roman"/>
          <w:sz w:val="24"/>
          <w:szCs w:val="24"/>
          <w:highlight w:val="magenta"/>
        </w:rPr>
        <w:t xml:space="preserve"> scholars have been doing for </w:t>
      </w:r>
      <w:r w:rsidR="00D67B33">
        <w:rPr>
          <w:rFonts w:ascii="Times New Roman" w:eastAsia="Times New Roman" w:hAnsi="Times New Roman" w:cs="Times New Roman"/>
          <w:sz w:val="24"/>
          <w:szCs w:val="24"/>
          <w:highlight w:val="magenta"/>
        </w:rPr>
        <w:t>years</w:t>
      </w:r>
      <w:r w:rsidR="00AC4E88" w:rsidRPr="00AF23A5">
        <w:rPr>
          <w:rFonts w:ascii="Times New Roman" w:eastAsia="Times New Roman" w:hAnsi="Times New Roman" w:cs="Times New Roman"/>
          <w:sz w:val="24"/>
          <w:szCs w:val="24"/>
          <w:highlight w:val="magenta"/>
        </w:rPr>
        <w:t xml:space="preserve">, but </w:t>
      </w:r>
      <w:r w:rsidR="00B950E1" w:rsidRPr="00AF23A5">
        <w:rPr>
          <w:rFonts w:ascii="Times New Roman" w:eastAsia="Times New Roman" w:hAnsi="Times New Roman" w:cs="Times New Roman"/>
          <w:sz w:val="24"/>
          <w:szCs w:val="24"/>
          <w:highlight w:val="magenta"/>
        </w:rPr>
        <w:t>much</w:t>
      </w:r>
      <w:r w:rsidR="00AC4E88" w:rsidRPr="00AF23A5">
        <w:rPr>
          <w:rFonts w:ascii="Times New Roman" w:eastAsia="Times New Roman" w:hAnsi="Times New Roman" w:cs="Times New Roman"/>
          <w:sz w:val="24"/>
          <w:szCs w:val="24"/>
          <w:highlight w:val="magenta"/>
        </w:rPr>
        <w:t xml:space="preserve"> more efficiently. </w:t>
      </w:r>
      <w:r w:rsidR="00715DBF" w:rsidRPr="00E33F83">
        <w:rPr>
          <w:rFonts w:ascii="Times New Roman" w:eastAsia="Times New Roman" w:hAnsi="Times New Roman" w:cs="Times New Roman"/>
          <w:sz w:val="24"/>
          <w:szCs w:val="24"/>
          <w:highlight w:val="magenta"/>
        </w:rPr>
        <w:t>The idea that computational history is somehow fundamentally different from “</w:t>
      </w:r>
      <w:r w:rsidR="00E33F83" w:rsidRPr="00E33F83">
        <w:rPr>
          <w:rFonts w:ascii="Times New Roman" w:eastAsia="Times New Roman" w:hAnsi="Times New Roman" w:cs="Times New Roman"/>
          <w:sz w:val="24"/>
          <w:szCs w:val="24"/>
          <w:highlight w:val="magenta"/>
        </w:rPr>
        <w:t>traditional</w:t>
      </w:r>
      <w:r w:rsidR="00715DBF" w:rsidRPr="00E33F83">
        <w:rPr>
          <w:rFonts w:ascii="Times New Roman" w:eastAsia="Times New Roman" w:hAnsi="Times New Roman" w:cs="Times New Roman"/>
          <w:sz w:val="24"/>
          <w:szCs w:val="24"/>
          <w:highlight w:val="magenta"/>
        </w:rPr>
        <w:t>” history is a fallacy.</w:t>
      </w:r>
      <w:r w:rsidR="00D23583" w:rsidRPr="00E33F83">
        <w:rPr>
          <w:rFonts w:ascii="Times New Roman" w:eastAsia="Times New Roman" w:hAnsi="Times New Roman" w:cs="Times New Roman"/>
          <w:sz w:val="24"/>
          <w:szCs w:val="24"/>
          <w:highlight w:val="magenta"/>
        </w:rPr>
        <w:t xml:space="preserve"> </w:t>
      </w:r>
      <w:r w:rsidR="00715DBF" w:rsidRPr="00E33F83">
        <w:rPr>
          <w:rFonts w:ascii="Times New Roman" w:eastAsia="Times New Roman" w:hAnsi="Times New Roman" w:cs="Times New Roman"/>
          <w:sz w:val="24"/>
          <w:szCs w:val="24"/>
          <w:highlight w:val="magenta"/>
        </w:rPr>
        <w:t>Computers</w:t>
      </w:r>
      <w:r w:rsidR="00D23583" w:rsidRPr="00E33F83">
        <w:rPr>
          <w:rFonts w:ascii="Times New Roman" w:eastAsia="Times New Roman" w:hAnsi="Times New Roman" w:cs="Times New Roman"/>
          <w:sz w:val="24"/>
          <w:szCs w:val="24"/>
          <w:highlight w:val="magenta"/>
        </w:rPr>
        <w:t xml:space="preserve"> are simply tools</w:t>
      </w:r>
      <w:r w:rsidR="00C44390" w:rsidRPr="00E33F83">
        <w:rPr>
          <w:rFonts w:ascii="Times New Roman" w:eastAsia="Times New Roman" w:hAnsi="Times New Roman" w:cs="Times New Roman"/>
          <w:sz w:val="24"/>
          <w:szCs w:val="24"/>
          <w:highlight w:val="magenta"/>
        </w:rPr>
        <w:t xml:space="preserve">, and just like any other tool, </w:t>
      </w:r>
      <w:r w:rsidR="00BD716A" w:rsidRPr="00E33F83">
        <w:rPr>
          <w:rFonts w:ascii="Times New Roman" w:eastAsia="Times New Roman" w:hAnsi="Times New Roman" w:cs="Times New Roman"/>
          <w:sz w:val="24"/>
          <w:szCs w:val="24"/>
          <w:highlight w:val="magenta"/>
        </w:rPr>
        <w:t>the</w:t>
      </w:r>
      <w:r w:rsidR="00AB1D1B" w:rsidRPr="00E33F83">
        <w:rPr>
          <w:rFonts w:ascii="Times New Roman" w:eastAsia="Times New Roman" w:hAnsi="Times New Roman" w:cs="Times New Roman"/>
          <w:sz w:val="24"/>
          <w:szCs w:val="24"/>
          <w:highlight w:val="magenta"/>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7219254A" w14:textId="01A642EB"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xml:space="preserve">– at this </w:t>
      </w:r>
      <w:r w:rsidR="0074115F" w:rsidRPr="00E33F83">
        <w:rPr>
          <w:rFonts w:ascii="Times New Roman" w:eastAsia="Times New Roman" w:hAnsi="Times New Roman" w:cs="Times New Roman"/>
          <w:sz w:val="24"/>
          <w:szCs w:val="24"/>
        </w:rPr>
        <w:t>point it is hard to say what will</w:t>
      </w:r>
      <w:r w:rsidR="00453C94" w:rsidRPr="00E33F83">
        <w:rPr>
          <w:rFonts w:ascii="Times New Roman" w:eastAsia="Times New Roman" w:hAnsi="Times New Roman" w:cs="Times New Roman"/>
          <w:sz w:val="24"/>
          <w:szCs w:val="24"/>
        </w:rPr>
        <w:t xml:space="preserve"> – but</w:t>
      </w:r>
      <w:r w:rsidR="00C05418" w:rsidRPr="00E33F83">
        <w:rPr>
          <w:rFonts w:ascii="Times New Roman" w:eastAsia="Times New Roman" w:hAnsi="Times New Roman" w:cs="Times New Roman"/>
          <w:sz w:val="24"/>
          <w:szCs w:val="24"/>
        </w:rPr>
        <w:t xml:space="preserve"> my work provides an interesting </w:t>
      </w:r>
      <w:r w:rsidR="00DF6517" w:rsidRPr="00E33F83">
        <w:rPr>
          <w:rFonts w:ascii="Times New Roman" w:eastAsia="Times New Roman" w:hAnsi="Times New Roman" w:cs="Times New Roman"/>
          <w:sz w:val="24"/>
          <w:szCs w:val="24"/>
        </w:rPr>
        <w:t xml:space="preserve">insight into the depositions contained in MS 609. </w:t>
      </w:r>
      <w:r w:rsidR="009E4C47" w:rsidRPr="00E33F83">
        <w:rPr>
          <w:rFonts w:ascii="Times New Roman" w:eastAsia="Times New Roman" w:hAnsi="Times New Roman" w:cs="Times New Roman"/>
          <w:sz w:val="24"/>
          <w:szCs w:val="24"/>
        </w:rPr>
        <w:t>The methodology of this thesis</w:t>
      </w:r>
      <w:r w:rsidR="003A755C" w:rsidRPr="00E33F83">
        <w:rPr>
          <w:rFonts w:ascii="Times New Roman" w:eastAsia="Times New Roman" w:hAnsi="Times New Roman" w:cs="Times New Roman"/>
          <w:sz w:val="24"/>
          <w:szCs w:val="24"/>
        </w:rPr>
        <w:t xml:space="preserve"> breaks </w:t>
      </w:r>
      <w:r w:rsidR="00453C94" w:rsidRPr="00E33F83">
        <w:rPr>
          <w:rFonts w:ascii="Times New Roman" w:eastAsia="Times New Roman" w:hAnsi="Times New Roman" w:cs="Times New Roman"/>
          <w:sz w:val="24"/>
          <w:szCs w:val="24"/>
        </w:rPr>
        <w:t xml:space="preserve">the </w:t>
      </w:r>
      <w:r w:rsidR="00DF6517" w:rsidRPr="00E33F83">
        <w:rPr>
          <w:rFonts w:ascii="Times New Roman" w:eastAsia="Times New Roman" w:hAnsi="Times New Roman" w:cs="Times New Roman"/>
          <w:sz w:val="24"/>
          <w:szCs w:val="24"/>
        </w:rPr>
        <w:t>depositions down into their segmented parts</w:t>
      </w:r>
      <w:r w:rsidR="009E4C47" w:rsidRPr="00E33F83">
        <w:rPr>
          <w:rFonts w:ascii="Times New Roman" w:eastAsia="Times New Roman" w:hAnsi="Times New Roman" w:cs="Times New Roman"/>
          <w:sz w:val="24"/>
          <w:szCs w:val="24"/>
        </w:rPr>
        <w:t>, isolating</w:t>
      </w:r>
      <w:r w:rsidR="00C41CD4" w:rsidRPr="00E33F83">
        <w:rPr>
          <w:rFonts w:ascii="Times New Roman" w:eastAsia="Times New Roman" w:hAnsi="Times New Roman" w:cs="Times New Roman"/>
          <w:sz w:val="24"/>
          <w:szCs w:val="24"/>
        </w:rPr>
        <w:t xml:space="preserve"> specific depositions based on their attributes</w:t>
      </w:r>
      <w:r w:rsidR="00DF6517" w:rsidRPr="00E33F83">
        <w:rPr>
          <w:rFonts w:ascii="Times New Roman" w:eastAsia="Times New Roman" w:hAnsi="Times New Roman" w:cs="Times New Roman"/>
          <w:sz w:val="24"/>
          <w:szCs w:val="24"/>
        </w:rPr>
        <w:t xml:space="preserve">, while still grounding </w:t>
      </w:r>
      <w:r w:rsidR="00DF6517" w:rsidRPr="00E33F83">
        <w:rPr>
          <w:rFonts w:ascii="Times New Roman" w:eastAsia="Times New Roman" w:hAnsi="Times New Roman" w:cs="Times New Roman"/>
          <w:sz w:val="24"/>
          <w:szCs w:val="24"/>
        </w:rPr>
        <w:lastRenderedPageBreak/>
        <w:t xml:space="preserve">each </w:t>
      </w:r>
      <w:r w:rsidR="00C41CD4" w:rsidRPr="00E33F83">
        <w:rPr>
          <w:rFonts w:ascii="Times New Roman" w:eastAsia="Times New Roman" w:hAnsi="Times New Roman" w:cs="Times New Roman"/>
          <w:sz w:val="24"/>
          <w:szCs w:val="24"/>
        </w:rPr>
        <w:t>deposition</w:t>
      </w:r>
      <w:r w:rsidR="00DF6517" w:rsidRPr="00E33F83">
        <w:rPr>
          <w:rFonts w:ascii="Times New Roman" w:eastAsia="Times New Roman" w:hAnsi="Times New Roman" w:cs="Times New Roman"/>
          <w:sz w:val="24"/>
          <w:szCs w:val="24"/>
        </w:rPr>
        <w:t xml:space="preserve"> in the manuscript as a whole. Moreover, by using </w:t>
      </w:r>
      <w:r w:rsidR="003A755C" w:rsidRPr="00E33F83">
        <w:rPr>
          <w:rFonts w:ascii="Times New Roman" w:eastAsia="Times New Roman" w:hAnsi="Times New Roman" w:cs="Times New Roman"/>
          <w:sz w:val="24"/>
          <w:szCs w:val="24"/>
        </w:rPr>
        <w:t>technology to accomplish this task I was able to look at much more da</w:t>
      </w:r>
      <w:r w:rsidR="00CE1409" w:rsidRPr="00E33F83">
        <w:rPr>
          <w:rFonts w:ascii="Times New Roman" w:eastAsia="Times New Roman" w:hAnsi="Times New Roman" w:cs="Times New Roman"/>
          <w:sz w:val="24"/>
          <w:szCs w:val="24"/>
        </w:rPr>
        <w:t>ta in much less time than other scholars</w:t>
      </w:r>
      <w:r w:rsidR="003A755C" w:rsidRPr="00E33F83">
        <w:rPr>
          <w:rFonts w:ascii="Times New Roman" w:eastAsia="Times New Roman" w:hAnsi="Times New Roman" w:cs="Times New Roman"/>
          <w:sz w:val="24"/>
          <w:szCs w:val="24"/>
        </w:rPr>
        <w:t xml:space="preserve"> have been able to in the past. </w:t>
      </w:r>
      <w:r w:rsidR="00CE1409" w:rsidRPr="00E33F83">
        <w:rPr>
          <w:rFonts w:ascii="Times New Roman" w:eastAsia="Times New Roman" w:hAnsi="Times New Roman" w:cs="Times New Roman"/>
          <w:sz w:val="24"/>
          <w:szCs w:val="24"/>
        </w:rPr>
        <w:t>What emerged</w:t>
      </w:r>
      <w:r w:rsidR="00CE1409"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77777777" w:rsidR="00D24153" w:rsidRDefault="00D24153" w:rsidP="00640932">
      <w:pPr>
        <w:rPr>
          <w:rFonts w:ascii="Times New Roman" w:eastAsia="Times New Roman" w:hAnsi="Times New Roman" w:cs="Times New Roman"/>
          <w:sz w:val="24"/>
          <w:szCs w:val="24"/>
        </w:rPr>
      </w:pP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58B3AB36" w14:textId="77777777" w:rsidR="00341DFD" w:rsidRDefault="00341DFD" w:rsidP="00640932">
      <w:pPr>
        <w:rPr>
          <w:rFonts w:ascii="Times New Roman" w:eastAsia="Times New Roman" w:hAnsi="Times New Roman" w:cs="Times New Roman"/>
          <w:sz w:val="24"/>
          <w:szCs w:val="24"/>
        </w:rPr>
      </w:pPr>
    </w:p>
    <w:p w14:paraId="773CE683" w14:textId="77777777" w:rsidR="0056540B" w:rsidRDefault="0056540B" w:rsidP="00640932">
      <w:pPr>
        <w:rPr>
          <w:rFonts w:ascii="Times New Roman" w:eastAsia="Times New Roman" w:hAnsi="Times New Roman" w:cs="Times New Roman"/>
          <w:sz w:val="24"/>
          <w:szCs w:val="24"/>
        </w:rPr>
      </w:pPr>
    </w:p>
    <w:p w14:paraId="76641890" w14:textId="77777777" w:rsidR="0056540B" w:rsidRDefault="0056540B" w:rsidP="00640932">
      <w:pPr>
        <w:rPr>
          <w:rFonts w:ascii="Times New Roman" w:eastAsia="Times New Roman" w:hAnsi="Times New Roman" w:cs="Times New Roman"/>
          <w:sz w:val="24"/>
          <w:szCs w:val="24"/>
        </w:rPr>
      </w:pPr>
    </w:p>
    <w:p w14:paraId="790F3895" w14:textId="77777777" w:rsidR="0056540B" w:rsidRDefault="0056540B" w:rsidP="00640932">
      <w:pPr>
        <w:rPr>
          <w:rFonts w:ascii="Times New Roman" w:eastAsia="Times New Roman" w:hAnsi="Times New Roman" w:cs="Times New Roman"/>
          <w:sz w:val="24"/>
          <w:szCs w:val="24"/>
        </w:rPr>
      </w:pPr>
    </w:p>
    <w:p w14:paraId="57FA9819" w14:textId="77777777" w:rsidR="0056540B" w:rsidRDefault="0056540B" w:rsidP="00640932">
      <w:pPr>
        <w:rPr>
          <w:rFonts w:ascii="Times New Roman" w:eastAsia="Times New Roman" w:hAnsi="Times New Roman" w:cs="Times New Roman"/>
          <w:sz w:val="24"/>
          <w:szCs w:val="24"/>
        </w:rPr>
      </w:pPr>
    </w:p>
    <w:p w14:paraId="7FBC285B" w14:textId="77777777" w:rsidR="00341DFD" w:rsidRDefault="00341DFD" w:rsidP="00640932">
      <w:pPr>
        <w:rPr>
          <w:rFonts w:ascii="Times New Roman" w:eastAsia="Times New Roman" w:hAnsi="Times New Roman" w:cs="Times New Roman"/>
          <w:sz w:val="24"/>
          <w:szCs w:val="24"/>
        </w:rPr>
      </w:pPr>
    </w:p>
    <w:p w14:paraId="706520EB" w14:textId="77777777" w:rsidR="00341DFD" w:rsidRDefault="00341DFD" w:rsidP="00640932">
      <w:pPr>
        <w:rPr>
          <w:rFonts w:ascii="Times New Roman" w:eastAsia="Times New Roman" w:hAnsi="Times New Roman" w:cs="Times New Roman"/>
          <w:sz w:val="24"/>
          <w:szCs w:val="24"/>
        </w:rPr>
      </w:pPr>
    </w:p>
    <w:p w14:paraId="2C00D772" w14:textId="77777777" w:rsidR="000E260F" w:rsidRDefault="000E260F" w:rsidP="00640932">
      <w:pPr>
        <w:rPr>
          <w:rFonts w:ascii="Times New Roman" w:eastAsia="Times New Roman" w:hAnsi="Times New Roman" w:cs="Times New Roman"/>
          <w:sz w:val="24"/>
          <w:szCs w:val="24"/>
        </w:rPr>
      </w:pPr>
    </w:p>
    <w:p w14:paraId="3755F98C" w14:textId="77777777" w:rsidR="000E260F" w:rsidRDefault="000E260F" w:rsidP="00640932">
      <w:pPr>
        <w:rPr>
          <w:rFonts w:ascii="Times New Roman" w:eastAsia="Times New Roman" w:hAnsi="Times New Roman" w:cs="Times New Roman"/>
          <w:sz w:val="24"/>
          <w:szCs w:val="24"/>
        </w:rPr>
      </w:pPr>
    </w:p>
    <w:p w14:paraId="78532E1F" w14:textId="77777777" w:rsidR="000E260F" w:rsidRDefault="000E260F" w:rsidP="00640932">
      <w:pPr>
        <w:rPr>
          <w:rFonts w:ascii="Times New Roman" w:eastAsia="Times New Roman" w:hAnsi="Times New Roman" w:cs="Times New Roman"/>
          <w:sz w:val="24"/>
          <w:szCs w:val="24"/>
        </w:rPr>
      </w:pPr>
    </w:p>
    <w:p w14:paraId="2A1D594B" w14:textId="77777777" w:rsidR="000E260F" w:rsidRDefault="000E260F" w:rsidP="00640932">
      <w:pPr>
        <w:rPr>
          <w:rFonts w:ascii="Times New Roman" w:eastAsia="Times New Roman" w:hAnsi="Times New Roman" w:cs="Times New Roman"/>
          <w:sz w:val="24"/>
          <w:szCs w:val="24"/>
        </w:rPr>
      </w:pPr>
    </w:p>
    <w:p w14:paraId="6F294993" w14:textId="77777777" w:rsidR="004F4606" w:rsidRDefault="004F4606" w:rsidP="00640932">
      <w:pPr>
        <w:rPr>
          <w:rFonts w:ascii="Times New Roman" w:eastAsia="Times New Roman" w:hAnsi="Times New Roman" w:cs="Times New Roman"/>
          <w:sz w:val="24"/>
          <w:szCs w:val="24"/>
        </w:rPr>
      </w:pPr>
    </w:p>
    <w:p w14:paraId="1DF87095" w14:textId="77777777" w:rsidR="004F4606" w:rsidRDefault="004F4606" w:rsidP="00640932">
      <w:pPr>
        <w:rPr>
          <w:rFonts w:ascii="Times New Roman" w:eastAsia="Times New Roman" w:hAnsi="Times New Roman" w:cs="Times New Roman"/>
          <w:sz w:val="24"/>
          <w:szCs w:val="24"/>
        </w:rPr>
      </w:pPr>
    </w:p>
    <w:p w14:paraId="5F03D86C" w14:textId="77777777" w:rsidR="004F4606" w:rsidRDefault="004F4606" w:rsidP="00640932">
      <w:pPr>
        <w:rPr>
          <w:rFonts w:ascii="Times New Roman" w:eastAsia="Times New Roman" w:hAnsi="Times New Roman" w:cs="Times New Roman"/>
          <w:sz w:val="24"/>
          <w:szCs w:val="24"/>
        </w:rPr>
      </w:pPr>
    </w:p>
    <w:p w14:paraId="31928E56" w14:textId="77777777" w:rsidR="004F4606" w:rsidRDefault="004F4606" w:rsidP="00640932">
      <w:pPr>
        <w:rPr>
          <w:rFonts w:ascii="Times New Roman" w:eastAsia="Times New Roman" w:hAnsi="Times New Roman" w:cs="Times New Roman"/>
          <w:sz w:val="24"/>
          <w:szCs w:val="24"/>
        </w:rPr>
      </w:pPr>
    </w:p>
    <w:p w14:paraId="6D44B2EA" w14:textId="77777777" w:rsidR="003A2C5B" w:rsidRDefault="003A2C5B" w:rsidP="003A2C5B">
      <w:pPr>
        <w:rPr>
          <w:rFonts w:ascii="Times New Roman" w:eastAsia="Times New Roman" w:hAnsi="Times New Roman" w:cs="Times New Roman"/>
          <w:sz w:val="24"/>
          <w:szCs w:val="24"/>
        </w:rPr>
      </w:pPr>
    </w:p>
    <w:p w14:paraId="75128D5E" w14:textId="77777777" w:rsidR="000C1D4B" w:rsidRDefault="000C1D4B"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78211F">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footerReference w:type="even" r:id="rId9"/>
          <w:footerReference w:type="default" r:id="rId10"/>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primo credidit hereticos esse bonos, et sunt V anni quod ultimo dimisit ipsam credulitatem .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sunt . Et fuit confessus fratriWilhelmo Arnaldi et socium suum, inquisitores, apud Tholosam et venit coram eis non citatus et fratri Ferrario apud Sayssac .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aforementioned heretics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r w:rsidRPr="0035045F">
              <w:rPr>
                <w:rFonts w:ascii="Times New Roman" w:eastAsiaTheme="minorHAnsi" w:hAnsi="Times New Roman" w:cs="Times New Roman"/>
                <w:color w:val="000000"/>
                <w:sz w:val="21"/>
                <w:szCs w:val="21"/>
                <w:lang w:val="en-US"/>
              </w:rPr>
              <w:lastRenderedPageBreak/>
              <w:t>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aforementioned heretics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170419">
      <w:pPr>
        <w:jc w:val="cente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p>
    <w:p w14:paraId="6851C949" w14:textId="766F51E6" w:rsidR="00632FE0" w:rsidRPr="0035045F" w:rsidRDefault="00687C1B" w:rsidP="0017041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bookmarkStart w:id="0" w:name="_GoBack"/>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2">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bookmarkEnd w:id="0"/>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170419">
          <w:pgSz w:w="12240" w:h="15840"/>
          <w:pgMar w:top="1440" w:right="1440" w:bottom="1440" w:left="1440" w:header="720" w:footer="720" w:gutter="0"/>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28332984" w14:textId="77777777" w:rsidR="00713E2E" w:rsidRDefault="00713E2E" w:rsidP="000060BE">
      <w:pPr>
        <w:jc w:val="center"/>
        <w:outlineLvl w:val="0"/>
        <w:rPr>
          <w:rFonts w:ascii="Times New Roman" w:eastAsia="Times New Roman" w:hAnsi="Times New Roman" w:cs="Times New Roman"/>
          <w:b/>
          <w:sz w:val="24"/>
          <w:szCs w:val="24"/>
        </w:rPr>
      </w:pPr>
    </w:p>
    <w:p w14:paraId="4DCC7555" w14:textId="154CE0BD"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Primary Sources</w:t>
      </w:r>
    </w:p>
    <w:p w14:paraId="37BE298D" w14:textId="77777777" w:rsidR="00713E2E" w:rsidRDefault="00713E2E" w:rsidP="00713E2E">
      <w:pPr>
        <w:outlineLvl w:val="0"/>
        <w:rPr>
          <w:rFonts w:ascii="Times New Roman" w:eastAsia="Times New Roman" w:hAnsi="Times New Roman" w:cs="Times New Roman"/>
          <w:sz w:val="24"/>
          <w:szCs w:val="24"/>
        </w:rPr>
      </w:pPr>
    </w:p>
    <w:p w14:paraId="5A98EDBC" w14:textId="77777777" w:rsidR="00713E2E" w:rsidRPr="00713E2E" w:rsidRDefault="00713E2E" w:rsidP="00713E2E">
      <w:pPr>
        <w:outlineLvl w:val="0"/>
        <w:rPr>
          <w:rFonts w:ascii="Times New Roman" w:eastAsia="Times New Roman" w:hAnsi="Times New Roman" w:cs="Times New Roman"/>
          <w:sz w:val="24"/>
          <w:szCs w:val="24"/>
        </w:rPr>
      </w:pPr>
    </w:p>
    <w:p w14:paraId="41567652" w14:textId="2D060274" w:rsidR="00713E2E" w:rsidRDefault="00713E2E" w:rsidP="00713E2E">
      <w:pP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Secondary Sources</w:t>
      </w:r>
    </w:p>
    <w:p w14:paraId="37E53E15" w14:textId="77777777" w:rsidR="00713E2E" w:rsidRPr="00713E2E" w:rsidRDefault="00713E2E" w:rsidP="00713E2E">
      <w:pPr>
        <w:outlineLvl w:val="0"/>
        <w:rPr>
          <w:rFonts w:ascii="Times New Roman" w:eastAsia="Times New Roman" w:hAnsi="Times New Roman" w:cs="Times New Roman"/>
          <w:sz w:val="24"/>
          <w:szCs w:val="24"/>
        </w:rPr>
      </w:pPr>
    </w:p>
    <w:sectPr w:rsidR="00713E2E" w:rsidRPr="00713E2E"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20E5AB" w14:textId="77777777" w:rsidR="00CF103F" w:rsidRDefault="00CF103F" w:rsidP="00632FE0">
      <w:pPr>
        <w:spacing w:line="240" w:lineRule="auto"/>
      </w:pPr>
      <w:r>
        <w:separator/>
      </w:r>
    </w:p>
  </w:endnote>
  <w:endnote w:type="continuationSeparator" w:id="0">
    <w:p w14:paraId="01C0F1C4" w14:textId="77777777" w:rsidR="00CF103F" w:rsidRDefault="00CF103F"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247EDD" w:rsidRDefault="00247EDD" w:rsidP="0042294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247EDD" w:rsidRDefault="00247EDD"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3985A" w14:textId="77777777" w:rsidR="00247EDD" w:rsidRPr="00EA1F98" w:rsidRDefault="00247EDD" w:rsidP="0042294D">
    <w:pPr>
      <w:pStyle w:val="Footer"/>
      <w:framePr w:wrap="none" w:vAnchor="text" w:hAnchor="margin" w:xAlign="center" w:y="1"/>
      <w:rPr>
        <w:rStyle w:val="PageNumber"/>
        <w:rFonts w:ascii="Times New Roman" w:hAnsi="Times New Roman" w:cs="Times New Roman"/>
        <w:sz w:val="24"/>
        <w:szCs w:val="24"/>
      </w:rPr>
    </w:pPr>
    <w:r w:rsidRPr="00EA1F98">
      <w:rPr>
        <w:rStyle w:val="PageNumber"/>
        <w:rFonts w:ascii="Times New Roman" w:hAnsi="Times New Roman" w:cs="Times New Roman"/>
        <w:sz w:val="24"/>
        <w:szCs w:val="24"/>
      </w:rPr>
      <w:fldChar w:fldCharType="begin"/>
    </w:r>
    <w:r w:rsidRPr="00EA1F98">
      <w:rPr>
        <w:rStyle w:val="PageNumber"/>
        <w:rFonts w:ascii="Times New Roman" w:hAnsi="Times New Roman" w:cs="Times New Roman"/>
        <w:sz w:val="24"/>
        <w:szCs w:val="24"/>
      </w:rPr>
      <w:instrText xml:space="preserve">PAGE  </w:instrText>
    </w:r>
    <w:r w:rsidRPr="00EA1F98">
      <w:rPr>
        <w:rStyle w:val="PageNumber"/>
        <w:rFonts w:ascii="Times New Roman" w:hAnsi="Times New Roman" w:cs="Times New Roman"/>
        <w:sz w:val="24"/>
        <w:szCs w:val="24"/>
      </w:rPr>
      <w:fldChar w:fldCharType="separate"/>
    </w:r>
    <w:r w:rsidR="000A4817">
      <w:rPr>
        <w:rStyle w:val="PageNumber"/>
        <w:rFonts w:ascii="Times New Roman" w:hAnsi="Times New Roman" w:cs="Times New Roman"/>
        <w:noProof/>
        <w:sz w:val="24"/>
        <w:szCs w:val="24"/>
      </w:rPr>
      <w:t>57</w:t>
    </w:r>
    <w:r w:rsidRPr="00EA1F98">
      <w:rPr>
        <w:rStyle w:val="PageNumber"/>
        <w:rFonts w:ascii="Times New Roman" w:hAnsi="Times New Roman" w:cs="Times New Roman"/>
        <w:sz w:val="24"/>
        <w:szCs w:val="24"/>
      </w:rPr>
      <w:fldChar w:fldCharType="end"/>
    </w:r>
  </w:p>
  <w:p w14:paraId="5F7C01F2" w14:textId="77777777" w:rsidR="00247EDD" w:rsidRPr="00EA1F98" w:rsidRDefault="00247EDD"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7DFFB3" w14:textId="77777777" w:rsidR="00CF103F" w:rsidRDefault="00CF103F" w:rsidP="00632FE0">
      <w:pPr>
        <w:spacing w:line="240" w:lineRule="auto"/>
      </w:pPr>
      <w:r>
        <w:separator/>
      </w:r>
    </w:p>
  </w:footnote>
  <w:footnote w:type="continuationSeparator" w:id="0">
    <w:p w14:paraId="790127E6" w14:textId="77777777" w:rsidR="00CF103F" w:rsidRDefault="00CF103F" w:rsidP="00632FE0">
      <w:pPr>
        <w:spacing w:line="240" w:lineRule="auto"/>
      </w:pPr>
      <w:r>
        <w:continuationSeparator/>
      </w:r>
    </w:p>
  </w:footnote>
  <w:footnote w:id="1">
    <w:p w14:paraId="2D28162D" w14:textId="2B57D099" w:rsidR="00247EDD" w:rsidRPr="00BB5169" w:rsidRDefault="00247EDD" w:rsidP="00D94C35">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Mark Gregory Pegg, </w:t>
      </w:r>
      <w:r w:rsidRPr="00BB5169">
        <w:rPr>
          <w:rFonts w:ascii="Times New Roman" w:eastAsia="Times New Roman" w:hAnsi="Times New Roman" w:cs="Times New Roman"/>
          <w:i/>
        </w:rPr>
        <w:t>The Corruption of Angels: The Great Inquisition of 1245-1246</w:t>
      </w:r>
      <w:r w:rsidRPr="00BB5169">
        <w:rPr>
          <w:rFonts w:ascii="Times New Roman" w:eastAsia="Times New Roman" w:hAnsi="Times New Roman" w:cs="Times New Roman"/>
        </w:rPr>
        <w:t xml:space="preserve">, (Princeton, NJ: Princeton University Press, 2001), p. 3. </w:t>
      </w:r>
      <w:r w:rsidRPr="00BB5169">
        <w:rPr>
          <w:rFonts w:ascii="Times New Roman" w:hAnsi="Times New Roman" w:cs="Times New Roman"/>
        </w:rPr>
        <w:t xml:space="preserve"> </w:t>
      </w:r>
      <w:r w:rsidRPr="00BB5169">
        <w:rPr>
          <w:rFonts w:ascii="Times New Roman" w:hAnsi="Times New Roman" w:cs="Times New Roman"/>
        </w:rPr>
        <w:tab/>
      </w:r>
    </w:p>
    <w:p w14:paraId="62EA4E94" w14:textId="77777777" w:rsidR="00247EDD" w:rsidRPr="00BB5169" w:rsidRDefault="00247EDD" w:rsidP="00D94C35">
      <w:pPr>
        <w:pStyle w:val="FootnoteText"/>
        <w:ind w:firstLine="720"/>
        <w:rPr>
          <w:rFonts w:ascii="Times New Roman" w:hAnsi="Times New Roman" w:cs="Times New Roman"/>
          <w:lang w:val="en-US"/>
        </w:rPr>
      </w:pPr>
    </w:p>
  </w:footnote>
  <w:footnote w:id="2">
    <w:p w14:paraId="464F7AE9" w14:textId="41E81817" w:rsidR="00247EDD" w:rsidRPr="00BB5169" w:rsidRDefault="00247EDD" w:rsidP="00CC0108">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45A58405" w14:textId="77777777" w:rsidR="00247EDD" w:rsidRPr="00BB5169" w:rsidRDefault="00247EDD" w:rsidP="00CC0108">
      <w:pPr>
        <w:pStyle w:val="FootnoteText"/>
        <w:ind w:firstLine="720"/>
        <w:rPr>
          <w:rFonts w:ascii="Times New Roman" w:hAnsi="Times New Roman" w:cs="Times New Roman"/>
          <w:lang w:val="en-US"/>
        </w:rPr>
      </w:pPr>
    </w:p>
  </w:footnote>
  <w:footnote w:id="3">
    <w:p w14:paraId="444FC43B" w14:textId="2375E269" w:rsidR="00247EDD" w:rsidRPr="00BB5169" w:rsidRDefault="00247EDD" w:rsidP="00CC0108">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32F9CBD1" w14:textId="77777777" w:rsidR="00247EDD" w:rsidRPr="00BB5169" w:rsidRDefault="00247EDD" w:rsidP="00CC0108">
      <w:pPr>
        <w:pStyle w:val="FootnoteText"/>
        <w:ind w:firstLine="720"/>
        <w:rPr>
          <w:rFonts w:ascii="Times New Roman" w:hAnsi="Times New Roman" w:cs="Times New Roman"/>
          <w:lang w:val="en-US"/>
        </w:rPr>
      </w:pPr>
    </w:p>
  </w:footnote>
  <w:footnote w:id="4">
    <w:p w14:paraId="0C597E02" w14:textId="77777777" w:rsidR="00247EDD" w:rsidRPr="00BB5169" w:rsidRDefault="00247EDD" w:rsidP="00412929">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w:t>
      </w:r>
    </w:p>
    <w:p w14:paraId="2C5C4D63" w14:textId="785588BE" w:rsidR="00247EDD" w:rsidRPr="00BB5169" w:rsidRDefault="00247EDD">
      <w:pPr>
        <w:pStyle w:val="FootnoteText"/>
        <w:rPr>
          <w:rFonts w:ascii="Times New Roman" w:hAnsi="Times New Roman" w:cs="Times New Roman"/>
          <w:lang w:val="en-US"/>
        </w:rPr>
      </w:pPr>
    </w:p>
  </w:footnote>
  <w:footnote w:id="5">
    <w:p w14:paraId="1F357281" w14:textId="45C2CD9B" w:rsidR="00247EDD" w:rsidRPr="00BB5169" w:rsidRDefault="00247EDD" w:rsidP="0041292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p.5.</w:t>
      </w:r>
    </w:p>
    <w:p w14:paraId="5D567EFC" w14:textId="77777777" w:rsidR="00247EDD" w:rsidRPr="00BB5169" w:rsidRDefault="00247EDD" w:rsidP="00412929">
      <w:pPr>
        <w:pStyle w:val="FootnoteText"/>
        <w:ind w:firstLine="720"/>
        <w:rPr>
          <w:rFonts w:ascii="Times New Roman" w:hAnsi="Times New Roman" w:cs="Times New Roman"/>
          <w:lang w:val="en-US"/>
        </w:rPr>
      </w:pPr>
    </w:p>
  </w:footnote>
  <w:footnote w:id="6">
    <w:p w14:paraId="5292A4FD" w14:textId="1AD60DA3" w:rsidR="00247EDD" w:rsidRPr="00BB5169" w:rsidRDefault="00247EDD" w:rsidP="0041292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6.</w:t>
      </w:r>
    </w:p>
    <w:p w14:paraId="20D5E635" w14:textId="77777777" w:rsidR="00247EDD" w:rsidRPr="00BB5169" w:rsidRDefault="00247EDD" w:rsidP="00412929">
      <w:pPr>
        <w:pStyle w:val="FootnoteText"/>
        <w:ind w:firstLine="720"/>
        <w:rPr>
          <w:rFonts w:ascii="Times New Roman" w:hAnsi="Times New Roman" w:cs="Times New Roman"/>
          <w:lang w:val="en-US"/>
        </w:rPr>
      </w:pPr>
    </w:p>
  </w:footnote>
  <w:footnote w:id="7">
    <w:p w14:paraId="5EEB51D8" w14:textId="77777777" w:rsidR="00247EDD" w:rsidRPr="00BB5169" w:rsidRDefault="00247EDD" w:rsidP="00412929">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p. 7. </w:t>
      </w:r>
    </w:p>
    <w:p w14:paraId="0EF229D0" w14:textId="1B5C8454" w:rsidR="00247EDD" w:rsidRPr="00BB5169" w:rsidRDefault="00247EDD">
      <w:pPr>
        <w:pStyle w:val="FootnoteText"/>
        <w:rPr>
          <w:rFonts w:ascii="Times New Roman" w:hAnsi="Times New Roman" w:cs="Times New Roman"/>
          <w:lang w:val="en-US"/>
        </w:rPr>
      </w:pPr>
    </w:p>
  </w:footnote>
  <w:footnote w:id="8">
    <w:p w14:paraId="69DD937A" w14:textId="165F0616" w:rsidR="00247EDD" w:rsidRPr="00BB5169" w:rsidRDefault="00247EDD" w:rsidP="0041292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7-8.</w:t>
      </w:r>
    </w:p>
    <w:p w14:paraId="56794405" w14:textId="77777777" w:rsidR="00247EDD" w:rsidRPr="00BB5169" w:rsidRDefault="00247EDD" w:rsidP="00412929">
      <w:pPr>
        <w:pStyle w:val="FootnoteText"/>
        <w:ind w:firstLine="720"/>
        <w:rPr>
          <w:rFonts w:ascii="Times New Roman" w:hAnsi="Times New Roman" w:cs="Times New Roman"/>
          <w:lang w:val="en-US"/>
        </w:rPr>
      </w:pPr>
    </w:p>
  </w:footnote>
  <w:footnote w:id="9">
    <w:p w14:paraId="4D2C8392" w14:textId="2F2540F5" w:rsidR="00247EDD" w:rsidRPr="00BB5169" w:rsidRDefault="00247EDD" w:rsidP="0041292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8-9.</w:t>
      </w:r>
    </w:p>
    <w:p w14:paraId="2051734A" w14:textId="77777777" w:rsidR="00247EDD" w:rsidRPr="00BB5169" w:rsidRDefault="00247EDD" w:rsidP="00412929">
      <w:pPr>
        <w:pStyle w:val="FootnoteText"/>
        <w:ind w:firstLine="720"/>
        <w:rPr>
          <w:rFonts w:ascii="Times New Roman" w:hAnsi="Times New Roman" w:cs="Times New Roman"/>
          <w:lang w:val="en-US"/>
        </w:rPr>
      </w:pPr>
    </w:p>
  </w:footnote>
  <w:footnote w:id="10">
    <w:p w14:paraId="0C9B467A" w14:textId="77777777" w:rsidR="00247EDD" w:rsidRPr="00BB5169" w:rsidRDefault="00247EDD" w:rsidP="00073989">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9.</w:t>
      </w:r>
    </w:p>
    <w:p w14:paraId="2E5A268D" w14:textId="4F093647" w:rsidR="00247EDD" w:rsidRPr="00BB5169" w:rsidRDefault="00247EDD">
      <w:pPr>
        <w:pStyle w:val="FootnoteText"/>
        <w:rPr>
          <w:rFonts w:ascii="Times New Roman" w:hAnsi="Times New Roman" w:cs="Times New Roman"/>
          <w:lang w:val="en-US"/>
        </w:rPr>
      </w:pPr>
    </w:p>
  </w:footnote>
  <w:footnote w:id="11">
    <w:p w14:paraId="39D751E5" w14:textId="5D19F20F" w:rsidR="00247EDD" w:rsidRPr="00BB5169" w:rsidRDefault="00247EDD" w:rsidP="0007398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Ibid., 11.  </w:t>
      </w:r>
    </w:p>
    <w:p w14:paraId="476811AD" w14:textId="77777777" w:rsidR="00247EDD" w:rsidRPr="00BB5169" w:rsidRDefault="00247EDD" w:rsidP="00073989">
      <w:pPr>
        <w:pStyle w:val="FootnoteText"/>
        <w:ind w:firstLine="720"/>
        <w:rPr>
          <w:rFonts w:ascii="Times New Roman" w:hAnsi="Times New Roman" w:cs="Times New Roman"/>
          <w:lang w:val="en-US"/>
        </w:rPr>
      </w:pPr>
    </w:p>
  </w:footnote>
  <w:footnote w:id="12">
    <w:p w14:paraId="2314B463" w14:textId="77777777" w:rsidR="00247EDD" w:rsidRPr="00BB5169" w:rsidRDefault="00247EDD" w:rsidP="00073989">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12. </w:t>
      </w:r>
    </w:p>
    <w:p w14:paraId="4377FB3E" w14:textId="0D8B0DC3" w:rsidR="00247EDD" w:rsidRPr="00BB5169" w:rsidRDefault="00247EDD">
      <w:pPr>
        <w:pStyle w:val="FootnoteText"/>
        <w:rPr>
          <w:rFonts w:ascii="Times New Roman" w:hAnsi="Times New Roman" w:cs="Times New Roman"/>
          <w:lang w:val="en-US"/>
        </w:rPr>
      </w:pPr>
    </w:p>
  </w:footnote>
  <w:footnote w:id="13">
    <w:p w14:paraId="589154A1" w14:textId="16C0183E" w:rsidR="00247EDD" w:rsidRPr="00BB5169" w:rsidRDefault="00247EDD" w:rsidP="0007398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626EB7B9" w14:textId="77777777" w:rsidR="00247EDD" w:rsidRPr="00BB5169" w:rsidRDefault="00247EDD" w:rsidP="00073989">
      <w:pPr>
        <w:pStyle w:val="FootnoteText"/>
        <w:ind w:firstLine="720"/>
        <w:rPr>
          <w:rFonts w:ascii="Times New Roman" w:hAnsi="Times New Roman" w:cs="Times New Roman"/>
          <w:lang w:val="en-US"/>
        </w:rPr>
      </w:pPr>
    </w:p>
  </w:footnote>
  <w:footnote w:id="14">
    <w:p w14:paraId="06B45DD4" w14:textId="79E45EF1" w:rsidR="00247EDD" w:rsidRPr="00BB5169" w:rsidRDefault="00247EDD" w:rsidP="0007398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13.</w:t>
      </w:r>
    </w:p>
    <w:p w14:paraId="491B3C8F" w14:textId="77777777" w:rsidR="00247EDD" w:rsidRPr="00BB5169" w:rsidRDefault="00247EDD" w:rsidP="00073989">
      <w:pPr>
        <w:pStyle w:val="FootnoteText"/>
        <w:ind w:firstLine="720"/>
        <w:rPr>
          <w:rFonts w:ascii="Times New Roman" w:hAnsi="Times New Roman" w:cs="Times New Roman"/>
          <w:lang w:val="en-US"/>
        </w:rPr>
      </w:pPr>
    </w:p>
  </w:footnote>
  <w:footnote w:id="15">
    <w:p w14:paraId="61C932EC" w14:textId="7C952A5B" w:rsidR="00247EDD" w:rsidRPr="00BB5169" w:rsidRDefault="00247EDD" w:rsidP="0007398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0186D634" w14:textId="77777777" w:rsidR="00247EDD" w:rsidRPr="00BB5169" w:rsidRDefault="00247EDD" w:rsidP="00073989">
      <w:pPr>
        <w:pStyle w:val="FootnoteText"/>
        <w:ind w:firstLine="720"/>
        <w:rPr>
          <w:rFonts w:ascii="Times New Roman" w:hAnsi="Times New Roman" w:cs="Times New Roman"/>
          <w:lang w:val="en-US"/>
        </w:rPr>
      </w:pPr>
    </w:p>
  </w:footnote>
  <w:footnote w:id="16">
    <w:p w14:paraId="2BF85C03" w14:textId="77777777" w:rsidR="00247EDD" w:rsidRPr="00BB5169" w:rsidRDefault="00247EDD" w:rsidP="00073989">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39FA1FE4" w14:textId="416F26F4" w:rsidR="00247EDD" w:rsidRPr="00BB5169" w:rsidRDefault="00247EDD">
      <w:pPr>
        <w:pStyle w:val="FootnoteText"/>
        <w:rPr>
          <w:rFonts w:ascii="Times New Roman" w:hAnsi="Times New Roman" w:cs="Times New Roman"/>
          <w:lang w:val="en-US"/>
        </w:rPr>
      </w:pPr>
    </w:p>
  </w:footnote>
  <w:footnote w:id="17">
    <w:p w14:paraId="206E52DF" w14:textId="77777777" w:rsidR="00247EDD" w:rsidRPr="00BB5169" w:rsidRDefault="00247EDD" w:rsidP="002C6AF4">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pp. 13-14.</w:t>
      </w:r>
    </w:p>
    <w:p w14:paraId="161C69F8" w14:textId="14005D40" w:rsidR="00247EDD" w:rsidRPr="00BB5169" w:rsidRDefault="00247EDD">
      <w:pPr>
        <w:pStyle w:val="FootnoteText"/>
        <w:rPr>
          <w:rFonts w:ascii="Times New Roman" w:hAnsi="Times New Roman" w:cs="Times New Roman"/>
          <w:lang w:val="en-US"/>
        </w:rPr>
      </w:pPr>
    </w:p>
  </w:footnote>
  <w:footnote w:id="18">
    <w:p w14:paraId="7D204820" w14:textId="740090EE" w:rsidR="00247EDD" w:rsidRPr="00BB5169" w:rsidRDefault="00247EDD" w:rsidP="002C6AF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14.</w:t>
      </w:r>
    </w:p>
    <w:p w14:paraId="54C4FF88" w14:textId="77777777" w:rsidR="00247EDD" w:rsidRPr="00BB5169" w:rsidRDefault="00247EDD" w:rsidP="002C6AF4">
      <w:pPr>
        <w:pStyle w:val="FootnoteText"/>
        <w:ind w:firstLine="720"/>
        <w:rPr>
          <w:rFonts w:ascii="Times New Roman" w:hAnsi="Times New Roman" w:cs="Times New Roman"/>
          <w:lang w:val="en-US"/>
        </w:rPr>
      </w:pPr>
    </w:p>
  </w:footnote>
  <w:footnote w:id="19">
    <w:p w14:paraId="567CE8E8" w14:textId="77777777" w:rsidR="00247EDD" w:rsidRPr="00BB5169" w:rsidRDefault="00247EDD" w:rsidP="002C6AF4">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p. 29.</w:t>
      </w:r>
    </w:p>
    <w:p w14:paraId="5F361C42" w14:textId="6BA49D16" w:rsidR="00247EDD" w:rsidRPr="00BB5169" w:rsidRDefault="00247EDD">
      <w:pPr>
        <w:pStyle w:val="FootnoteText"/>
        <w:rPr>
          <w:rFonts w:ascii="Times New Roman" w:hAnsi="Times New Roman" w:cs="Times New Roman"/>
          <w:lang w:val="en-US"/>
        </w:rPr>
      </w:pPr>
    </w:p>
  </w:footnote>
  <w:footnote w:id="20">
    <w:p w14:paraId="0E5119A2" w14:textId="22B8E29A" w:rsidR="00247EDD" w:rsidRPr="00BB5169" w:rsidRDefault="00247EDD" w:rsidP="002C6AF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29D9FC3F" w14:textId="77777777" w:rsidR="00247EDD" w:rsidRPr="00BB5169" w:rsidRDefault="00247EDD" w:rsidP="002C6AF4">
      <w:pPr>
        <w:pStyle w:val="FootnoteText"/>
        <w:ind w:firstLine="720"/>
        <w:rPr>
          <w:rFonts w:ascii="Times New Roman" w:hAnsi="Times New Roman" w:cs="Times New Roman"/>
          <w:lang w:val="en-US"/>
        </w:rPr>
      </w:pPr>
    </w:p>
  </w:footnote>
  <w:footnote w:id="21">
    <w:p w14:paraId="6F69592B" w14:textId="64D8FCCE" w:rsidR="00247EDD" w:rsidRPr="00BB5169" w:rsidRDefault="00247EDD" w:rsidP="002C6AF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73675DFF" w14:textId="77777777" w:rsidR="00247EDD" w:rsidRPr="00BB5169" w:rsidRDefault="00247EDD" w:rsidP="002C6AF4">
      <w:pPr>
        <w:pStyle w:val="FootnoteText"/>
        <w:ind w:firstLine="720"/>
        <w:rPr>
          <w:rFonts w:ascii="Times New Roman" w:hAnsi="Times New Roman" w:cs="Times New Roman"/>
          <w:lang w:val="en-US"/>
        </w:rPr>
      </w:pPr>
    </w:p>
  </w:footnote>
  <w:footnote w:id="22">
    <w:p w14:paraId="652BF5B2" w14:textId="2E45599D"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2BCFE260" w14:textId="77777777" w:rsidR="00247EDD" w:rsidRPr="00BB5169" w:rsidRDefault="00247EDD" w:rsidP="00FB4EC2">
      <w:pPr>
        <w:pStyle w:val="FootnoteText"/>
        <w:ind w:firstLine="720"/>
        <w:rPr>
          <w:rFonts w:ascii="Times New Roman" w:hAnsi="Times New Roman" w:cs="Times New Roman"/>
          <w:lang w:val="en-US"/>
        </w:rPr>
      </w:pPr>
    </w:p>
  </w:footnote>
  <w:footnote w:id="23">
    <w:p w14:paraId="6C1AFAE7" w14:textId="74CDD9DE"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31.</w:t>
      </w:r>
    </w:p>
    <w:p w14:paraId="51B870E5" w14:textId="77777777" w:rsidR="00247EDD" w:rsidRPr="00BB5169" w:rsidRDefault="00247EDD" w:rsidP="00FB4EC2">
      <w:pPr>
        <w:pStyle w:val="FootnoteText"/>
        <w:ind w:firstLine="720"/>
        <w:rPr>
          <w:rFonts w:ascii="Times New Roman" w:hAnsi="Times New Roman" w:cs="Times New Roman"/>
          <w:lang w:val="en-US"/>
        </w:rPr>
      </w:pPr>
    </w:p>
  </w:footnote>
  <w:footnote w:id="24">
    <w:p w14:paraId="5061C467" w14:textId="77777777" w:rsidR="00247EDD" w:rsidRPr="00BB5169" w:rsidRDefault="00247EDD" w:rsidP="00FB4EC2">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06BF0FF2" w14:textId="4D407480" w:rsidR="00247EDD" w:rsidRPr="00BB5169" w:rsidRDefault="00247EDD">
      <w:pPr>
        <w:pStyle w:val="FootnoteText"/>
        <w:rPr>
          <w:rFonts w:ascii="Times New Roman" w:hAnsi="Times New Roman" w:cs="Times New Roman"/>
          <w:lang w:val="en-US"/>
        </w:rPr>
      </w:pPr>
    </w:p>
  </w:footnote>
  <w:footnote w:id="25">
    <w:p w14:paraId="252D6FEF" w14:textId="62978E72"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36.</w:t>
      </w:r>
    </w:p>
    <w:p w14:paraId="6B408673" w14:textId="77777777" w:rsidR="00247EDD" w:rsidRPr="00BB5169" w:rsidRDefault="00247EDD" w:rsidP="00FB4EC2">
      <w:pPr>
        <w:pStyle w:val="FootnoteText"/>
        <w:ind w:firstLine="720"/>
        <w:rPr>
          <w:rFonts w:ascii="Times New Roman" w:hAnsi="Times New Roman" w:cs="Times New Roman"/>
          <w:lang w:val="en-US"/>
        </w:rPr>
      </w:pPr>
    </w:p>
  </w:footnote>
  <w:footnote w:id="26">
    <w:p w14:paraId="48E7E936" w14:textId="19EED5C1"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36-37.</w:t>
      </w:r>
    </w:p>
    <w:p w14:paraId="7A8B16EA" w14:textId="77777777" w:rsidR="00247EDD" w:rsidRPr="00BB5169" w:rsidRDefault="00247EDD" w:rsidP="00FB4EC2">
      <w:pPr>
        <w:pStyle w:val="FootnoteText"/>
        <w:ind w:firstLine="720"/>
        <w:rPr>
          <w:rFonts w:ascii="Times New Roman" w:hAnsi="Times New Roman" w:cs="Times New Roman"/>
          <w:lang w:val="en-US"/>
        </w:rPr>
      </w:pPr>
    </w:p>
  </w:footnote>
  <w:footnote w:id="27">
    <w:p w14:paraId="2DDDBE49" w14:textId="1802EB0F"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37.</w:t>
      </w:r>
    </w:p>
    <w:p w14:paraId="43004C01" w14:textId="77777777" w:rsidR="00247EDD" w:rsidRPr="00BB5169" w:rsidRDefault="00247EDD" w:rsidP="00FB4EC2">
      <w:pPr>
        <w:pStyle w:val="FootnoteText"/>
        <w:ind w:firstLine="720"/>
        <w:rPr>
          <w:rFonts w:ascii="Times New Roman" w:hAnsi="Times New Roman" w:cs="Times New Roman"/>
          <w:lang w:val="en-US"/>
        </w:rPr>
      </w:pPr>
    </w:p>
  </w:footnote>
  <w:footnote w:id="28">
    <w:p w14:paraId="449CD2F6" w14:textId="4D475564" w:rsidR="00247EDD" w:rsidRPr="00BB5169" w:rsidRDefault="00247EDD" w:rsidP="00FB4EC2">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Ibid., p. 38. </w:t>
      </w:r>
    </w:p>
    <w:p w14:paraId="7D9A2857" w14:textId="77777777" w:rsidR="00247EDD" w:rsidRPr="00BB5169" w:rsidRDefault="00247EDD" w:rsidP="00FB4EC2">
      <w:pPr>
        <w:pStyle w:val="FootnoteText"/>
        <w:ind w:firstLine="720"/>
        <w:rPr>
          <w:rFonts w:ascii="Times New Roman" w:hAnsi="Times New Roman" w:cs="Times New Roman"/>
          <w:lang w:val="en-US"/>
        </w:rPr>
      </w:pPr>
    </w:p>
  </w:footnote>
  <w:footnote w:id="29">
    <w:p w14:paraId="348950C9" w14:textId="26E79AB9" w:rsidR="00247EDD" w:rsidRPr="00BB5169" w:rsidRDefault="00247EDD" w:rsidP="00FB4EC2">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7374C240" w14:textId="61F73FAA" w:rsidR="00247EDD" w:rsidRPr="00BB5169" w:rsidRDefault="00247EDD" w:rsidP="00FB4EC2">
      <w:pPr>
        <w:pStyle w:val="FootnoteText"/>
        <w:ind w:firstLine="720"/>
        <w:rPr>
          <w:rFonts w:ascii="Times New Roman" w:hAnsi="Times New Roman" w:cs="Times New Roman"/>
          <w:lang w:val="en-US"/>
        </w:rPr>
      </w:pPr>
    </w:p>
  </w:footnote>
  <w:footnote w:id="30">
    <w:p w14:paraId="0EAF68B1" w14:textId="6AE53B03" w:rsidR="00247EDD" w:rsidRPr="00BB5169" w:rsidRDefault="00247EDD" w:rsidP="004A0113">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2595058F" w14:textId="4B5FB725" w:rsidR="00247EDD" w:rsidRPr="00BB5169" w:rsidRDefault="00247EDD">
      <w:pPr>
        <w:pStyle w:val="FootnoteText"/>
        <w:rPr>
          <w:rFonts w:ascii="Times New Roman" w:hAnsi="Times New Roman" w:cs="Times New Roman"/>
          <w:lang w:val="en-US"/>
        </w:rPr>
      </w:pPr>
    </w:p>
  </w:footnote>
  <w:footnote w:id="31">
    <w:p w14:paraId="42C32F8D" w14:textId="5CFB5704" w:rsidR="00247EDD" w:rsidRPr="00BB5169" w:rsidRDefault="00247EDD" w:rsidP="004A011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31462E4A" w14:textId="77777777" w:rsidR="00247EDD" w:rsidRPr="00BB5169" w:rsidRDefault="00247EDD" w:rsidP="004A0113">
      <w:pPr>
        <w:pStyle w:val="FootnoteText"/>
        <w:ind w:firstLine="720"/>
        <w:rPr>
          <w:rFonts w:ascii="Times New Roman" w:hAnsi="Times New Roman" w:cs="Times New Roman"/>
          <w:lang w:val="en-US"/>
        </w:rPr>
      </w:pPr>
    </w:p>
  </w:footnote>
  <w:footnote w:id="32">
    <w:p w14:paraId="3F5CE3AF" w14:textId="78661661" w:rsidR="00247EDD" w:rsidRPr="00BB5169" w:rsidRDefault="00247EDD" w:rsidP="00D8616B">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7F758B09" w14:textId="77777777" w:rsidR="00247EDD" w:rsidRPr="00BB5169" w:rsidRDefault="00247EDD" w:rsidP="00D8616B">
      <w:pPr>
        <w:pStyle w:val="FootnoteText"/>
        <w:ind w:firstLine="720"/>
        <w:rPr>
          <w:rFonts w:ascii="Times New Roman" w:hAnsi="Times New Roman" w:cs="Times New Roman"/>
          <w:lang w:val="en-US"/>
        </w:rPr>
      </w:pPr>
    </w:p>
  </w:footnote>
  <w:footnote w:id="33">
    <w:p w14:paraId="3B4B980C" w14:textId="57ACD50B" w:rsidR="00247EDD" w:rsidRPr="00BB5169" w:rsidRDefault="00247EDD" w:rsidP="00D8616B">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39.</w:t>
      </w:r>
    </w:p>
    <w:p w14:paraId="1C75E45C" w14:textId="77777777" w:rsidR="00247EDD" w:rsidRPr="00BB5169" w:rsidRDefault="00247EDD" w:rsidP="00D8616B">
      <w:pPr>
        <w:pStyle w:val="FootnoteText"/>
        <w:ind w:firstLine="720"/>
        <w:rPr>
          <w:rFonts w:ascii="Times New Roman" w:hAnsi="Times New Roman" w:cs="Times New Roman"/>
          <w:lang w:val="en-US"/>
        </w:rPr>
      </w:pPr>
    </w:p>
  </w:footnote>
  <w:footnote w:id="34">
    <w:p w14:paraId="656B3C20" w14:textId="75CECB1A" w:rsidR="00247EDD" w:rsidRPr="00BB5169" w:rsidRDefault="00247EDD" w:rsidP="00D8616B">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1952A626" w14:textId="77777777" w:rsidR="00247EDD" w:rsidRPr="00BB5169" w:rsidRDefault="00247EDD" w:rsidP="00D8616B">
      <w:pPr>
        <w:pStyle w:val="FootnoteText"/>
        <w:ind w:firstLine="720"/>
        <w:rPr>
          <w:rFonts w:ascii="Times New Roman" w:hAnsi="Times New Roman" w:cs="Times New Roman"/>
          <w:lang w:val="en-US"/>
        </w:rPr>
      </w:pPr>
    </w:p>
  </w:footnote>
  <w:footnote w:id="35">
    <w:p w14:paraId="33217BD8" w14:textId="437BC5D3" w:rsidR="00247EDD" w:rsidRPr="00BB5169" w:rsidRDefault="00247EDD" w:rsidP="00D8616B">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7E60FACD" w14:textId="77777777" w:rsidR="00247EDD" w:rsidRPr="00BB5169" w:rsidRDefault="00247EDD" w:rsidP="00D8616B">
      <w:pPr>
        <w:pStyle w:val="FootnoteText"/>
        <w:ind w:firstLine="720"/>
        <w:rPr>
          <w:rFonts w:ascii="Times New Roman" w:hAnsi="Times New Roman" w:cs="Times New Roman"/>
          <w:lang w:val="en-US"/>
        </w:rPr>
      </w:pPr>
    </w:p>
  </w:footnote>
  <w:footnote w:id="36">
    <w:p w14:paraId="603DB43D" w14:textId="77777777" w:rsidR="00247EDD" w:rsidRPr="00BB5169" w:rsidRDefault="00247EDD" w:rsidP="00B43C09">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p. 45.</w:t>
      </w:r>
    </w:p>
    <w:p w14:paraId="45B1DBFF" w14:textId="7DB6191C" w:rsidR="00247EDD" w:rsidRPr="00BB5169" w:rsidRDefault="00247EDD">
      <w:pPr>
        <w:pStyle w:val="FootnoteText"/>
        <w:rPr>
          <w:rFonts w:ascii="Times New Roman" w:hAnsi="Times New Roman" w:cs="Times New Roman"/>
          <w:lang w:val="en-US"/>
        </w:rPr>
      </w:pPr>
    </w:p>
  </w:footnote>
  <w:footnote w:id="37">
    <w:p w14:paraId="2DDF6476" w14:textId="77777777" w:rsidR="00247EDD" w:rsidRPr="00BB5169" w:rsidRDefault="00247EDD" w:rsidP="00B43C09">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w:t>
      </w:r>
    </w:p>
    <w:p w14:paraId="54DA0F14" w14:textId="1B1A2DE6" w:rsidR="00247EDD" w:rsidRPr="00BB5169" w:rsidRDefault="00247EDD">
      <w:pPr>
        <w:pStyle w:val="FootnoteText"/>
        <w:rPr>
          <w:rFonts w:ascii="Times New Roman" w:hAnsi="Times New Roman" w:cs="Times New Roman"/>
          <w:lang w:val="en-US"/>
        </w:rPr>
      </w:pPr>
    </w:p>
  </w:footnote>
  <w:footnote w:id="38">
    <w:p w14:paraId="41CDE7BF" w14:textId="6B88F160" w:rsidR="00247EDD" w:rsidRPr="00BB5169" w:rsidRDefault="00247EDD" w:rsidP="00B43C0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45.</w:t>
      </w:r>
    </w:p>
    <w:p w14:paraId="7FA0EA74" w14:textId="77777777" w:rsidR="00247EDD" w:rsidRPr="00BB5169" w:rsidRDefault="00247EDD" w:rsidP="00B43C09">
      <w:pPr>
        <w:pStyle w:val="FootnoteText"/>
        <w:ind w:firstLine="720"/>
        <w:rPr>
          <w:rFonts w:ascii="Times New Roman" w:hAnsi="Times New Roman" w:cs="Times New Roman"/>
          <w:lang w:val="en-US"/>
        </w:rPr>
      </w:pPr>
    </w:p>
  </w:footnote>
  <w:footnote w:id="39">
    <w:p w14:paraId="2BC633B6" w14:textId="079DB93B" w:rsidR="00247EDD" w:rsidRPr="00BB5169" w:rsidRDefault="00247EDD" w:rsidP="00B43C09">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20.</w:t>
      </w:r>
    </w:p>
    <w:p w14:paraId="48D7CD2C" w14:textId="77777777" w:rsidR="00247EDD" w:rsidRPr="00BB5169" w:rsidRDefault="00247EDD" w:rsidP="00B43C09">
      <w:pPr>
        <w:pStyle w:val="FootnoteText"/>
        <w:ind w:firstLine="720"/>
        <w:rPr>
          <w:rFonts w:ascii="Times New Roman" w:hAnsi="Times New Roman" w:cs="Times New Roman"/>
          <w:lang w:val="en-US"/>
        </w:rPr>
      </w:pPr>
    </w:p>
  </w:footnote>
  <w:footnote w:id="40">
    <w:p w14:paraId="133261E9" w14:textId="049D056B" w:rsidR="00247EDD" w:rsidRPr="00BB5169" w:rsidRDefault="00247EDD" w:rsidP="00B43C09">
      <w:pPr>
        <w:pStyle w:val="FootnoteText"/>
        <w:tabs>
          <w:tab w:val="left" w:pos="2048"/>
        </w:tabs>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r w:rsidRPr="00BB5169">
        <w:rPr>
          <w:rFonts w:ascii="Times New Roman" w:eastAsia="Times New Roman" w:hAnsi="Times New Roman" w:cs="Times New Roman"/>
        </w:rPr>
        <w:tab/>
      </w:r>
    </w:p>
    <w:p w14:paraId="16E589AE" w14:textId="77777777" w:rsidR="00247EDD" w:rsidRPr="00BB5169" w:rsidRDefault="00247EDD" w:rsidP="00B43C09">
      <w:pPr>
        <w:pStyle w:val="FootnoteText"/>
        <w:tabs>
          <w:tab w:val="left" w:pos="2048"/>
        </w:tabs>
        <w:ind w:firstLine="720"/>
        <w:rPr>
          <w:rFonts w:ascii="Times New Roman" w:hAnsi="Times New Roman" w:cs="Times New Roman"/>
          <w:lang w:val="en-US"/>
        </w:rPr>
      </w:pPr>
    </w:p>
  </w:footnote>
  <w:footnote w:id="41">
    <w:p w14:paraId="51319829" w14:textId="25C6A224" w:rsidR="00247EDD" w:rsidRPr="00BB5169" w:rsidRDefault="00247EDD" w:rsidP="0040293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20-21.</w:t>
      </w:r>
    </w:p>
    <w:p w14:paraId="6BDA37D2" w14:textId="77777777" w:rsidR="00247EDD" w:rsidRPr="00BB5169" w:rsidRDefault="00247EDD" w:rsidP="00402933">
      <w:pPr>
        <w:pStyle w:val="FootnoteText"/>
        <w:ind w:firstLine="720"/>
        <w:rPr>
          <w:rFonts w:ascii="Times New Roman" w:hAnsi="Times New Roman" w:cs="Times New Roman"/>
          <w:lang w:val="en-US"/>
        </w:rPr>
      </w:pPr>
    </w:p>
  </w:footnote>
  <w:footnote w:id="42">
    <w:p w14:paraId="06013EC1" w14:textId="77777777" w:rsidR="00247EDD" w:rsidRPr="00BB5169" w:rsidRDefault="00247EDD" w:rsidP="00402933">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Ibid., p. 21.</w:t>
      </w:r>
      <w:r w:rsidRPr="00BB5169">
        <w:rPr>
          <w:rFonts w:ascii="Times New Roman" w:eastAsia="Times New Roman" w:hAnsi="Times New Roman" w:cs="Times New Roman"/>
          <w:sz w:val="24"/>
          <w:szCs w:val="24"/>
        </w:rPr>
        <w:tab/>
      </w:r>
    </w:p>
    <w:p w14:paraId="64365EF3" w14:textId="42EAD2A0" w:rsidR="00247EDD" w:rsidRPr="00BB5169" w:rsidRDefault="00247EDD">
      <w:pPr>
        <w:pStyle w:val="FootnoteText"/>
        <w:rPr>
          <w:rFonts w:ascii="Times New Roman" w:hAnsi="Times New Roman" w:cs="Times New Roman"/>
          <w:lang w:val="en-US"/>
        </w:rPr>
      </w:pPr>
    </w:p>
  </w:footnote>
  <w:footnote w:id="43">
    <w:p w14:paraId="14576E20" w14:textId="5470B991"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038BE10C" w14:textId="77777777" w:rsidR="00247EDD" w:rsidRPr="00BB5169" w:rsidRDefault="00247EDD" w:rsidP="00FB37B6">
      <w:pPr>
        <w:pStyle w:val="FootnoteText"/>
        <w:ind w:firstLine="720"/>
        <w:rPr>
          <w:rFonts w:ascii="Times New Roman" w:hAnsi="Times New Roman" w:cs="Times New Roman"/>
          <w:lang w:val="en-US"/>
        </w:rPr>
      </w:pPr>
    </w:p>
  </w:footnote>
  <w:footnote w:id="44">
    <w:p w14:paraId="7D428785" w14:textId="2B3C6944"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479F207B" w14:textId="77777777" w:rsidR="00247EDD" w:rsidRPr="00BB5169" w:rsidRDefault="00247EDD" w:rsidP="00FB37B6">
      <w:pPr>
        <w:pStyle w:val="FootnoteText"/>
        <w:ind w:firstLine="720"/>
        <w:rPr>
          <w:rFonts w:ascii="Times New Roman" w:hAnsi="Times New Roman" w:cs="Times New Roman"/>
          <w:lang w:val="en-US"/>
        </w:rPr>
      </w:pPr>
    </w:p>
  </w:footnote>
  <w:footnote w:id="45">
    <w:p w14:paraId="72DC3343" w14:textId="33023C2D"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77CB617C" w14:textId="77777777" w:rsidR="00247EDD" w:rsidRPr="00BB5169" w:rsidRDefault="00247EDD" w:rsidP="00FB37B6">
      <w:pPr>
        <w:pStyle w:val="FootnoteText"/>
        <w:ind w:firstLine="720"/>
        <w:rPr>
          <w:rFonts w:ascii="Times New Roman" w:hAnsi="Times New Roman" w:cs="Times New Roman"/>
          <w:lang w:val="en-US"/>
        </w:rPr>
      </w:pPr>
    </w:p>
  </w:footnote>
  <w:footnote w:id="46">
    <w:p w14:paraId="23D23037" w14:textId="22DD03E7"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22.</w:t>
      </w:r>
    </w:p>
    <w:p w14:paraId="13EB7F2D" w14:textId="77777777" w:rsidR="00247EDD" w:rsidRPr="00BB5169" w:rsidRDefault="00247EDD" w:rsidP="00FB37B6">
      <w:pPr>
        <w:pStyle w:val="FootnoteText"/>
        <w:ind w:firstLine="720"/>
        <w:rPr>
          <w:rFonts w:ascii="Times New Roman" w:hAnsi="Times New Roman" w:cs="Times New Roman"/>
          <w:lang w:val="en-US"/>
        </w:rPr>
      </w:pPr>
    </w:p>
  </w:footnote>
  <w:footnote w:id="47">
    <w:p w14:paraId="23944151" w14:textId="203F82CD"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3F89B6A8" w14:textId="77777777" w:rsidR="00247EDD" w:rsidRPr="00BB5169" w:rsidRDefault="00247EDD" w:rsidP="00FB37B6">
      <w:pPr>
        <w:pStyle w:val="FootnoteText"/>
        <w:ind w:firstLine="720"/>
        <w:rPr>
          <w:rFonts w:ascii="Times New Roman" w:hAnsi="Times New Roman" w:cs="Times New Roman"/>
          <w:lang w:val="en-US"/>
        </w:rPr>
      </w:pPr>
    </w:p>
  </w:footnote>
  <w:footnote w:id="48">
    <w:p w14:paraId="54E4B965" w14:textId="5E41CFF8" w:rsidR="00247EDD" w:rsidRPr="00BB5169" w:rsidRDefault="00247EDD" w:rsidP="00FB37B6">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Ibid.  </w:t>
      </w:r>
    </w:p>
    <w:p w14:paraId="1DD43BA8" w14:textId="77777777" w:rsidR="00247EDD" w:rsidRPr="00BB5169" w:rsidRDefault="00247EDD" w:rsidP="00FB37B6">
      <w:pPr>
        <w:pStyle w:val="FootnoteText"/>
        <w:ind w:firstLine="720"/>
        <w:rPr>
          <w:rFonts w:ascii="Times New Roman" w:hAnsi="Times New Roman" w:cs="Times New Roman"/>
          <w:lang w:val="en-US"/>
        </w:rPr>
      </w:pPr>
    </w:p>
  </w:footnote>
  <w:footnote w:id="49">
    <w:p w14:paraId="2DF6A6A5" w14:textId="77777777" w:rsidR="00247EDD" w:rsidRPr="00BB5169" w:rsidRDefault="00247EDD" w:rsidP="00FB37B6">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p. 23. </w:t>
      </w:r>
    </w:p>
    <w:p w14:paraId="025FCA62" w14:textId="5193505A" w:rsidR="00247EDD" w:rsidRPr="00BB5169" w:rsidRDefault="00247EDD">
      <w:pPr>
        <w:pStyle w:val="FootnoteText"/>
        <w:rPr>
          <w:rFonts w:ascii="Times New Roman" w:hAnsi="Times New Roman" w:cs="Times New Roman"/>
          <w:lang w:val="en-US"/>
        </w:rPr>
      </w:pPr>
    </w:p>
  </w:footnote>
  <w:footnote w:id="50">
    <w:p w14:paraId="6E78409D" w14:textId="264BC9B4" w:rsidR="00247EDD" w:rsidRPr="00BB5169" w:rsidRDefault="00247EDD" w:rsidP="00FB37B6">
      <w:pPr>
        <w:spacing w:line="240" w:lineRule="auto"/>
        <w:ind w:left="1440" w:hanging="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eastAsia="Times New Roman" w:hAnsi="Times New Roman" w:cs="Times New Roman"/>
          <w:sz w:val="24"/>
          <w:szCs w:val="24"/>
        </w:rPr>
        <w:t xml:space="preserve"> Ibid.</w:t>
      </w:r>
    </w:p>
    <w:p w14:paraId="705B6CA3" w14:textId="4C342FFC" w:rsidR="00247EDD" w:rsidRPr="00BB5169" w:rsidRDefault="00247EDD">
      <w:pPr>
        <w:pStyle w:val="FootnoteText"/>
        <w:rPr>
          <w:rFonts w:ascii="Times New Roman" w:hAnsi="Times New Roman" w:cs="Times New Roman"/>
          <w:lang w:val="en-US"/>
        </w:rPr>
      </w:pPr>
    </w:p>
  </w:footnote>
  <w:footnote w:id="51">
    <w:p w14:paraId="73C16377" w14:textId="3ADF3DFC"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22.</w:t>
      </w:r>
    </w:p>
    <w:p w14:paraId="2159C809" w14:textId="77777777" w:rsidR="00247EDD" w:rsidRPr="00BB5169" w:rsidRDefault="00247EDD" w:rsidP="00912114">
      <w:pPr>
        <w:pStyle w:val="FootnoteText"/>
        <w:ind w:firstLine="720"/>
        <w:rPr>
          <w:rFonts w:ascii="Times New Roman" w:hAnsi="Times New Roman" w:cs="Times New Roman"/>
          <w:lang w:val="en-US"/>
        </w:rPr>
      </w:pPr>
    </w:p>
  </w:footnote>
  <w:footnote w:id="52">
    <w:p w14:paraId="5E3D1299" w14:textId="2FF74894" w:rsidR="00247EDD" w:rsidRPr="00BB5169" w:rsidRDefault="00247EDD" w:rsidP="00912114">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3">
    <w:p w14:paraId="213F18F2" w14:textId="1629B499"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R.I. Moore, </w:t>
      </w:r>
      <w:r w:rsidRPr="00BB5169">
        <w:rPr>
          <w:rFonts w:ascii="Times New Roman" w:eastAsia="Times New Roman" w:hAnsi="Times New Roman" w:cs="Times New Roman"/>
          <w:highlight w:val="white"/>
        </w:rPr>
        <w:t xml:space="preserve">“The Debate of April 2013 in Retrospect,” in </w:t>
      </w:r>
      <w:r w:rsidRPr="00BB5169">
        <w:rPr>
          <w:rFonts w:ascii="Times New Roman" w:eastAsia="Times New Roman" w:hAnsi="Times New Roman" w:cs="Times New Roman"/>
          <w:i/>
          <w:highlight w:val="white"/>
        </w:rPr>
        <w:t>Cathars in Question</w:t>
      </w:r>
      <w:r w:rsidRPr="00BB5169">
        <w:rPr>
          <w:rFonts w:ascii="Times New Roman" w:eastAsia="Times New Roman" w:hAnsi="Times New Roman" w:cs="Times New Roman"/>
          <w:highlight w:val="white"/>
        </w:rPr>
        <w:t>, ed. Antonio Sennis (Woodbridge: Boydell and Brewer, 2016), pp. 258-259.</w:t>
      </w:r>
    </w:p>
    <w:p w14:paraId="59608030" w14:textId="77777777" w:rsidR="00247EDD" w:rsidRPr="00BB5169" w:rsidRDefault="00247EDD" w:rsidP="00912114">
      <w:pPr>
        <w:pStyle w:val="FootnoteText"/>
        <w:ind w:firstLine="720"/>
        <w:rPr>
          <w:rFonts w:ascii="Times New Roman" w:hAnsi="Times New Roman" w:cs="Times New Roman"/>
          <w:lang w:val="en-US"/>
        </w:rPr>
      </w:pPr>
    </w:p>
  </w:footnote>
  <w:footnote w:id="54">
    <w:p w14:paraId="338BB9CD" w14:textId="229215F1"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259.</w:t>
      </w:r>
    </w:p>
    <w:p w14:paraId="37113827" w14:textId="77777777" w:rsidR="00247EDD" w:rsidRPr="00BB5169" w:rsidRDefault="00247EDD" w:rsidP="00912114">
      <w:pPr>
        <w:pStyle w:val="FootnoteText"/>
        <w:ind w:firstLine="720"/>
        <w:rPr>
          <w:rFonts w:ascii="Times New Roman" w:hAnsi="Times New Roman" w:cs="Times New Roman"/>
          <w:lang w:val="en-US"/>
        </w:rPr>
      </w:pPr>
    </w:p>
  </w:footnote>
  <w:footnote w:id="55">
    <w:p w14:paraId="7DED0AB0" w14:textId="49E59D39"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Mark Gregory Pegg, </w:t>
      </w:r>
      <w:r w:rsidRPr="00BB5169">
        <w:rPr>
          <w:rFonts w:ascii="Times New Roman" w:eastAsia="Times New Roman" w:hAnsi="Times New Roman" w:cs="Times New Roman"/>
          <w:highlight w:val="white"/>
        </w:rPr>
        <w:t xml:space="preserve">“The Paradigm of Catharism; or, the Historians’ Illusion,” in </w:t>
      </w:r>
      <w:r w:rsidRPr="00BB5169">
        <w:rPr>
          <w:rFonts w:ascii="Times New Roman" w:eastAsia="Times New Roman" w:hAnsi="Times New Roman" w:cs="Times New Roman"/>
          <w:i/>
          <w:highlight w:val="white"/>
        </w:rPr>
        <w:t>Cathars in Question</w:t>
      </w:r>
      <w:r w:rsidRPr="00BB5169">
        <w:rPr>
          <w:rFonts w:ascii="Times New Roman" w:eastAsia="Times New Roman" w:hAnsi="Times New Roman" w:cs="Times New Roman"/>
          <w:highlight w:val="white"/>
        </w:rPr>
        <w:t>, ed. Antonio Sennis (Woodbridge: Boydell and Brewer, 2016), pp. 21-24.</w:t>
      </w:r>
    </w:p>
    <w:p w14:paraId="08CD6083" w14:textId="77777777" w:rsidR="00247EDD" w:rsidRPr="00BB5169" w:rsidRDefault="00247EDD" w:rsidP="00912114">
      <w:pPr>
        <w:pStyle w:val="FootnoteText"/>
        <w:ind w:firstLine="720"/>
        <w:rPr>
          <w:rFonts w:ascii="Times New Roman" w:hAnsi="Times New Roman" w:cs="Times New Roman"/>
          <w:lang w:val="en-US"/>
        </w:rPr>
      </w:pPr>
    </w:p>
  </w:footnote>
  <w:footnote w:id="56">
    <w:p w14:paraId="3E9747E9" w14:textId="77777777" w:rsidR="00247EDD" w:rsidRPr="00BB5169" w:rsidRDefault="00247EDD" w:rsidP="00912114">
      <w:pPr>
        <w:spacing w:line="240" w:lineRule="auto"/>
        <w:ind w:firstLine="720"/>
        <w:rPr>
          <w:rFonts w:ascii="Times New Roman" w:eastAsia="Times New Roman" w:hAnsi="Times New Roman" w:cs="Times New Roman"/>
          <w:sz w:val="24"/>
          <w:szCs w:val="24"/>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sz w:val="24"/>
          <w:szCs w:val="24"/>
        </w:rPr>
        <w:t xml:space="preserve">Ibid., p. 22. </w:t>
      </w:r>
    </w:p>
    <w:p w14:paraId="2B8975AD" w14:textId="2EE37D21" w:rsidR="00247EDD" w:rsidRPr="00BB5169" w:rsidRDefault="00247EDD">
      <w:pPr>
        <w:pStyle w:val="FootnoteText"/>
        <w:rPr>
          <w:rFonts w:ascii="Times New Roman" w:hAnsi="Times New Roman" w:cs="Times New Roman"/>
          <w:lang w:val="en-US"/>
        </w:rPr>
      </w:pPr>
    </w:p>
  </w:footnote>
  <w:footnote w:id="57">
    <w:p w14:paraId="5F50648F" w14:textId="2F8861EC"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23.</w:t>
      </w:r>
    </w:p>
    <w:p w14:paraId="1E21576E" w14:textId="77777777" w:rsidR="00247EDD" w:rsidRPr="00BB5169" w:rsidRDefault="00247EDD" w:rsidP="00912114">
      <w:pPr>
        <w:pStyle w:val="FootnoteText"/>
        <w:ind w:firstLine="720"/>
        <w:rPr>
          <w:rFonts w:ascii="Times New Roman" w:hAnsi="Times New Roman" w:cs="Times New Roman"/>
          <w:lang w:val="en-US"/>
        </w:rPr>
      </w:pPr>
    </w:p>
  </w:footnote>
  <w:footnote w:id="58">
    <w:p w14:paraId="67DECE82" w14:textId="210F1B76" w:rsidR="00247EDD" w:rsidRPr="00BB5169" w:rsidRDefault="00247EDD" w:rsidP="00912114">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5B9D42F3" w14:textId="77777777" w:rsidR="00247EDD" w:rsidRPr="00BB5169" w:rsidRDefault="00247EDD" w:rsidP="00912114">
      <w:pPr>
        <w:pStyle w:val="FootnoteText"/>
        <w:ind w:firstLine="720"/>
        <w:rPr>
          <w:rFonts w:ascii="Times New Roman" w:hAnsi="Times New Roman" w:cs="Times New Roman"/>
          <w:lang w:val="en-US"/>
        </w:rPr>
      </w:pPr>
    </w:p>
  </w:footnote>
  <w:footnote w:id="59">
    <w:p w14:paraId="176D5613" w14:textId="45E593DD" w:rsidR="00247EDD" w:rsidRPr="00BB5169" w:rsidRDefault="00247EDD" w:rsidP="0035560F">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29.</w:t>
      </w:r>
    </w:p>
    <w:p w14:paraId="13667202" w14:textId="77777777" w:rsidR="00247EDD" w:rsidRPr="00BB5169" w:rsidRDefault="00247EDD" w:rsidP="0035560F">
      <w:pPr>
        <w:pStyle w:val="FootnoteText"/>
        <w:ind w:firstLine="720"/>
        <w:rPr>
          <w:rFonts w:ascii="Times New Roman" w:hAnsi="Times New Roman" w:cs="Times New Roman"/>
          <w:lang w:val="en-US"/>
        </w:rPr>
      </w:pPr>
    </w:p>
  </w:footnote>
  <w:footnote w:id="60">
    <w:p w14:paraId="4DCF1057" w14:textId="4ED03D79" w:rsidR="00247EDD" w:rsidRPr="00BB5169" w:rsidRDefault="00247EDD" w:rsidP="0035560F">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26.</w:t>
      </w:r>
    </w:p>
    <w:p w14:paraId="25D31F41" w14:textId="77777777" w:rsidR="00247EDD" w:rsidRPr="00BB5169" w:rsidRDefault="00247EDD" w:rsidP="0035560F">
      <w:pPr>
        <w:pStyle w:val="FootnoteText"/>
        <w:ind w:firstLine="720"/>
        <w:rPr>
          <w:rFonts w:ascii="Times New Roman" w:hAnsi="Times New Roman" w:cs="Times New Roman"/>
          <w:lang w:val="en-US"/>
        </w:rPr>
      </w:pPr>
    </w:p>
  </w:footnote>
  <w:footnote w:id="61">
    <w:p w14:paraId="70F43420" w14:textId="13D4115A" w:rsidR="00247EDD" w:rsidRPr="00BB5169" w:rsidRDefault="00247EDD" w:rsidP="0035560F">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w:t>
      </w:r>
    </w:p>
    <w:p w14:paraId="49AA75BF" w14:textId="77777777" w:rsidR="00247EDD" w:rsidRPr="00BB5169" w:rsidRDefault="00247EDD" w:rsidP="0035560F">
      <w:pPr>
        <w:pStyle w:val="FootnoteText"/>
        <w:ind w:firstLine="720"/>
        <w:rPr>
          <w:rFonts w:ascii="Times New Roman" w:hAnsi="Times New Roman" w:cs="Times New Roman"/>
          <w:lang w:val="en-US"/>
        </w:rPr>
      </w:pPr>
    </w:p>
  </w:footnote>
  <w:footnote w:id="62">
    <w:p w14:paraId="34065ED6" w14:textId="5063AFF3" w:rsidR="00247EDD" w:rsidRPr="00BB5169" w:rsidRDefault="00247EDD" w:rsidP="0035560F">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28.</w:t>
      </w:r>
    </w:p>
    <w:p w14:paraId="1B61D4DF" w14:textId="77777777" w:rsidR="00247EDD" w:rsidRPr="00BB5169" w:rsidRDefault="00247EDD" w:rsidP="0035560F">
      <w:pPr>
        <w:pStyle w:val="FootnoteText"/>
        <w:ind w:firstLine="720"/>
        <w:rPr>
          <w:rFonts w:ascii="Times New Roman" w:hAnsi="Times New Roman" w:cs="Times New Roman"/>
          <w:lang w:val="en-US"/>
        </w:rPr>
      </w:pPr>
    </w:p>
  </w:footnote>
  <w:footnote w:id="63">
    <w:p w14:paraId="2B78114F" w14:textId="2FFCF26F" w:rsidR="00247EDD" w:rsidRPr="00BB5169" w:rsidRDefault="00247EDD" w:rsidP="003D1A2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i/>
        </w:rPr>
        <w:t>The Corruption of Angels</w:t>
      </w:r>
      <w:r w:rsidRPr="00BB5169">
        <w:rPr>
          <w:rFonts w:ascii="Times New Roman" w:eastAsia="Times New Roman" w:hAnsi="Times New Roman" w:cs="Times New Roman"/>
        </w:rPr>
        <w:t>, pp. 15-19.</w:t>
      </w:r>
    </w:p>
    <w:p w14:paraId="15ED6977" w14:textId="77777777" w:rsidR="00247EDD" w:rsidRPr="00BB5169" w:rsidRDefault="00247EDD" w:rsidP="003D1A23">
      <w:pPr>
        <w:pStyle w:val="FootnoteText"/>
        <w:ind w:firstLine="720"/>
        <w:rPr>
          <w:rFonts w:ascii="Times New Roman" w:hAnsi="Times New Roman" w:cs="Times New Roman"/>
          <w:lang w:val="en-US"/>
        </w:rPr>
      </w:pPr>
    </w:p>
  </w:footnote>
  <w:footnote w:id="64">
    <w:p w14:paraId="0CEB873C" w14:textId="16ED55E4" w:rsidR="00247EDD" w:rsidRPr="00BB5169" w:rsidRDefault="00247EDD" w:rsidP="003D1A2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15.</w:t>
      </w:r>
    </w:p>
    <w:p w14:paraId="2A04C167" w14:textId="77777777" w:rsidR="00247EDD" w:rsidRPr="00BB5169" w:rsidRDefault="00247EDD" w:rsidP="003D1A23">
      <w:pPr>
        <w:pStyle w:val="FootnoteText"/>
        <w:ind w:firstLine="720"/>
        <w:rPr>
          <w:rFonts w:ascii="Times New Roman" w:hAnsi="Times New Roman" w:cs="Times New Roman"/>
          <w:lang w:val="en-US"/>
        </w:rPr>
      </w:pPr>
    </w:p>
  </w:footnote>
  <w:footnote w:id="65">
    <w:p w14:paraId="1E199A65" w14:textId="4FC1E9C5" w:rsidR="00247EDD" w:rsidRPr="00BB5169" w:rsidRDefault="00247EDD" w:rsidP="003D1A2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highlight w:val="white"/>
        </w:rPr>
        <w:t xml:space="preserve">“The Paradigm of Catharism; or, the Historians’ Illusion,” </w:t>
      </w:r>
      <w:r w:rsidRPr="00BB5169">
        <w:rPr>
          <w:rFonts w:ascii="Times New Roman" w:eastAsia="Times New Roman" w:hAnsi="Times New Roman" w:cs="Times New Roman"/>
        </w:rPr>
        <w:t>p. 45.</w:t>
      </w:r>
    </w:p>
    <w:p w14:paraId="5D3219D5" w14:textId="77777777" w:rsidR="00247EDD" w:rsidRPr="00BB5169" w:rsidRDefault="00247EDD" w:rsidP="003D1A23">
      <w:pPr>
        <w:pStyle w:val="FootnoteText"/>
        <w:ind w:firstLine="720"/>
        <w:rPr>
          <w:rFonts w:ascii="Times New Roman" w:hAnsi="Times New Roman" w:cs="Times New Roman"/>
          <w:lang w:val="en-US"/>
        </w:rPr>
      </w:pPr>
    </w:p>
  </w:footnote>
  <w:footnote w:id="66">
    <w:p w14:paraId="1AC8DC3E" w14:textId="51D75617" w:rsidR="00247EDD" w:rsidRPr="00BB5169" w:rsidRDefault="00247EDD" w:rsidP="003D1A23">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pp. 28-29.</w:t>
      </w:r>
    </w:p>
    <w:p w14:paraId="4D0EA17F" w14:textId="77777777" w:rsidR="00247EDD" w:rsidRPr="00BB5169" w:rsidRDefault="00247EDD" w:rsidP="003D1A23">
      <w:pPr>
        <w:pStyle w:val="FootnoteText"/>
        <w:ind w:firstLine="720"/>
        <w:rPr>
          <w:rFonts w:ascii="Times New Roman" w:hAnsi="Times New Roman" w:cs="Times New Roman"/>
          <w:lang w:val="en-US"/>
        </w:rPr>
      </w:pPr>
    </w:p>
  </w:footnote>
  <w:footnote w:id="67">
    <w:p w14:paraId="19520923" w14:textId="319975EC" w:rsidR="00247EDD" w:rsidRPr="00BB5169" w:rsidRDefault="00247EDD" w:rsidP="00477CD7">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48.</w:t>
      </w:r>
    </w:p>
    <w:p w14:paraId="674DA6AA" w14:textId="77777777" w:rsidR="00247EDD" w:rsidRPr="00BB5169" w:rsidRDefault="00247EDD" w:rsidP="00477CD7">
      <w:pPr>
        <w:pStyle w:val="FootnoteText"/>
        <w:ind w:firstLine="720"/>
        <w:rPr>
          <w:rFonts w:ascii="Times New Roman" w:hAnsi="Times New Roman" w:cs="Times New Roman"/>
          <w:lang w:val="en-US"/>
        </w:rPr>
      </w:pPr>
    </w:p>
  </w:footnote>
  <w:footnote w:id="68">
    <w:p w14:paraId="136F8E0C" w14:textId="2E2B3D6D" w:rsidR="00247EDD" w:rsidRPr="00BB5169" w:rsidRDefault="00247EDD" w:rsidP="00477CD7">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Ibid., p. 42.</w:t>
      </w:r>
    </w:p>
    <w:p w14:paraId="7D01190F" w14:textId="77777777" w:rsidR="00247EDD" w:rsidRPr="00BB5169" w:rsidRDefault="00247EDD" w:rsidP="00477CD7">
      <w:pPr>
        <w:pStyle w:val="FootnoteText"/>
        <w:ind w:firstLine="720"/>
        <w:rPr>
          <w:rFonts w:ascii="Times New Roman" w:hAnsi="Times New Roman" w:cs="Times New Roman"/>
          <w:lang w:val="en-US"/>
        </w:rPr>
      </w:pPr>
    </w:p>
  </w:footnote>
  <w:footnote w:id="69">
    <w:p w14:paraId="2E83524D" w14:textId="370BA450" w:rsidR="00247EDD" w:rsidRPr="00BB5169" w:rsidRDefault="00247EDD" w:rsidP="00477CD7">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eastAsia="Times New Roman" w:hAnsi="Times New Roman" w:cs="Times New Roman"/>
        </w:rPr>
        <w:t xml:space="preserve"> Pegg, </w:t>
      </w:r>
      <w:r w:rsidRPr="00BB5169">
        <w:rPr>
          <w:rFonts w:ascii="Times New Roman" w:eastAsia="Times New Roman" w:hAnsi="Times New Roman" w:cs="Times New Roman"/>
          <w:i/>
        </w:rPr>
        <w:t>The Corruption of Angels</w:t>
      </w:r>
      <w:r w:rsidRPr="00BB5169">
        <w:rPr>
          <w:rFonts w:ascii="Times New Roman" w:eastAsia="Times New Roman" w:hAnsi="Times New Roman" w:cs="Times New Roman"/>
        </w:rPr>
        <w:t>, p. 68.</w:t>
      </w:r>
      <w:r w:rsidRPr="00BB5169">
        <w:rPr>
          <w:rFonts w:ascii="Times New Roman" w:hAnsi="Times New Roman" w:cs="Times New Roman"/>
        </w:rPr>
        <w:t xml:space="preserve"> </w:t>
      </w:r>
    </w:p>
    <w:p w14:paraId="76F46CB3" w14:textId="77777777" w:rsidR="00247EDD" w:rsidRPr="00BB5169" w:rsidRDefault="00247EDD" w:rsidP="00477CD7">
      <w:pPr>
        <w:pStyle w:val="FootnoteText"/>
        <w:ind w:firstLine="720"/>
        <w:rPr>
          <w:rFonts w:ascii="Times New Roman" w:hAnsi="Times New Roman" w:cs="Times New Roman"/>
          <w:lang w:val="en-US"/>
        </w:rPr>
      </w:pPr>
    </w:p>
  </w:footnote>
  <w:footnote w:id="70">
    <w:p w14:paraId="695E3AB8" w14:textId="36FDB89E" w:rsidR="00247EDD" w:rsidRPr="00BB5169" w:rsidRDefault="00247EDD" w:rsidP="00477CD7">
      <w:pPr>
        <w:pStyle w:val="FootnoteText"/>
        <w:ind w:firstLine="720"/>
        <w:rPr>
          <w:rFonts w:ascii="Times New Roman" w:eastAsia="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highlight w:val="white"/>
        </w:rPr>
        <w:t xml:space="preserve">“The Paradigm of Catharism; or, the Historians’ Illusion,” </w:t>
      </w:r>
      <w:r w:rsidRPr="00BB5169">
        <w:rPr>
          <w:rFonts w:ascii="Times New Roman" w:eastAsia="Times New Roman" w:hAnsi="Times New Roman" w:cs="Times New Roman"/>
        </w:rPr>
        <w:t>pp. 36-37.</w:t>
      </w:r>
    </w:p>
    <w:p w14:paraId="3EA05CEA" w14:textId="77777777" w:rsidR="00247EDD" w:rsidRPr="00BB5169" w:rsidRDefault="00247EDD" w:rsidP="00477CD7">
      <w:pPr>
        <w:pStyle w:val="FootnoteText"/>
        <w:ind w:firstLine="720"/>
        <w:rPr>
          <w:rFonts w:ascii="Times New Roman" w:hAnsi="Times New Roman" w:cs="Times New Roman"/>
          <w:lang w:val="en-US"/>
        </w:rPr>
      </w:pPr>
    </w:p>
  </w:footnote>
  <w:footnote w:id="71">
    <w:p w14:paraId="7F6C76DA" w14:textId="24206C71" w:rsidR="00247EDD" w:rsidRPr="00BB5169" w:rsidRDefault="00247EDD" w:rsidP="003261BE">
      <w:pPr>
        <w:spacing w:line="240" w:lineRule="auto"/>
        <w:ind w:firstLine="720"/>
        <w:rPr>
          <w:rFonts w:ascii="Times New Roman" w:eastAsia="Times New Roman" w:hAnsi="Times New Roman" w:cs="Times New Roman"/>
          <w:sz w:val="24"/>
          <w:szCs w:val="24"/>
          <w:lang w:val="en-US"/>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color w:val="000000"/>
          <w:sz w:val="24"/>
          <w:szCs w:val="24"/>
          <w:lang w:val="en-US"/>
        </w:rPr>
        <w:t xml:space="preserve">Peter Biller, “Goodbye to Catharism?” </w:t>
      </w:r>
      <w:r w:rsidRPr="00BB5169">
        <w:rPr>
          <w:rFonts w:ascii="Times New Roman" w:eastAsia="Times New Roman" w:hAnsi="Times New Roman" w:cs="Times New Roman"/>
          <w:color w:val="000000"/>
          <w:sz w:val="24"/>
          <w:szCs w:val="24"/>
          <w:shd w:val="clear" w:color="auto" w:fill="FFFFFF"/>
          <w:lang w:val="en-US"/>
        </w:rPr>
        <w:t xml:space="preserve">in </w:t>
      </w:r>
      <w:r w:rsidRPr="00BB5169">
        <w:rPr>
          <w:rFonts w:ascii="Times New Roman" w:eastAsia="Times New Roman" w:hAnsi="Times New Roman" w:cs="Times New Roman"/>
          <w:i/>
          <w:iCs/>
          <w:color w:val="000000"/>
          <w:sz w:val="24"/>
          <w:szCs w:val="24"/>
          <w:shd w:val="clear" w:color="auto" w:fill="FFFFFF"/>
          <w:lang w:val="en-US"/>
        </w:rPr>
        <w:t>Cathars in Question</w:t>
      </w:r>
      <w:r w:rsidRPr="00BB5169">
        <w:rPr>
          <w:rFonts w:ascii="Times New Roman" w:eastAsia="Times New Roman" w:hAnsi="Times New Roman" w:cs="Times New Roman"/>
          <w:color w:val="000000"/>
          <w:sz w:val="24"/>
          <w:szCs w:val="24"/>
          <w:shd w:val="clear" w:color="auto" w:fill="FFFFFF"/>
          <w:lang w:val="en-US"/>
        </w:rPr>
        <w:t>, ed. Antonio Sennis (Woodbridge: Boydell and Brewer, 2016), p. 274.</w:t>
      </w:r>
    </w:p>
    <w:p w14:paraId="4484932C" w14:textId="77777777" w:rsidR="00247EDD" w:rsidRPr="00BB5169" w:rsidRDefault="00247EDD" w:rsidP="00763B31">
      <w:pPr>
        <w:pStyle w:val="FootnoteText"/>
        <w:ind w:firstLine="720"/>
        <w:rPr>
          <w:rFonts w:ascii="Times New Roman" w:hAnsi="Times New Roman" w:cs="Times New Roman"/>
          <w:lang w:val="en-US"/>
        </w:rPr>
      </w:pPr>
    </w:p>
  </w:footnote>
  <w:footnote w:id="72">
    <w:p w14:paraId="2D0EE0C4" w14:textId="0AECEDE4"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t xml:space="preserve"> </w:t>
      </w:r>
      <w:r w:rsidRPr="00BB5169">
        <w:rPr>
          <w:color w:val="000000"/>
        </w:rPr>
        <w:t xml:space="preserve">Ibid., </w:t>
      </w:r>
      <w:r w:rsidRPr="00BB5169">
        <w:rPr>
          <w:color w:val="000000"/>
          <w:shd w:val="clear" w:color="auto" w:fill="FFFFFF"/>
        </w:rPr>
        <w:t>p. 285.</w:t>
      </w:r>
    </w:p>
    <w:p w14:paraId="0E3CFAE9" w14:textId="2ED19A9E" w:rsidR="00247EDD" w:rsidRPr="00BB5169" w:rsidRDefault="00247EDD" w:rsidP="00763B31">
      <w:pPr>
        <w:pStyle w:val="FootnoteText"/>
        <w:ind w:firstLine="720"/>
        <w:rPr>
          <w:rFonts w:ascii="Times New Roman" w:hAnsi="Times New Roman" w:cs="Times New Roman"/>
          <w:lang w:val="en-US"/>
        </w:rPr>
      </w:pPr>
      <w:r w:rsidRPr="00BB5169">
        <w:rPr>
          <w:rFonts w:ascii="Times New Roman" w:hAnsi="Times New Roman" w:cs="Times New Roman"/>
        </w:rPr>
        <w:t xml:space="preserve"> </w:t>
      </w:r>
    </w:p>
  </w:footnote>
  <w:footnote w:id="73">
    <w:p w14:paraId="5C2375DE" w14:textId="1670EB08" w:rsidR="00247EDD" w:rsidRPr="00BB5169" w:rsidRDefault="00247EDD" w:rsidP="003261BE">
      <w:pPr>
        <w:spacing w:line="240" w:lineRule="auto"/>
        <w:ind w:firstLine="720"/>
        <w:rPr>
          <w:rFonts w:ascii="Times New Roman" w:eastAsia="Times New Roman" w:hAnsi="Times New Roman" w:cs="Times New Roman"/>
          <w:color w:val="000000"/>
          <w:sz w:val="24"/>
          <w:szCs w:val="24"/>
          <w:lang w:val="en-US"/>
        </w:rPr>
      </w:pPr>
      <w:r w:rsidRPr="00BB5169">
        <w:rPr>
          <w:rStyle w:val="FootnoteReference"/>
          <w:rFonts w:ascii="Times New Roman" w:hAnsi="Times New Roman" w:cs="Times New Roman"/>
          <w:sz w:val="24"/>
          <w:szCs w:val="24"/>
        </w:rPr>
        <w:footnoteRef/>
      </w:r>
      <w:r w:rsidRPr="00BB5169">
        <w:rPr>
          <w:rFonts w:ascii="Times New Roman" w:eastAsia="Times New Roman" w:hAnsi="Times New Roman" w:cs="Times New Roman"/>
          <w:color w:val="000000"/>
          <w:sz w:val="24"/>
          <w:szCs w:val="24"/>
          <w:lang w:val="en-US"/>
        </w:rPr>
        <w:t xml:space="preserve"> Ibid.</w:t>
      </w:r>
    </w:p>
    <w:p w14:paraId="04F55DAA" w14:textId="77777777" w:rsidR="00247EDD" w:rsidRPr="00BB5169" w:rsidRDefault="00247EDD" w:rsidP="003261BE">
      <w:pPr>
        <w:spacing w:line="240" w:lineRule="auto"/>
        <w:ind w:firstLine="720"/>
        <w:rPr>
          <w:rFonts w:ascii="Times New Roman" w:eastAsia="Times New Roman" w:hAnsi="Times New Roman" w:cs="Times New Roman"/>
          <w:sz w:val="24"/>
          <w:szCs w:val="24"/>
          <w:lang w:val="en-US"/>
        </w:rPr>
      </w:pPr>
    </w:p>
  </w:footnote>
  <w:footnote w:id="74">
    <w:p w14:paraId="5D839233" w14:textId="77777777"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t xml:space="preserve"> </w:t>
      </w:r>
      <w:r w:rsidRPr="00BB5169">
        <w:rPr>
          <w:color w:val="000000"/>
        </w:rPr>
        <w:t>John Arnold, “</w:t>
      </w:r>
      <w:r w:rsidRPr="00BB5169">
        <w:rPr>
          <w:color w:val="171717"/>
          <w:shd w:val="clear" w:color="auto" w:fill="FFFFFF"/>
        </w:rPr>
        <w:t>The Cathar Middle Ages as a Methodological and Historiographical Problem,</w:t>
      </w:r>
      <w:r w:rsidRPr="00BB5169">
        <w:rPr>
          <w:color w:val="000000"/>
        </w:rPr>
        <w:t xml:space="preserve">” </w:t>
      </w:r>
      <w:r w:rsidRPr="00BB5169">
        <w:rPr>
          <w:color w:val="000000"/>
          <w:shd w:val="clear" w:color="auto" w:fill="FFFFFF"/>
        </w:rPr>
        <w:t xml:space="preserve">in </w:t>
      </w:r>
      <w:r w:rsidRPr="00BB5169">
        <w:rPr>
          <w:i/>
          <w:iCs/>
          <w:color w:val="000000"/>
          <w:shd w:val="clear" w:color="auto" w:fill="FFFFFF"/>
        </w:rPr>
        <w:t>Cathars in Question</w:t>
      </w:r>
      <w:r w:rsidRPr="00BB5169">
        <w:rPr>
          <w:color w:val="000000"/>
          <w:shd w:val="clear" w:color="auto" w:fill="FFFFFF"/>
        </w:rPr>
        <w:t>, ed. Antonio Sennis (Woodbridge: Boydell and Brewer, 2016), p. 68.</w:t>
      </w:r>
    </w:p>
    <w:p w14:paraId="7F9B7345" w14:textId="2C3665D1" w:rsidR="00247EDD" w:rsidRPr="00BB5169" w:rsidRDefault="00247EDD" w:rsidP="003261BE">
      <w:pPr>
        <w:pStyle w:val="FootnoteText"/>
        <w:rPr>
          <w:rFonts w:ascii="Times New Roman" w:hAnsi="Times New Roman" w:cs="Times New Roman"/>
          <w:lang w:val="en-US"/>
        </w:rPr>
      </w:pPr>
    </w:p>
  </w:footnote>
  <w:footnote w:id="75">
    <w:p w14:paraId="164D8FEA" w14:textId="5706C3BE" w:rsidR="00247EDD" w:rsidRPr="00BB5169" w:rsidRDefault="00247EDD" w:rsidP="003261BE">
      <w:pPr>
        <w:spacing w:line="240" w:lineRule="auto"/>
        <w:ind w:firstLine="720"/>
        <w:rPr>
          <w:rFonts w:ascii="Times New Roman" w:eastAsia="Times New Roman" w:hAnsi="Times New Roman" w:cs="Times New Roman"/>
          <w:sz w:val="24"/>
          <w:szCs w:val="24"/>
          <w:lang w:val="en-US"/>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color w:val="000000"/>
          <w:sz w:val="24"/>
          <w:szCs w:val="24"/>
          <w:lang w:val="en-US"/>
        </w:rPr>
        <w:t xml:space="preserve">Biller, “Goodbye to Catharism?” </w:t>
      </w:r>
      <w:r w:rsidRPr="00BB5169">
        <w:rPr>
          <w:rFonts w:ascii="Times New Roman" w:eastAsia="Times New Roman" w:hAnsi="Times New Roman" w:cs="Times New Roman"/>
          <w:color w:val="000000"/>
          <w:sz w:val="24"/>
          <w:szCs w:val="24"/>
          <w:shd w:val="clear" w:color="auto" w:fill="FFFFFF"/>
          <w:lang w:val="en-US"/>
        </w:rPr>
        <w:t>p. 286.</w:t>
      </w:r>
      <w:r w:rsidRPr="00BB5169">
        <w:rPr>
          <w:rFonts w:ascii="Times New Roman" w:eastAsia="Times New Roman" w:hAnsi="Times New Roman" w:cs="Times New Roman"/>
          <w:color w:val="000000"/>
          <w:sz w:val="24"/>
          <w:szCs w:val="24"/>
          <w:lang w:val="en-US"/>
        </w:rPr>
        <w:t xml:space="preserve">  </w:t>
      </w:r>
    </w:p>
    <w:p w14:paraId="7C06791D" w14:textId="77777777" w:rsidR="00247EDD" w:rsidRPr="00BB5169" w:rsidRDefault="00247EDD">
      <w:pPr>
        <w:pStyle w:val="FootnoteText"/>
        <w:rPr>
          <w:rFonts w:ascii="Times New Roman" w:hAnsi="Times New Roman" w:cs="Times New Roman"/>
          <w:lang w:val="en-US"/>
        </w:rPr>
      </w:pPr>
    </w:p>
  </w:footnote>
  <w:footnote w:id="76">
    <w:p w14:paraId="1F613EAE" w14:textId="5ECCE7B2"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rPr>
          <w:color w:val="000000"/>
        </w:rPr>
        <w:t xml:space="preserve"> Arnold, “</w:t>
      </w:r>
      <w:r w:rsidRPr="00BB5169">
        <w:rPr>
          <w:color w:val="171717"/>
          <w:shd w:val="clear" w:color="auto" w:fill="FFFFFF"/>
        </w:rPr>
        <w:t>The Cathar Middle Ages as a Methodological and Historiographical Problem,</w:t>
      </w:r>
      <w:r w:rsidRPr="00BB5169">
        <w:rPr>
          <w:color w:val="000000"/>
        </w:rPr>
        <w:t xml:space="preserve">” </w:t>
      </w:r>
      <w:r w:rsidRPr="00BB5169">
        <w:rPr>
          <w:color w:val="000000"/>
          <w:shd w:val="clear" w:color="auto" w:fill="FFFFFF"/>
        </w:rPr>
        <w:t>p. 69.</w:t>
      </w:r>
    </w:p>
    <w:p w14:paraId="46649B80" w14:textId="70AE5779" w:rsidR="00247EDD" w:rsidRPr="00BB5169" w:rsidRDefault="00247EDD">
      <w:pPr>
        <w:pStyle w:val="FootnoteText"/>
        <w:rPr>
          <w:rFonts w:ascii="Times New Roman" w:hAnsi="Times New Roman" w:cs="Times New Roman"/>
          <w:lang w:val="en-US"/>
        </w:rPr>
      </w:pPr>
      <w:r w:rsidRPr="00BB5169">
        <w:rPr>
          <w:rFonts w:ascii="Times New Roman" w:hAnsi="Times New Roman" w:cs="Times New Roman"/>
        </w:rPr>
        <w:t xml:space="preserve"> </w:t>
      </w:r>
    </w:p>
  </w:footnote>
  <w:footnote w:id="77">
    <w:p w14:paraId="019F6A19" w14:textId="77777777" w:rsidR="00247EDD" w:rsidRPr="00BB5169" w:rsidRDefault="00247EDD" w:rsidP="003261BE">
      <w:pPr>
        <w:spacing w:line="240" w:lineRule="auto"/>
        <w:ind w:firstLine="720"/>
        <w:rPr>
          <w:rFonts w:ascii="Times New Roman" w:eastAsia="Times New Roman" w:hAnsi="Times New Roman" w:cs="Times New Roman"/>
          <w:sz w:val="24"/>
          <w:szCs w:val="24"/>
          <w:lang w:val="en-US"/>
        </w:rPr>
      </w:pPr>
      <w:r w:rsidRPr="00BB5169">
        <w:rPr>
          <w:rStyle w:val="FootnoteReference"/>
          <w:rFonts w:ascii="Times New Roman" w:hAnsi="Times New Roman" w:cs="Times New Roman"/>
          <w:sz w:val="24"/>
          <w:szCs w:val="24"/>
        </w:rPr>
        <w:footnoteRef/>
      </w:r>
      <w:r w:rsidRPr="00BB5169">
        <w:rPr>
          <w:rFonts w:ascii="Times New Roman" w:hAnsi="Times New Roman" w:cs="Times New Roman"/>
          <w:sz w:val="24"/>
          <w:szCs w:val="24"/>
        </w:rPr>
        <w:t xml:space="preserve"> </w:t>
      </w:r>
      <w:r w:rsidRPr="00BB5169">
        <w:rPr>
          <w:rFonts w:ascii="Times New Roman" w:eastAsia="Times New Roman" w:hAnsi="Times New Roman" w:cs="Times New Roman"/>
          <w:color w:val="000000"/>
          <w:sz w:val="24"/>
          <w:szCs w:val="24"/>
          <w:lang w:val="en-US"/>
        </w:rPr>
        <w:t>Ibid., p. 72.</w:t>
      </w:r>
    </w:p>
    <w:p w14:paraId="6B5EBAFC" w14:textId="77777777" w:rsidR="00247EDD" w:rsidRPr="00BB5169" w:rsidRDefault="00247EDD">
      <w:pPr>
        <w:pStyle w:val="FootnoteText"/>
        <w:rPr>
          <w:rFonts w:ascii="Times New Roman" w:hAnsi="Times New Roman" w:cs="Times New Roman"/>
          <w:lang w:val="en-US"/>
        </w:rPr>
      </w:pPr>
    </w:p>
  </w:footnote>
  <w:footnote w:id="78">
    <w:p w14:paraId="2C384378" w14:textId="620D3B9B"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rPr>
          <w:color w:val="000000"/>
        </w:rPr>
        <w:t xml:space="preserve"> Ibid., p. 69.</w:t>
      </w:r>
    </w:p>
    <w:p w14:paraId="6D0BF4A5" w14:textId="0581180E" w:rsidR="00247EDD" w:rsidRPr="00BB5169" w:rsidRDefault="00247EDD">
      <w:pPr>
        <w:pStyle w:val="FootnoteText"/>
        <w:rPr>
          <w:rFonts w:ascii="Times New Roman" w:hAnsi="Times New Roman" w:cs="Times New Roman"/>
          <w:lang w:val="en-US"/>
        </w:rPr>
      </w:pPr>
      <w:r w:rsidRPr="00BB5169">
        <w:rPr>
          <w:rFonts w:ascii="Times New Roman" w:hAnsi="Times New Roman" w:cs="Times New Roman"/>
        </w:rPr>
        <w:t xml:space="preserve"> </w:t>
      </w:r>
    </w:p>
  </w:footnote>
  <w:footnote w:id="79">
    <w:p w14:paraId="19BA63B3" w14:textId="33F7F48C" w:rsidR="00247EDD" w:rsidRPr="00BB5169" w:rsidRDefault="00247EDD" w:rsidP="003261BE">
      <w:pPr>
        <w:pStyle w:val="NormalWeb"/>
        <w:spacing w:before="0" w:beforeAutospacing="0" w:after="0" w:afterAutospacing="0"/>
        <w:ind w:firstLine="720"/>
      </w:pPr>
      <w:r w:rsidRPr="00BB5169">
        <w:rPr>
          <w:rStyle w:val="FootnoteReference"/>
        </w:rPr>
        <w:footnoteRef/>
      </w:r>
      <w:r w:rsidRPr="00BB5169">
        <w:t xml:space="preserve"> </w:t>
      </w:r>
      <w:r w:rsidRPr="00BB5169">
        <w:rPr>
          <w:color w:val="000000"/>
        </w:rPr>
        <w:t>Ibid., p. 73.</w:t>
      </w:r>
    </w:p>
  </w:footnote>
  <w:footnote w:id="80">
    <w:p w14:paraId="4FD0B51D" w14:textId="3639BF8E" w:rsidR="00247EDD" w:rsidRPr="00BB5169" w:rsidRDefault="00247EDD" w:rsidP="001C2F54">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BM MS 609 Edition XML encoding downloaded from Rehr’s website: </w:t>
      </w:r>
      <w:hyperlink r:id="rId1" w:history="1">
        <w:r w:rsidRPr="00BB5169">
          <w:rPr>
            <w:rStyle w:val="Hyperlink"/>
            <w:rFonts w:ascii="Times New Roman" w:hAnsi="Times New Roman" w:cs="Times New Roman"/>
          </w:rPr>
          <w:t>http://medieval-inquisition.huma-num.fr/downloads</w:t>
        </w:r>
      </w:hyperlink>
    </w:p>
    <w:p w14:paraId="1D1EC77E" w14:textId="77777777" w:rsidR="00247EDD" w:rsidRPr="00BB5169" w:rsidRDefault="00247EDD" w:rsidP="00FF2C9D">
      <w:pPr>
        <w:pStyle w:val="FootnoteText"/>
        <w:rPr>
          <w:rFonts w:ascii="Times New Roman" w:hAnsi="Times New Roman" w:cs="Times New Roman"/>
          <w:lang w:val="en-US"/>
        </w:rPr>
      </w:pPr>
    </w:p>
  </w:footnote>
  <w:footnote w:id="81">
    <w:p w14:paraId="1D825344" w14:textId="4D30C7AA" w:rsidR="00247EDD" w:rsidRPr="00BB5169" w:rsidRDefault="00247EDD" w:rsidP="00A37067">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BB5169">
          <w:rPr>
            <w:rStyle w:val="Hyperlink"/>
            <w:rFonts w:ascii="Times New Roman" w:hAnsi="Times New Roman" w:cs="Times New Roman"/>
          </w:rPr>
          <w:t>http://medieval-inquisition.huma-num.fr/MS609/encoding</w:t>
        </w:r>
      </w:hyperlink>
    </w:p>
    <w:p w14:paraId="3863841C" w14:textId="77777777" w:rsidR="00247EDD" w:rsidRPr="00BB5169" w:rsidRDefault="00247EDD" w:rsidP="00A37067">
      <w:pPr>
        <w:pStyle w:val="FootnoteText"/>
        <w:ind w:firstLine="720"/>
        <w:rPr>
          <w:rFonts w:ascii="Times New Roman" w:hAnsi="Times New Roman" w:cs="Times New Roman"/>
          <w:lang w:val="en-US"/>
        </w:rPr>
      </w:pPr>
    </w:p>
  </w:footnote>
  <w:footnote w:id="82">
    <w:p w14:paraId="11EE415D" w14:textId="543684AC" w:rsidR="00247EDD" w:rsidRPr="00BB5169" w:rsidRDefault="00247EDD" w:rsidP="009717E3">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lang w:val="en-US"/>
        </w:rPr>
        <w:t xml:space="preserve"> Every file I created that is associated with this project can be found in the following public GitHub repository: </w:t>
      </w:r>
      <w:hyperlink r:id="rId3" w:history="1">
        <w:r w:rsidRPr="00BB5169">
          <w:rPr>
            <w:rStyle w:val="Hyperlink"/>
            <w:rFonts w:ascii="Times New Roman" w:hAnsi="Times New Roman" w:cs="Times New Roman"/>
            <w:lang w:val="en-US"/>
          </w:rPr>
          <w:t>https://github.com/MadelinePL/seniorthesis</w:t>
        </w:r>
      </w:hyperlink>
    </w:p>
    <w:p w14:paraId="123CA3FA" w14:textId="77777777" w:rsidR="00247EDD" w:rsidRPr="00BB5169" w:rsidRDefault="00247EDD" w:rsidP="009717E3">
      <w:pPr>
        <w:pStyle w:val="FootnoteText"/>
        <w:ind w:firstLine="720"/>
        <w:rPr>
          <w:rFonts w:ascii="Times New Roman" w:hAnsi="Times New Roman" w:cs="Times New Roman"/>
          <w:lang w:val="en-US"/>
        </w:rPr>
      </w:pPr>
    </w:p>
  </w:footnote>
  <w:footnote w:id="83">
    <w:p w14:paraId="3D38B422" w14:textId="6EE91BE7" w:rsidR="00247EDD" w:rsidRPr="00BB5169" w:rsidRDefault="00247EDD" w:rsidP="004D5F6B">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XPath is a query language used to navigate through elements of XML documents.</w:t>
      </w:r>
    </w:p>
  </w:footnote>
  <w:footnote w:id="84">
    <w:p w14:paraId="39F15FB5" w14:textId="27A42928" w:rsidR="00247EDD" w:rsidRPr="00BB5169" w:rsidRDefault="00247EDD" w:rsidP="00061DCD">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rPr>
        <w:t xml:space="preserve"> I added the data from my sightings spreadsheet into my events spreadsheet for analytical purposes.  </w:t>
      </w:r>
    </w:p>
  </w:footnote>
  <w:footnote w:id="85">
    <w:p w14:paraId="7F3D93D3" w14:textId="7147B52A" w:rsidR="00247EDD" w:rsidRPr="00BB5169" w:rsidRDefault="00247EDD" w:rsidP="000661B4">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Pegg, </w:t>
      </w:r>
      <w:r w:rsidRPr="00BB5169">
        <w:rPr>
          <w:rFonts w:ascii="Times New Roman" w:eastAsia="Times New Roman" w:hAnsi="Times New Roman" w:cs="Times New Roman"/>
          <w:i/>
        </w:rPr>
        <w:t>The Corruption of Angels</w:t>
      </w:r>
      <w:r w:rsidRPr="00BB5169">
        <w:rPr>
          <w:rFonts w:ascii="Times New Roman" w:eastAsia="Times New Roman" w:hAnsi="Times New Roman" w:cs="Times New Roman"/>
        </w:rPr>
        <w:t>, pp. 86-89.</w:t>
      </w:r>
      <w:r w:rsidRPr="00BB5169">
        <w:rPr>
          <w:rFonts w:ascii="Times New Roman" w:hAnsi="Times New Roman" w:cs="Times New Roman"/>
        </w:rPr>
        <w:t xml:space="preserve"> </w:t>
      </w:r>
    </w:p>
    <w:p w14:paraId="66FE0796" w14:textId="77777777" w:rsidR="00247EDD" w:rsidRPr="00BB5169" w:rsidRDefault="00247EDD" w:rsidP="000661B4">
      <w:pPr>
        <w:pStyle w:val="FootnoteText"/>
        <w:ind w:firstLine="720"/>
        <w:rPr>
          <w:rFonts w:ascii="Times New Roman" w:hAnsi="Times New Roman" w:cs="Times New Roman"/>
        </w:rPr>
      </w:pPr>
    </w:p>
  </w:footnote>
  <w:footnote w:id="86">
    <w:p w14:paraId="59947C57" w14:textId="6D901FD2" w:rsidR="00247EDD" w:rsidRPr="00BB5169" w:rsidRDefault="00247EDD" w:rsidP="00C53551">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247EDD" w:rsidRPr="00BB5169" w:rsidRDefault="00247EDD" w:rsidP="00C53551">
      <w:pPr>
        <w:pStyle w:val="FootnoteText"/>
        <w:ind w:firstLine="720"/>
        <w:rPr>
          <w:rFonts w:ascii="Times New Roman" w:hAnsi="Times New Roman" w:cs="Times New Roman"/>
          <w:lang w:val="en-US"/>
        </w:rPr>
      </w:pPr>
    </w:p>
  </w:footnote>
  <w:footnote w:id="87">
    <w:p w14:paraId="5F71E190" w14:textId="0D959E67" w:rsidR="00247EDD" w:rsidRPr="00BB5169" w:rsidRDefault="00247EDD" w:rsidP="00477F07">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 xml:space="preserve">Peter Biller, “Cathars and the Natural World,” in </w:t>
      </w:r>
      <w:r w:rsidRPr="00BB5169">
        <w:rPr>
          <w:rFonts w:ascii="Times New Roman" w:eastAsia="Times New Roman" w:hAnsi="Times New Roman" w:cs="Times New Roman"/>
          <w:i/>
        </w:rPr>
        <w:t>God’s Bounty? The Churches and the Natural World</w:t>
      </w:r>
      <w:r w:rsidRPr="00BB5169">
        <w:rPr>
          <w:rFonts w:ascii="Times New Roman" w:eastAsia="Times New Roman" w:hAnsi="Times New Roman" w:cs="Times New Roman"/>
        </w:rPr>
        <w:t>, ed. Peter Clarke and Tony Claydon (Woodbridge, UK: The Boydell Press, 2010), p. 104.</w:t>
      </w:r>
      <w:r w:rsidRPr="00BB5169">
        <w:rPr>
          <w:rFonts w:ascii="Times New Roman" w:hAnsi="Times New Roman" w:cs="Times New Roman"/>
        </w:rPr>
        <w:t xml:space="preserve"> </w:t>
      </w:r>
    </w:p>
    <w:p w14:paraId="62C4EE5F" w14:textId="77777777" w:rsidR="00247EDD" w:rsidRPr="00BB5169" w:rsidRDefault="00247EDD" w:rsidP="00477F07">
      <w:pPr>
        <w:pStyle w:val="FootnoteText"/>
        <w:ind w:firstLine="720"/>
        <w:rPr>
          <w:rFonts w:ascii="Times New Roman" w:hAnsi="Times New Roman" w:cs="Times New Roman"/>
          <w:lang w:val="en-US"/>
        </w:rPr>
      </w:pPr>
    </w:p>
  </w:footnote>
  <w:footnote w:id="88">
    <w:p w14:paraId="5E2C164E" w14:textId="776765A8" w:rsidR="00247EDD" w:rsidRPr="00BB5169" w:rsidRDefault="00247EDD" w:rsidP="00A90E12">
      <w:pPr>
        <w:pStyle w:val="FootnoteText"/>
        <w:ind w:firstLine="720"/>
        <w:rPr>
          <w:rFonts w:ascii="Times New Roman" w:hAnsi="Times New Roman" w:cs="Times New Roman"/>
          <w:lang w:val="en-US"/>
        </w:rPr>
      </w:pPr>
      <w:r w:rsidRPr="00BB5169">
        <w:rPr>
          <w:rStyle w:val="FootnoteReference"/>
          <w:rFonts w:ascii="Times New Roman" w:hAnsi="Times New Roman" w:cs="Times New Roman"/>
          <w:highlight w:val="yellow"/>
        </w:rPr>
        <w:footnoteRef/>
      </w:r>
      <w:r w:rsidRPr="00BB5169">
        <w:rPr>
          <w:rFonts w:ascii="Times New Roman" w:hAnsi="Times New Roman" w:cs="Times New Roman"/>
          <w:highlight w:val="yellow"/>
        </w:rPr>
        <w:t xml:space="preserve"> FOOTNOTE BABYYYYY</w:t>
      </w:r>
    </w:p>
    <w:p w14:paraId="7761A0EC" w14:textId="77777777" w:rsidR="00247EDD" w:rsidRPr="00BB5169" w:rsidRDefault="00247EDD">
      <w:pPr>
        <w:pStyle w:val="FootnoteText"/>
        <w:rPr>
          <w:rFonts w:ascii="Times New Roman" w:hAnsi="Times New Roman" w:cs="Times New Roman"/>
          <w:lang w:val="en-US"/>
        </w:rPr>
      </w:pPr>
    </w:p>
  </w:footnote>
  <w:footnote w:id="89">
    <w:p w14:paraId="6D239718" w14:textId="0C3D179B" w:rsidR="00247EDD" w:rsidRPr="00BB5169" w:rsidRDefault="00247EDD" w:rsidP="00B33CE8">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eastAsia="Times New Roman" w:hAnsi="Times New Roman" w:cs="Times New Roman"/>
        </w:rPr>
        <w:t>Biller, “Cathars and the Natural World,” pp. 102-105.</w:t>
      </w:r>
      <w:r w:rsidRPr="00BB5169">
        <w:rPr>
          <w:rFonts w:ascii="Times New Roman" w:hAnsi="Times New Roman" w:cs="Times New Roman"/>
        </w:rPr>
        <w:t xml:space="preserve"> </w:t>
      </w:r>
    </w:p>
    <w:p w14:paraId="5E574C58" w14:textId="77777777" w:rsidR="00247EDD" w:rsidRPr="00BB5169" w:rsidRDefault="00247EDD" w:rsidP="00B33CE8">
      <w:pPr>
        <w:pStyle w:val="FootnoteText"/>
        <w:ind w:firstLine="720"/>
        <w:rPr>
          <w:rFonts w:ascii="Times New Roman" w:hAnsi="Times New Roman" w:cs="Times New Roman"/>
          <w:lang w:val="en-US"/>
        </w:rPr>
      </w:pPr>
    </w:p>
  </w:footnote>
  <w:footnote w:id="90">
    <w:p w14:paraId="09F97CB4" w14:textId="2D2D12B3" w:rsidR="00247EDD" w:rsidRPr="00BB5169" w:rsidRDefault="00247EDD" w:rsidP="00886234">
      <w:pPr>
        <w:pStyle w:val="FootnoteText"/>
        <w:ind w:firstLine="720"/>
        <w:rPr>
          <w:rFonts w:ascii="Times New Roman" w:hAnsi="Times New Roman" w:cs="Times New Roman"/>
          <w:lang w:val="en-US"/>
        </w:rPr>
      </w:pPr>
      <w:r w:rsidRPr="00BB5169">
        <w:rPr>
          <w:rStyle w:val="FootnoteReference"/>
          <w:rFonts w:ascii="Times New Roman" w:hAnsi="Times New Roman" w:cs="Times New Roman"/>
          <w:highlight w:val="yellow"/>
        </w:rPr>
        <w:footnoteRef/>
      </w:r>
      <w:r w:rsidRPr="00BB5169">
        <w:rPr>
          <w:rFonts w:ascii="Times New Roman" w:hAnsi="Times New Roman" w:cs="Times New Roman"/>
          <w:highlight w:val="yellow"/>
        </w:rPr>
        <w:t xml:space="preserve"> FOOTNOTE AGAIN BABYYYY (also cathars in question)</w:t>
      </w:r>
    </w:p>
  </w:footnote>
  <w:footnote w:id="91">
    <w:p w14:paraId="5F343E47" w14:textId="3E51E160" w:rsidR="00247EDD" w:rsidRPr="00BB5169" w:rsidRDefault="00247EDD" w:rsidP="006455A8">
      <w:pPr>
        <w:pStyle w:val="FootnoteText"/>
        <w:ind w:firstLine="720"/>
        <w:rPr>
          <w:rFonts w:ascii="Times New Roman" w:hAnsi="Times New Roman" w:cs="Times New Roman"/>
        </w:rPr>
      </w:pPr>
      <w:r w:rsidRPr="00BB5169">
        <w:rPr>
          <w:rStyle w:val="FootnoteReference"/>
          <w:rFonts w:ascii="Times New Roman" w:hAnsi="Times New Roman" w:cs="Times New Roman"/>
        </w:rPr>
        <w:footnoteRef/>
      </w:r>
      <w:r w:rsidRPr="00BB5169">
        <w:rPr>
          <w:rFonts w:ascii="Times New Roman" w:hAnsi="Times New Roman" w:cs="Times New Roman"/>
        </w:rPr>
        <w:t xml:space="preserve"> MS 609,  fol. 22v.</w:t>
      </w:r>
    </w:p>
    <w:p w14:paraId="17B07BE1" w14:textId="77777777" w:rsidR="00247EDD" w:rsidRPr="00BB5169" w:rsidRDefault="00247EDD" w:rsidP="006455A8">
      <w:pPr>
        <w:pStyle w:val="FootnoteText"/>
        <w:ind w:firstLine="720"/>
        <w:rPr>
          <w:rFonts w:ascii="Times New Roman" w:hAnsi="Times New Roman" w:cs="Times New Roman"/>
          <w:lang w:val="en-US"/>
        </w:rPr>
      </w:pPr>
    </w:p>
  </w:footnote>
  <w:footnote w:id="92">
    <w:p w14:paraId="3A409835" w14:textId="64DE18BE" w:rsidR="00247EDD" w:rsidRPr="00BB5169" w:rsidRDefault="00247EDD" w:rsidP="006965E4">
      <w:pPr>
        <w:pStyle w:val="FootnoteText"/>
        <w:ind w:firstLine="720"/>
        <w:rPr>
          <w:rFonts w:ascii="Times New Roman" w:hAnsi="Times New Roman" w:cs="Times New Roman"/>
        </w:rPr>
      </w:pPr>
      <w:r w:rsidRPr="00BB5169">
        <w:rPr>
          <w:rStyle w:val="FootnoteReference"/>
          <w:rFonts w:ascii="Times New Roman" w:hAnsi="Times New Roman" w:cs="Times New Roman"/>
          <w:highlight w:val="yellow"/>
        </w:rPr>
        <w:footnoteRef/>
      </w:r>
      <w:r w:rsidRPr="00BB5169">
        <w:rPr>
          <w:rFonts w:ascii="Times New Roman" w:hAnsi="Times New Roman" w:cs="Times New Roman"/>
          <w:highlight w:val="yellow"/>
        </w:rPr>
        <w:t xml:space="preserve"> </w:t>
      </w:r>
      <w:r w:rsidRPr="00BB5169">
        <w:rPr>
          <w:rFonts w:ascii="Times New Roman" w:eastAsia="Times New Roman" w:hAnsi="Times New Roman" w:cs="Times New Roman"/>
          <w:highlight w:val="yellow"/>
        </w:rPr>
        <w:t>Biller, “Cathars and the Natural World,” p. 101.</w:t>
      </w:r>
    </w:p>
    <w:p w14:paraId="31B61E1F" w14:textId="67D0E376" w:rsidR="00247EDD" w:rsidRPr="00BB5169" w:rsidRDefault="00247EDD">
      <w:pPr>
        <w:pStyle w:val="FootnoteText"/>
        <w:rPr>
          <w:rFonts w:ascii="Times New Roman" w:hAnsi="Times New Roman" w:cs="Times New Roman"/>
          <w:lang w:val="en-US"/>
        </w:rPr>
      </w:pPr>
    </w:p>
  </w:footnote>
  <w:footnote w:id="93">
    <w:p w14:paraId="31C28CEB" w14:textId="67DD604A" w:rsidR="00247EDD" w:rsidRPr="00BB5169" w:rsidRDefault="00247EDD" w:rsidP="00D84753">
      <w:pPr>
        <w:pStyle w:val="FootnoteText"/>
        <w:ind w:firstLine="720"/>
        <w:rPr>
          <w:rFonts w:ascii="Times New Roman" w:hAnsi="Times New Roman" w:cs="Times New Roman"/>
        </w:rPr>
      </w:pPr>
      <w:r w:rsidRPr="00BB5169">
        <w:rPr>
          <w:rStyle w:val="FootnoteReference"/>
          <w:rFonts w:ascii="Times New Roman" w:hAnsi="Times New Roman" w:cs="Times New Roman"/>
          <w:highlight w:val="yellow"/>
        </w:rPr>
        <w:footnoteRef/>
      </w:r>
      <w:r w:rsidRPr="00BB5169">
        <w:rPr>
          <w:rFonts w:ascii="Times New Roman" w:hAnsi="Times New Roman" w:cs="Times New Roman"/>
          <w:highlight w:val="yellow"/>
        </w:rPr>
        <w:t xml:space="preserve"> </w:t>
      </w:r>
      <w:r w:rsidRPr="00BB5169">
        <w:rPr>
          <w:rFonts w:ascii="Times New Roman" w:eastAsia="Times New Roman" w:hAnsi="Times New Roman" w:cs="Times New Roman"/>
          <w:highlight w:val="yellow"/>
        </w:rPr>
        <w:t>Biller, “Cathars and the Natural World,” pp. 102-110.</w:t>
      </w:r>
    </w:p>
    <w:p w14:paraId="6A9E8D2A" w14:textId="77777777" w:rsidR="00247EDD" w:rsidRPr="00BB5169" w:rsidRDefault="00247EDD" w:rsidP="00E42082">
      <w:pPr>
        <w:pStyle w:val="FootnoteText"/>
        <w:ind w:firstLine="720"/>
        <w:rPr>
          <w:rFonts w:ascii="Times New Roman" w:hAnsi="Times New Roman" w:cs="Times New Roman"/>
          <w:lang w:val="en-US"/>
        </w:rPr>
      </w:pPr>
    </w:p>
  </w:footnote>
  <w:footnote w:id="94">
    <w:p w14:paraId="4F814895" w14:textId="5C3FC9D0" w:rsidR="00247EDD" w:rsidRPr="00BB5169" w:rsidRDefault="00247EDD" w:rsidP="008D273A">
      <w:pPr>
        <w:pStyle w:val="FootnoteText"/>
        <w:ind w:firstLine="720"/>
        <w:rPr>
          <w:rFonts w:ascii="Times New Roman" w:hAnsi="Times New Roman" w:cs="Times New Roman"/>
          <w:lang w:val="en-US"/>
        </w:rPr>
      </w:pPr>
      <w:r w:rsidRPr="00BB5169">
        <w:rPr>
          <w:rStyle w:val="FootnoteReference"/>
          <w:rFonts w:ascii="Times New Roman" w:hAnsi="Times New Roman" w:cs="Times New Roman"/>
        </w:rPr>
        <w:footnoteRef/>
      </w:r>
      <w:r w:rsidRPr="00BB5169">
        <w:rPr>
          <w:rFonts w:ascii="Times New Roman" w:hAnsi="Times New Roman" w:cs="Times New Roman"/>
        </w:rPr>
        <w:t xml:space="preserve"> </w:t>
      </w:r>
      <w:r w:rsidRPr="00BB5169">
        <w:rPr>
          <w:rFonts w:ascii="Times New Roman" w:hAnsi="Times New Roman" w:cs="Times New Roman"/>
          <w:highlight w:val="yellow"/>
          <w:lang w:val="en-US"/>
        </w:rPr>
        <w:t>CITE</w:t>
      </w:r>
    </w:p>
    <w:p w14:paraId="6C38690B" w14:textId="77777777" w:rsidR="00247EDD" w:rsidRPr="00BB5169" w:rsidRDefault="00247EDD" w:rsidP="00282249">
      <w:pPr>
        <w:pStyle w:val="FootnoteText"/>
        <w:rPr>
          <w:rFonts w:ascii="Times New Roman" w:hAnsi="Times New Roman" w:cs="Times New Roman"/>
          <w:lang w:val="en-US"/>
        </w:rPr>
      </w:pPr>
    </w:p>
  </w:footnote>
  <w:footnote w:id="95">
    <w:p w14:paraId="7488E937" w14:textId="6565994C" w:rsidR="00247EDD" w:rsidRPr="00BB5169" w:rsidRDefault="00247EDD" w:rsidP="00705DF8">
      <w:pPr>
        <w:pStyle w:val="FootnoteText"/>
        <w:ind w:firstLine="720"/>
        <w:rPr>
          <w:rFonts w:ascii="Times New Roman" w:hAnsi="Times New Roman" w:cs="Times New Roman"/>
          <w:lang w:val="en-US"/>
        </w:rPr>
      </w:pPr>
      <w:r w:rsidRPr="00BB5169">
        <w:rPr>
          <w:rStyle w:val="FootnoteReference"/>
          <w:rFonts w:ascii="Times New Roman" w:hAnsi="Times New Roman" w:cs="Times New Roman"/>
          <w:highlight w:val="yellow"/>
        </w:rPr>
        <w:footnoteRef/>
      </w:r>
      <w:r w:rsidRPr="00BB5169">
        <w:rPr>
          <w:rFonts w:ascii="Times New Roman" w:hAnsi="Times New Roman" w:cs="Times New Roman"/>
          <w:highlight w:val="yellow"/>
        </w:rPr>
        <w:t xml:space="preserve"> David Greenstein and N. Morgan, “Software for Historians?” in </w:t>
      </w:r>
      <w:r w:rsidRPr="00BB5169">
        <w:rPr>
          <w:rFonts w:ascii="Times New Roman" w:hAnsi="Times New Roman" w:cs="Times New Roman"/>
          <w:i/>
          <w:highlight w:val="yellow"/>
        </w:rPr>
        <w:t>History and Computing</w:t>
      </w:r>
      <w:r w:rsidRPr="00BB5169">
        <w:rPr>
          <w:rFonts w:ascii="Times New Roman" w:hAnsi="Times New Roman" w:cs="Times New Roman"/>
          <w:highlight w:val="yellow"/>
        </w:rPr>
        <w:t>, 1 (1989):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0FE"/>
    <w:rsid w:val="000828E9"/>
    <w:rsid w:val="00086539"/>
    <w:rsid w:val="00090921"/>
    <w:rsid w:val="00093524"/>
    <w:rsid w:val="0009391A"/>
    <w:rsid w:val="000954DC"/>
    <w:rsid w:val="000971E9"/>
    <w:rsid w:val="00097EEC"/>
    <w:rsid w:val="000A300E"/>
    <w:rsid w:val="000A4817"/>
    <w:rsid w:val="000A5F51"/>
    <w:rsid w:val="000B15E2"/>
    <w:rsid w:val="000B5D1C"/>
    <w:rsid w:val="000C0C1F"/>
    <w:rsid w:val="000C1D4B"/>
    <w:rsid w:val="000C2BA5"/>
    <w:rsid w:val="000C32FD"/>
    <w:rsid w:val="000C546C"/>
    <w:rsid w:val="000C55F2"/>
    <w:rsid w:val="000C5A83"/>
    <w:rsid w:val="000D2ECA"/>
    <w:rsid w:val="000E0392"/>
    <w:rsid w:val="000E15A5"/>
    <w:rsid w:val="000E260F"/>
    <w:rsid w:val="000E39B7"/>
    <w:rsid w:val="000E3AAC"/>
    <w:rsid w:val="000E54BB"/>
    <w:rsid w:val="000E677C"/>
    <w:rsid w:val="000F4224"/>
    <w:rsid w:val="000F446D"/>
    <w:rsid w:val="000F5215"/>
    <w:rsid w:val="000F743A"/>
    <w:rsid w:val="00117446"/>
    <w:rsid w:val="0012062C"/>
    <w:rsid w:val="0012393F"/>
    <w:rsid w:val="00130A25"/>
    <w:rsid w:val="0013106E"/>
    <w:rsid w:val="001326A7"/>
    <w:rsid w:val="00133535"/>
    <w:rsid w:val="00134FB4"/>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419"/>
    <w:rsid w:val="001705B7"/>
    <w:rsid w:val="00170D3C"/>
    <w:rsid w:val="001710FE"/>
    <w:rsid w:val="0017164D"/>
    <w:rsid w:val="001718CB"/>
    <w:rsid w:val="0017397E"/>
    <w:rsid w:val="0017524E"/>
    <w:rsid w:val="001765C4"/>
    <w:rsid w:val="001851FF"/>
    <w:rsid w:val="00191A70"/>
    <w:rsid w:val="00192DA8"/>
    <w:rsid w:val="00193F32"/>
    <w:rsid w:val="001A0153"/>
    <w:rsid w:val="001A1889"/>
    <w:rsid w:val="001A226F"/>
    <w:rsid w:val="001A575F"/>
    <w:rsid w:val="001A625F"/>
    <w:rsid w:val="001A7CEA"/>
    <w:rsid w:val="001B3218"/>
    <w:rsid w:val="001B3E38"/>
    <w:rsid w:val="001C0DF6"/>
    <w:rsid w:val="001C2F54"/>
    <w:rsid w:val="001C7B4C"/>
    <w:rsid w:val="001D0721"/>
    <w:rsid w:val="001D21FA"/>
    <w:rsid w:val="001D3EFD"/>
    <w:rsid w:val="001D4082"/>
    <w:rsid w:val="001D45A6"/>
    <w:rsid w:val="001E000C"/>
    <w:rsid w:val="001E3DBB"/>
    <w:rsid w:val="001F2EC2"/>
    <w:rsid w:val="001F5513"/>
    <w:rsid w:val="001F688C"/>
    <w:rsid w:val="002011AF"/>
    <w:rsid w:val="00206DD7"/>
    <w:rsid w:val="00207816"/>
    <w:rsid w:val="002119BB"/>
    <w:rsid w:val="00220669"/>
    <w:rsid w:val="00221A46"/>
    <w:rsid w:val="002328AE"/>
    <w:rsid w:val="00243995"/>
    <w:rsid w:val="002441FE"/>
    <w:rsid w:val="00247556"/>
    <w:rsid w:val="00247EDD"/>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099C"/>
    <w:rsid w:val="002D3025"/>
    <w:rsid w:val="002D5EF9"/>
    <w:rsid w:val="002D796F"/>
    <w:rsid w:val="002E3DB4"/>
    <w:rsid w:val="002E4F7F"/>
    <w:rsid w:val="002E647B"/>
    <w:rsid w:val="002E717F"/>
    <w:rsid w:val="002F38EA"/>
    <w:rsid w:val="002F43B9"/>
    <w:rsid w:val="002F5259"/>
    <w:rsid w:val="002F5E70"/>
    <w:rsid w:val="002F70AD"/>
    <w:rsid w:val="003016BD"/>
    <w:rsid w:val="00301AC1"/>
    <w:rsid w:val="0030304F"/>
    <w:rsid w:val="00306807"/>
    <w:rsid w:val="00307D03"/>
    <w:rsid w:val="003138F4"/>
    <w:rsid w:val="003171DB"/>
    <w:rsid w:val="0031771D"/>
    <w:rsid w:val="00320ADC"/>
    <w:rsid w:val="00324DEF"/>
    <w:rsid w:val="003261BE"/>
    <w:rsid w:val="00326388"/>
    <w:rsid w:val="0033055C"/>
    <w:rsid w:val="003324C3"/>
    <w:rsid w:val="00332BE1"/>
    <w:rsid w:val="00341DFD"/>
    <w:rsid w:val="00343109"/>
    <w:rsid w:val="0035045F"/>
    <w:rsid w:val="00352FB6"/>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0DAF"/>
    <w:rsid w:val="003A2C5B"/>
    <w:rsid w:val="003A2CDC"/>
    <w:rsid w:val="003A4812"/>
    <w:rsid w:val="003A755C"/>
    <w:rsid w:val="003A791D"/>
    <w:rsid w:val="003B13D8"/>
    <w:rsid w:val="003B2A90"/>
    <w:rsid w:val="003B35E4"/>
    <w:rsid w:val="003C0967"/>
    <w:rsid w:val="003C2AA6"/>
    <w:rsid w:val="003C6240"/>
    <w:rsid w:val="003D1A23"/>
    <w:rsid w:val="003D4F15"/>
    <w:rsid w:val="003E6ED5"/>
    <w:rsid w:val="003F4178"/>
    <w:rsid w:val="003F4DCC"/>
    <w:rsid w:val="003F5885"/>
    <w:rsid w:val="00402933"/>
    <w:rsid w:val="00402B47"/>
    <w:rsid w:val="00410B23"/>
    <w:rsid w:val="004128D7"/>
    <w:rsid w:val="00412929"/>
    <w:rsid w:val="00414A4B"/>
    <w:rsid w:val="00416FD9"/>
    <w:rsid w:val="00420864"/>
    <w:rsid w:val="0042169D"/>
    <w:rsid w:val="0042294D"/>
    <w:rsid w:val="00430796"/>
    <w:rsid w:val="00434CCF"/>
    <w:rsid w:val="0044095F"/>
    <w:rsid w:val="00441111"/>
    <w:rsid w:val="004440E0"/>
    <w:rsid w:val="004448D5"/>
    <w:rsid w:val="0044526B"/>
    <w:rsid w:val="0045042C"/>
    <w:rsid w:val="00452CC6"/>
    <w:rsid w:val="004538A8"/>
    <w:rsid w:val="00453C94"/>
    <w:rsid w:val="00454555"/>
    <w:rsid w:val="00455CE2"/>
    <w:rsid w:val="0046495E"/>
    <w:rsid w:val="004720EE"/>
    <w:rsid w:val="004759AF"/>
    <w:rsid w:val="004759F8"/>
    <w:rsid w:val="00475F68"/>
    <w:rsid w:val="0047662F"/>
    <w:rsid w:val="004769B9"/>
    <w:rsid w:val="00477CD7"/>
    <w:rsid w:val="00477F07"/>
    <w:rsid w:val="00484AB2"/>
    <w:rsid w:val="00492213"/>
    <w:rsid w:val="00493494"/>
    <w:rsid w:val="004A0113"/>
    <w:rsid w:val="004A215B"/>
    <w:rsid w:val="004A2289"/>
    <w:rsid w:val="004A48C3"/>
    <w:rsid w:val="004A7E5F"/>
    <w:rsid w:val="004B3B2F"/>
    <w:rsid w:val="004C416F"/>
    <w:rsid w:val="004C4F16"/>
    <w:rsid w:val="004C6DB3"/>
    <w:rsid w:val="004C72A5"/>
    <w:rsid w:val="004C7A6C"/>
    <w:rsid w:val="004D012B"/>
    <w:rsid w:val="004D0BB0"/>
    <w:rsid w:val="004D351F"/>
    <w:rsid w:val="004D4ECC"/>
    <w:rsid w:val="004D5F6B"/>
    <w:rsid w:val="004E3925"/>
    <w:rsid w:val="004E49AA"/>
    <w:rsid w:val="004E4E2A"/>
    <w:rsid w:val="004E652E"/>
    <w:rsid w:val="004E75F6"/>
    <w:rsid w:val="004E7726"/>
    <w:rsid w:val="004F053A"/>
    <w:rsid w:val="004F0ACD"/>
    <w:rsid w:val="004F1BE0"/>
    <w:rsid w:val="004F43DD"/>
    <w:rsid w:val="004F4606"/>
    <w:rsid w:val="0050417A"/>
    <w:rsid w:val="00506F5A"/>
    <w:rsid w:val="00514580"/>
    <w:rsid w:val="00514717"/>
    <w:rsid w:val="00520048"/>
    <w:rsid w:val="00525878"/>
    <w:rsid w:val="005260D9"/>
    <w:rsid w:val="00532A99"/>
    <w:rsid w:val="005353D4"/>
    <w:rsid w:val="005413D2"/>
    <w:rsid w:val="0054164E"/>
    <w:rsid w:val="0054186D"/>
    <w:rsid w:val="00557001"/>
    <w:rsid w:val="0056273E"/>
    <w:rsid w:val="00563A73"/>
    <w:rsid w:val="0056540B"/>
    <w:rsid w:val="00567EFA"/>
    <w:rsid w:val="00576491"/>
    <w:rsid w:val="0058043A"/>
    <w:rsid w:val="00593B0D"/>
    <w:rsid w:val="005969F3"/>
    <w:rsid w:val="005A42B6"/>
    <w:rsid w:val="005A6E74"/>
    <w:rsid w:val="005A7C09"/>
    <w:rsid w:val="005B0FCD"/>
    <w:rsid w:val="005B10F7"/>
    <w:rsid w:val="005B16A8"/>
    <w:rsid w:val="005B1FF0"/>
    <w:rsid w:val="005C0084"/>
    <w:rsid w:val="005C39FE"/>
    <w:rsid w:val="005C595F"/>
    <w:rsid w:val="005D102A"/>
    <w:rsid w:val="005D6B1C"/>
    <w:rsid w:val="005D7356"/>
    <w:rsid w:val="005E0A21"/>
    <w:rsid w:val="005E34A7"/>
    <w:rsid w:val="005E52DA"/>
    <w:rsid w:val="005F10AE"/>
    <w:rsid w:val="005F613F"/>
    <w:rsid w:val="005F7BB1"/>
    <w:rsid w:val="00605AA8"/>
    <w:rsid w:val="00606D67"/>
    <w:rsid w:val="00606D6C"/>
    <w:rsid w:val="00611051"/>
    <w:rsid w:val="00611A84"/>
    <w:rsid w:val="00621FA3"/>
    <w:rsid w:val="006279EF"/>
    <w:rsid w:val="00631559"/>
    <w:rsid w:val="00632FE0"/>
    <w:rsid w:val="00640932"/>
    <w:rsid w:val="00642207"/>
    <w:rsid w:val="006455A8"/>
    <w:rsid w:val="00651E1F"/>
    <w:rsid w:val="0065325D"/>
    <w:rsid w:val="00670B73"/>
    <w:rsid w:val="00670BD7"/>
    <w:rsid w:val="00672FCD"/>
    <w:rsid w:val="0067584B"/>
    <w:rsid w:val="00677F4F"/>
    <w:rsid w:val="00680DBC"/>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3DCA"/>
    <w:rsid w:val="006C6AF6"/>
    <w:rsid w:val="006C7D33"/>
    <w:rsid w:val="006D2288"/>
    <w:rsid w:val="006D23FB"/>
    <w:rsid w:val="006D35E8"/>
    <w:rsid w:val="006D362D"/>
    <w:rsid w:val="006D5082"/>
    <w:rsid w:val="006F060E"/>
    <w:rsid w:val="006F31D0"/>
    <w:rsid w:val="006F60F5"/>
    <w:rsid w:val="00700D55"/>
    <w:rsid w:val="00705DF8"/>
    <w:rsid w:val="0070774E"/>
    <w:rsid w:val="00712E76"/>
    <w:rsid w:val="00712F34"/>
    <w:rsid w:val="00713B45"/>
    <w:rsid w:val="00713E2E"/>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312E"/>
    <w:rsid w:val="00763B31"/>
    <w:rsid w:val="0076506A"/>
    <w:rsid w:val="00765795"/>
    <w:rsid w:val="00766259"/>
    <w:rsid w:val="00766CE6"/>
    <w:rsid w:val="00767F90"/>
    <w:rsid w:val="0077429D"/>
    <w:rsid w:val="00777740"/>
    <w:rsid w:val="00781F94"/>
    <w:rsid w:val="0078211F"/>
    <w:rsid w:val="00784D36"/>
    <w:rsid w:val="00787BE8"/>
    <w:rsid w:val="007A55F6"/>
    <w:rsid w:val="007A782D"/>
    <w:rsid w:val="007B0FBE"/>
    <w:rsid w:val="007B5047"/>
    <w:rsid w:val="007C0277"/>
    <w:rsid w:val="007C42C0"/>
    <w:rsid w:val="007C4F20"/>
    <w:rsid w:val="007C5A40"/>
    <w:rsid w:val="007C7BA7"/>
    <w:rsid w:val="007D19AE"/>
    <w:rsid w:val="007D2319"/>
    <w:rsid w:val="007E1F56"/>
    <w:rsid w:val="007E3084"/>
    <w:rsid w:val="007F07E5"/>
    <w:rsid w:val="007F0ECC"/>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852"/>
    <w:rsid w:val="00864F92"/>
    <w:rsid w:val="00867A23"/>
    <w:rsid w:val="00874798"/>
    <w:rsid w:val="008811C8"/>
    <w:rsid w:val="0088186E"/>
    <w:rsid w:val="00886234"/>
    <w:rsid w:val="00894505"/>
    <w:rsid w:val="008A0C59"/>
    <w:rsid w:val="008A2822"/>
    <w:rsid w:val="008A7CB3"/>
    <w:rsid w:val="008B04F6"/>
    <w:rsid w:val="008B11BD"/>
    <w:rsid w:val="008B36FD"/>
    <w:rsid w:val="008B519B"/>
    <w:rsid w:val="008B6229"/>
    <w:rsid w:val="008C1418"/>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3454"/>
    <w:rsid w:val="00944B8D"/>
    <w:rsid w:val="00947096"/>
    <w:rsid w:val="009520A7"/>
    <w:rsid w:val="009531B4"/>
    <w:rsid w:val="0095536C"/>
    <w:rsid w:val="00955CE7"/>
    <w:rsid w:val="00955FB9"/>
    <w:rsid w:val="0095755C"/>
    <w:rsid w:val="00961A9D"/>
    <w:rsid w:val="00961F37"/>
    <w:rsid w:val="0096350E"/>
    <w:rsid w:val="00964FA0"/>
    <w:rsid w:val="00970965"/>
    <w:rsid w:val="009717E3"/>
    <w:rsid w:val="009735DB"/>
    <w:rsid w:val="00976B93"/>
    <w:rsid w:val="009864B5"/>
    <w:rsid w:val="00990135"/>
    <w:rsid w:val="00990E23"/>
    <w:rsid w:val="00993F2D"/>
    <w:rsid w:val="009969E9"/>
    <w:rsid w:val="009971E8"/>
    <w:rsid w:val="009A4724"/>
    <w:rsid w:val="009A73F3"/>
    <w:rsid w:val="009B5733"/>
    <w:rsid w:val="009B5DE2"/>
    <w:rsid w:val="009C1176"/>
    <w:rsid w:val="009C1461"/>
    <w:rsid w:val="009C704E"/>
    <w:rsid w:val="009D20C1"/>
    <w:rsid w:val="009D7030"/>
    <w:rsid w:val="009D7090"/>
    <w:rsid w:val="009E4C47"/>
    <w:rsid w:val="009E5D78"/>
    <w:rsid w:val="009F627A"/>
    <w:rsid w:val="009F6FC9"/>
    <w:rsid w:val="00A0038C"/>
    <w:rsid w:val="00A00A46"/>
    <w:rsid w:val="00A065A2"/>
    <w:rsid w:val="00A07753"/>
    <w:rsid w:val="00A25AB5"/>
    <w:rsid w:val="00A26859"/>
    <w:rsid w:val="00A27279"/>
    <w:rsid w:val="00A311BE"/>
    <w:rsid w:val="00A37067"/>
    <w:rsid w:val="00A37E06"/>
    <w:rsid w:val="00A41094"/>
    <w:rsid w:val="00A45BD8"/>
    <w:rsid w:val="00A54451"/>
    <w:rsid w:val="00A56EE5"/>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A07F3"/>
    <w:rsid w:val="00AA0F09"/>
    <w:rsid w:val="00AA11EE"/>
    <w:rsid w:val="00AA1B7A"/>
    <w:rsid w:val="00AA20A3"/>
    <w:rsid w:val="00AA42A2"/>
    <w:rsid w:val="00AB1D1B"/>
    <w:rsid w:val="00AB24C6"/>
    <w:rsid w:val="00AB287C"/>
    <w:rsid w:val="00AB3597"/>
    <w:rsid w:val="00AB6068"/>
    <w:rsid w:val="00AC27EE"/>
    <w:rsid w:val="00AC4E88"/>
    <w:rsid w:val="00AD1F63"/>
    <w:rsid w:val="00AE0D16"/>
    <w:rsid w:val="00AE257E"/>
    <w:rsid w:val="00AF16C1"/>
    <w:rsid w:val="00AF23A5"/>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107"/>
    <w:rsid w:val="00B85D95"/>
    <w:rsid w:val="00B87DCA"/>
    <w:rsid w:val="00B93605"/>
    <w:rsid w:val="00B950E1"/>
    <w:rsid w:val="00B96CE6"/>
    <w:rsid w:val="00B9732F"/>
    <w:rsid w:val="00BA12FC"/>
    <w:rsid w:val="00BA58DD"/>
    <w:rsid w:val="00BA5CDE"/>
    <w:rsid w:val="00BB476D"/>
    <w:rsid w:val="00BB5169"/>
    <w:rsid w:val="00BB54AE"/>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FC0"/>
    <w:rsid w:val="00BF37FD"/>
    <w:rsid w:val="00BF3D2C"/>
    <w:rsid w:val="00BF4CFF"/>
    <w:rsid w:val="00BF6113"/>
    <w:rsid w:val="00BF6542"/>
    <w:rsid w:val="00C05418"/>
    <w:rsid w:val="00C13620"/>
    <w:rsid w:val="00C23778"/>
    <w:rsid w:val="00C24D5A"/>
    <w:rsid w:val="00C26F4A"/>
    <w:rsid w:val="00C3333E"/>
    <w:rsid w:val="00C348D5"/>
    <w:rsid w:val="00C351A6"/>
    <w:rsid w:val="00C37CEB"/>
    <w:rsid w:val="00C41CD4"/>
    <w:rsid w:val="00C44390"/>
    <w:rsid w:val="00C464D2"/>
    <w:rsid w:val="00C47099"/>
    <w:rsid w:val="00C52B61"/>
    <w:rsid w:val="00C53551"/>
    <w:rsid w:val="00C541C1"/>
    <w:rsid w:val="00C62FAF"/>
    <w:rsid w:val="00C6362D"/>
    <w:rsid w:val="00C646CA"/>
    <w:rsid w:val="00C7023D"/>
    <w:rsid w:val="00C71A8A"/>
    <w:rsid w:val="00C74121"/>
    <w:rsid w:val="00C75571"/>
    <w:rsid w:val="00C7600B"/>
    <w:rsid w:val="00C80C9E"/>
    <w:rsid w:val="00C820A8"/>
    <w:rsid w:val="00C90878"/>
    <w:rsid w:val="00C97488"/>
    <w:rsid w:val="00C9785A"/>
    <w:rsid w:val="00CA0564"/>
    <w:rsid w:val="00CA382F"/>
    <w:rsid w:val="00CA4D98"/>
    <w:rsid w:val="00CA7454"/>
    <w:rsid w:val="00CB2BED"/>
    <w:rsid w:val="00CB3846"/>
    <w:rsid w:val="00CB3D50"/>
    <w:rsid w:val="00CB4AE9"/>
    <w:rsid w:val="00CB5827"/>
    <w:rsid w:val="00CC0108"/>
    <w:rsid w:val="00CC2A17"/>
    <w:rsid w:val="00CC47D6"/>
    <w:rsid w:val="00CC685B"/>
    <w:rsid w:val="00CD1657"/>
    <w:rsid w:val="00CD2E03"/>
    <w:rsid w:val="00CE0956"/>
    <w:rsid w:val="00CE1409"/>
    <w:rsid w:val="00CF002E"/>
    <w:rsid w:val="00CF103F"/>
    <w:rsid w:val="00CF3FD1"/>
    <w:rsid w:val="00CF5581"/>
    <w:rsid w:val="00CF7C3A"/>
    <w:rsid w:val="00D00950"/>
    <w:rsid w:val="00D03A6B"/>
    <w:rsid w:val="00D04A9F"/>
    <w:rsid w:val="00D13F39"/>
    <w:rsid w:val="00D14CD5"/>
    <w:rsid w:val="00D15B21"/>
    <w:rsid w:val="00D15D61"/>
    <w:rsid w:val="00D16C59"/>
    <w:rsid w:val="00D1761B"/>
    <w:rsid w:val="00D2023F"/>
    <w:rsid w:val="00D23583"/>
    <w:rsid w:val="00D24153"/>
    <w:rsid w:val="00D26D4C"/>
    <w:rsid w:val="00D31604"/>
    <w:rsid w:val="00D360EA"/>
    <w:rsid w:val="00D367A6"/>
    <w:rsid w:val="00D37877"/>
    <w:rsid w:val="00D43502"/>
    <w:rsid w:val="00D446DF"/>
    <w:rsid w:val="00D5087F"/>
    <w:rsid w:val="00D55A87"/>
    <w:rsid w:val="00D60591"/>
    <w:rsid w:val="00D67822"/>
    <w:rsid w:val="00D67B33"/>
    <w:rsid w:val="00D76BE3"/>
    <w:rsid w:val="00D84753"/>
    <w:rsid w:val="00D8616B"/>
    <w:rsid w:val="00D863E7"/>
    <w:rsid w:val="00D87FBB"/>
    <w:rsid w:val="00D91EE1"/>
    <w:rsid w:val="00D92F96"/>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053A"/>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E07388"/>
    <w:rsid w:val="00E11D6A"/>
    <w:rsid w:val="00E25D90"/>
    <w:rsid w:val="00E33F83"/>
    <w:rsid w:val="00E367D9"/>
    <w:rsid w:val="00E40B07"/>
    <w:rsid w:val="00E42082"/>
    <w:rsid w:val="00E47A3C"/>
    <w:rsid w:val="00E5602D"/>
    <w:rsid w:val="00E57286"/>
    <w:rsid w:val="00E62058"/>
    <w:rsid w:val="00E71EA1"/>
    <w:rsid w:val="00E7448D"/>
    <w:rsid w:val="00E76701"/>
    <w:rsid w:val="00E77CB2"/>
    <w:rsid w:val="00E80BD3"/>
    <w:rsid w:val="00E857F2"/>
    <w:rsid w:val="00EA1C61"/>
    <w:rsid w:val="00EA1E5B"/>
    <w:rsid w:val="00EA1F98"/>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337E3"/>
    <w:rsid w:val="00F3441F"/>
    <w:rsid w:val="00F35DE1"/>
    <w:rsid w:val="00F45633"/>
    <w:rsid w:val="00F45ACA"/>
    <w:rsid w:val="00F5062A"/>
    <w:rsid w:val="00F60BFE"/>
    <w:rsid w:val="00F64E32"/>
    <w:rsid w:val="00F678E4"/>
    <w:rsid w:val="00F67ED9"/>
    <w:rsid w:val="00F71EE8"/>
    <w:rsid w:val="00F7253C"/>
    <w:rsid w:val="00F72C89"/>
    <w:rsid w:val="00F75780"/>
    <w:rsid w:val="00F8043C"/>
    <w:rsid w:val="00F81388"/>
    <w:rsid w:val="00F82820"/>
    <w:rsid w:val="00F9154F"/>
    <w:rsid w:val="00FA21CC"/>
    <w:rsid w:val="00FA450F"/>
    <w:rsid w:val="00FA6AB7"/>
    <w:rsid w:val="00FB3427"/>
    <w:rsid w:val="00FB37B6"/>
    <w:rsid w:val="00FB4569"/>
    <w:rsid w:val="00FB4EC2"/>
    <w:rsid w:val="00FB6955"/>
    <w:rsid w:val="00FC5E22"/>
    <w:rsid w:val="00FD61C8"/>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627B535-C0AE-914B-A995-0F7C16373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2007</TotalTime>
  <Pages>110</Pages>
  <Words>21008</Words>
  <Characters>118908</Characters>
  <Application>Microsoft Macintosh Word</Application>
  <DocSecurity>0</DocSecurity>
  <Lines>5662</Lines>
  <Paragraphs>2057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137859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528</cp:revision>
  <dcterms:created xsi:type="dcterms:W3CDTF">2019-01-28T01:52:00Z</dcterms:created>
  <dcterms:modified xsi:type="dcterms:W3CDTF">2019-03-21T18:12:00Z</dcterms:modified>
  <cp:category/>
</cp:coreProperties>
</file>