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distant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w:t>
      </w:r>
      <w:r w:rsidR="000954DC" w:rsidRPr="0035045F">
        <w:rPr>
          <w:rFonts w:ascii="Times New Roman" w:eastAsia="Times New Roman" w:hAnsi="Times New Roman" w:cs="Times New Roman"/>
          <w:sz w:val="24"/>
          <w:szCs w:val="24"/>
        </w:rPr>
        <w:lastRenderedPageBreak/>
        <w:t xml:space="preserve">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 xml:space="preserve">mention the total number of depositions, because it would be impossible for anyone to conclude that a Cathar heresy swept the Occitan when such a small percentage of the population seemed to have heard heretical errors or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46439E32"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5B16A8">
        <w:rPr>
          <w:rFonts w:ascii="Times New Roman" w:eastAsia="Times New Roman" w:hAnsi="Times New Roman" w:cs="Times New Roman"/>
          <w:sz w:val="24"/>
          <w:szCs w:val="24"/>
        </w:rPr>
        <w:t xml:space="preserve">David Greenstein </w:t>
      </w:r>
      <w:r w:rsidR="002A373A" w:rsidRPr="0035045F">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w:t>
      </w:r>
      <w:r w:rsidR="005969F3">
        <w:rPr>
          <w:rFonts w:ascii="Times New Roman" w:eastAsia="Times New Roman" w:hAnsi="Times New Roman" w:cs="Times New Roman"/>
          <w:sz w:val="24"/>
          <w:szCs w:val="24"/>
        </w:rPr>
        <w:lastRenderedPageBreak/>
        <w:t xml:space="preserve">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4A2289">
        <w:rPr>
          <w:rFonts w:ascii="Times New Roman" w:eastAsia="Times New Roman" w:hAnsi="Times New Roman" w:cs="Times New Roman"/>
          <w:sz w:val="24"/>
          <w:szCs w:val="24"/>
        </w:rPr>
        <w:t xml:space="preserve">, </w:t>
      </w:r>
      <w:r w:rsidR="00AB1D1B">
        <w:rPr>
          <w:rFonts w:ascii="Times New Roman" w:eastAsia="Times New Roman" w:hAnsi="Times New Roman" w:cs="Times New Roman"/>
          <w:sz w:val="24"/>
          <w:szCs w:val="24"/>
        </w:rPr>
        <w:t>and</w:t>
      </w:r>
      <w:r w:rsidR="00D23583" w:rsidRPr="0035045F">
        <w:rPr>
          <w:rFonts w:ascii="Times New Roman" w:eastAsia="Times New Roman" w:hAnsi="Times New Roman" w:cs="Times New Roman"/>
          <w:sz w:val="24"/>
          <w:szCs w:val="24"/>
        </w:rPr>
        <w:t xml:space="preserve"> more</w:t>
      </w:r>
      <w:r w:rsidR="004A2289">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only imagine the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Pr>
          <w:rFonts w:ascii="Times New Roman" w:eastAsia="Times New Roman" w:hAnsi="Times New Roman" w:cs="Times New Roman"/>
          <w:sz w:val="24"/>
          <w:szCs w:val="24"/>
          <w:highlight w:val="yellow"/>
        </w:rPr>
        <w:t>The idea that computational history is somehow fundamentally different from “regular” history is a fallacy.</w:t>
      </w:r>
      <w:r w:rsidR="00D23583" w:rsidRPr="00AB1D1B">
        <w:rPr>
          <w:rFonts w:ascii="Times New Roman" w:eastAsia="Times New Roman" w:hAnsi="Times New Roman" w:cs="Times New Roman"/>
          <w:sz w:val="24"/>
          <w:szCs w:val="24"/>
          <w:highlight w:val="yellow"/>
        </w:rPr>
        <w:t xml:space="preserve"> </w:t>
      </w:r>
      <w:r w:rsidR="00715DBF">
        <w:rPr>
          <w:rFonts w:ascii="Times New Roman" w:eastAsia="Times New Roman" w:hAnsi="Times New Roman" w:cs="Times New Roman"/>
          <w:sz w:val="24"/>
          <w:szCs w:val="24"/>
          <w:highlight w:val="yellow"/>
        </w:rPr>
        <w:t>Computers</w:t>
      </w:r>
      <w:r w:rsidR="00D23583" w:rsidRPr="00AB1D1B">
        <w:rPr>
          <w:rFonts w:ascii="Times New Roman" w:eastAsia="Times New Roman" w:hAnsi="Times New Roman" w:cs="Times New Roman"/>
          <w:sz w:val="24"/>
          <w:szCs w:val="24"/>
          <w:highlight w:val="yellow"/>
        </w:rPr>
        <w:t xml:space="preserve">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Digital 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2B18C68C"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w:t>
      </w:r>
      <w:r w:rsidRPr="0035045F">
        <w:rPr>
          <w:rFonts w:ascii="Times New Roman" w:eastAsia="Times New Roman" w:hAnsi="Times New Roman" w:cs="Times New Roman"/>
          <w:sz w:val="24"/>
          <w:szCs w:val="24"/>
        </w:rPr>
        <w:lastRenderedPageBreak/>
        <w:t>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w:t>
      </w:r>
      <w:bookmarkStart w:id="22" w:name="_GoBack"/>
      <w:bookmarkEnd w:id="22"/>
      <w:r w:rsidR="00247556" w:rsidRPr="0035045F">
        <w:rPr>
          <w:rFonts w:ascii="Times New Roman" w:eastAsia="Times New Roman" w:hAnsi="Times New Roman" w:cs="Times New Roman"/>
          <w:sz w:val="24"/>
          <w:szCs w:val="24"/>
        </w:rPr>
        <w:t xml:space="preserve">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DF6517" w:rsidRPr="004A48C3">
        <w:rPr>
          <w:rFonts w:ascii="Times New Roman" w:eastAsia="Times New Roman" w:hAnsi="Times New Roman" w:cs="Times New Roman"/>
          <w:sz w:val="24"/>
          <w:szCs w:val="24"/>
          <w:highlight w:val="yellow"/>
        </w:rPr>
        <w:t xml:space="preserve">By using a methodology that </w:t>
      </w:r>
      <w:r w:rsidR="003A755C" w:rsidRPr="004A48C3">
        <w:rPr>
          <w:rFonts w:ascii="Times New Roman" w:eastAsia="Times New Roman" w:hAnsi="Times New Roman" w:cs="Times New Roman"/>
          <w:sz w:val="24"/>
          <w:szCs w:val="24"/>
          <w:highlight w:val="yellow"/>
        </w:rPr>
        <w:t xml:space="preserve">incorporates </w:t>
      </w:r>
      <w:r w:rsidR="00DF6517" w:rsidRPr="004A48C3">
        <w:rPr>
          <w:rFonts w:ascii="Times New Roman" w:eastAsia="Times New Roman" w:hAnsi="Times New Roman" w:cs="Times New Roman"/>
          <w:sz w:val="24"/>
          <w:szCs w:val="24"/>
          <w:highlight w:val="yellow"/>
        </w:rPr>
        <w:t xml:space="preserve">close and distant readings of these documents </w:t>
      </w:r>
      <w:r w:rsidR="003A755C" w:rsidRPr="004A48C3">
        <w:rPr>
          <w:rFonts w:ascii="Times New Roman" w:eastAsia="Times New Roman" w:hAnsi="Times New Roman" w:cs="Times New Roman"/>
          <w:sz w:val="24"/>
          <w:szCs w:val="24"/>
          <w:highlight w:val="yellow"/>
        </w:rPr>
        <w:t xml:space="preserve">that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DF6517" w:rsidRPr="0035045F">
        <w:rPr>
          <w:rFonts w:ascii="Times New Roman" w:eastAsia="Times New Roman" w:hAnsi="Times New Roman" w:cs="Times New Roman"/>
          <w:sz w:val="24"/>
          <w:szCs w:val="24"/>
        </w:rPr>
        <w:t xml:space="preserve">,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E0F64" w14:textId="77777777" w:rsidR="004A50AC" w:rsidRDefault="004A50AC" w:rsidP="00632FE0">
      <w:pPr>
        <w:spacing w:line="240" w:lineRule="auto"/>
      </w:pPr>
      <w:r>
        <w:separator/>
      </w:r>
    </w:p>
  </w:endnote>
  <w:endnote w:type="continuationSeparator" w:id="0">
    <w:p w14:paraId="16EE5AC6" w14:textId="77777777" w:rsidR="004A50AC" w:rsidRDefault="004A50A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5EB18" w14:textId="77777777" w:rsidR="004A50AC" w:rsidRDefault="004A50AC" w:rsidP="00632FE0">
      <w:pPr>
        <w:spacing w:line="240" w:lineRule="auto"/>
      </w:pPr>
      <w:r>
        <w:separator/>
      </w:r>
    </w:p>
  </w:footnote>
  <w:footnote w:type="continuationSeparator" w:id="0">
    <w:p w14:paraId="42EC68AF" w14:textId="77777777" w:rsidR="004A50AC" w:rsidRDefault="004A50AC"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 xml:space="preserve">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w:t>
      </w:r>
      <w:r w:rsidRPr="00E42082">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Biller, “Cathars and the Natural World,”</w:t>
      </w:r>
      <w:r w:rsidR="00712E76" w:rsidRPr="00E42082">
        <w:rPr>
          <w:rFonts w:ascii="Times New Roman" w:eastAsia="Times New Roman" w:hAnsi="Times New Roman" w:cs="Times New Roman"/>
          <w:highlight w:val="yellow"/>
        </w:rPr>
        <w:t xml:space="preserve"> p</w:t>
      </w:r>
      <w:r w:rsidR="00712E76" w:rsidRPr="00E42082">
        <w:rPr>
          <w:rFonts w:ascii="Times New Roman" w:eastAsia="Times New Roman" w:hAnsi="Times New Roman" w:cs="Times New Roman"/>
          <w:highlight w:val="yellow"/>
        </w:rPr>
        <w:t xml:space="preserve">.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4">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282249">
      <w:pPr>
        <w:pStyle w:val="FootnoteText"/>
        <w:rPr>
          <w:rFonts w:ascii="Times New Roman" w:hAnsi="Times New Roman" w:cs="Times New Roman"/>
          <w:lang w:val="en-US"/>
        </w:rPr>
      </w:pPr>
    </w:p>
  </w:footnote>
  <w:footnote w:id="96">
    <w:p w14:paraId="7488E937" w14:textId="47846FAC" w:rsidR="007F5347" w:rsidRPr="0013106E" w:rsidRDefault="007F5347"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w:t>
      </w:r>
      <w:r w:rsidR="005B16A8" w:rsidRPr="00282249">
        <w:rPr>
          <w:rFonts w:ascii="Times New Roman" w:hAnsi="Times New Roman" w:cs="Times New Roman"/>
          <w:highlight w:val="yellow"/>
        </w:rPr>
        <w:t>David</w:t>
      </w:r>
      <w:r w:rsidR="00441111" w:rsidRPr="00282249">
        <w:rPr>
          <w:rFonts w:ascii="Times New Roman" w:hAnsi="Times New Roman" w:cs="Times New Roman"/>
          <w:highlight w:val="yellow"/>
        </w:rPr>
        <w:t xml:space="preserve"> Greenstein and N. Morgan, “Software for Historians?” in </w:t>
      </w:r>
      <w:r w:rsidR="00441111" w:rsidRPr="00282249">
        <w:rPr>
          <w:rFonts w:ascii="Times New Roman" w:hAnsi="Times New Roman" w:cs="Times New Roman"/>
          <w:i/>
          <w:highlight w:val="yellow"/>
        </w:rPr>
        <w:t>History and Computing</w:t>
      </w:r>
      <w:r w:rsidR="0013106E" w:rsidRPr="00282249">
        <w:rPr>
          <w:rFonts w:ascii="Times New Roman" w:hAnsi="Times New Roman" w:cs="Times New Roman"/>
          <w:highlight w:val="yellow"/>
        </w:rPr>
        <w:t>, 1 (1), pp. 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106E"/>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50AC"/>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580"/>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73F9425-B866-D54E-8E10-97B74FE0E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106</Pages>
  <Words>21069</Words>
  <Characters>120094</Characters>
  <Application>Microsoft Macintosh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485</cp:revision>
  <dcterms:created xsi:type="dcterms:W3CDTF">2019-01-28T01:52:00Z</dcterms:created>
  <dcterms:modified xsi:type="dcterms:W3CDTF">2019-03-15T18:02:00Z</dcterms:modified>
</cp:coreProperties>
</file>