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75698" w14:textId="77777777" w:rsidR="001123B1" w:rsidRPr="009A2157" w:rsidRDefault="002477FB">
      <w:pPr>
        <w:pStyle w:val="Title"/>
        <w:spacing w:after="0"/>
        <w:rPr>
          <w:rFonts w:ascii="Times New Roman" w:hAnsi="Times New Roman"/>
        </w:rPr>
      </w:pPr>
      <w:r w:rsidRPr="009A2157">
        <w:rPr>
          <w:rFonts w:ascii="Times New Roman" w:hAnsi="Times New Roman"/>
        </w:rPr>
        <w:t>TASK ORDER</w:t>
      </w:r>
      <w:r w:rsidR="009A2157">
        <w:rPr>
          <w:rFonts w:ascii="Times New Roman" w:hAnsi="Times New Roman"/>
        </w:rPr>
        <w:t xml:space="preserve"> </w:t>
      </w:r>
      <w:r w:rsidR="002D3CA3">
        <w:rPr>
          <w:rFonts w:ascii="Times New Roman" w:hAnsi="Times New Roman"/>
        </w:rPr>
        <w:t>–</w:t>
      </w:r>
      <w:r w:rsidR="009A2157">
        <w:rPr>
          <w:rFonts w:ascii="Times New Roman" w:hAnsi="Times New Roman"/>
        </w:rPr>
        <w:t xml:space="preserve"> </w:t>
      </w:r>
      <w:r w:rsidR="00BB6DD8" w:rsidRPr="00BB6DD8">
        <w:rPr>
          <w:rFonts w:ascii="Times New Roman" w:hAnsi="Times New Roman"/>
        </w:rPr>
        <w:t>POC proposal for zD&amp;T implementation</w:t>
      </w:r>
    </w:p>
    <w:p w14:paraId="4541E25B" w14:textId="77777777" w:rsidR="009A2157" w:rsidRDefault="009A2157" w:rsidP="00A0367F">
      <w:pPr>
        <w:jc w:val="both"/>
      </w:pPr>
    </w:p>
    <w:p w14:paraId="0B958E6F" w14:textId="77777777" w:rsidR="002477FB" w:rsidRPr="009A2157" w:rsidRDefault="002477FB" w:rsidP="00A0367F">
      <w:pPr>
        <w:jc w:val="both"/>
      </w:pPr>
      <w:r w:rsidRPr="009A2157">
        <w:t>This Task Order</w:t>
      </w:r>
      <w:r w:rsidR="009A2157">
        <w:t xml:space="preserve"> </w:t>
      </w:r>
      <w:r w:rsidRPr="009A2157">
        <w:t>is entered into pursuant to and incorporates herein by reference the terms and conditions of the</w:t>
      </w:r>
      <w:r w:rsidR="00E040CD" w:rsidRPr="009A2157">
        <w:t xml:space="preserve"> </w:t>
      </w:r>
      <w:r w:rsidRPr="009A2157">
        <w:t xml:space="preserve">Consulting </w:t>
      </w:r>
      <w:r w:rsidR="00E040CD" w:rsidRPr="009A2157">
        <w:t xml:space="preserve">and </w:t>
      </w:r>
      <w:r w:rsidRPr="009A2157">
        <w:t xml:space="preserve">Services Agreement, entered into as of the </w:t>
      </w:r>
      <w:r w:rsidR="0035669C" w:rsidRPr="009A2157">
        <w:t>1st day of January, 2010</w:t>
      </w:r>
      <w:r w:rsidRPr="009A2157">
        <w:t xml:space="preserve"> (the “Agreement”), by and between </w:t>
      </w:r>
      <w:r w:rsidRPr="009A2157">
        <w:rPr>
          <w:b/>
        </w:rPr>
        <w:t xml:space="preserve">Morgan Stanley </w:t>
      </w:r>
      <w:r w:rsidR="00E01EF9" w:rsidRPr="009A2157">
        <w:rPr>
          <w:b/>
        </w:rPr>
        <w:t xml:space="preserve">Services Group </w:t>
      </w:r>
      <w:r w:rsidR="00A330E5" w:rsidRPr="009A2157">
        <w:rPr>
          <w:b/>
        </w:rPr>
        <w:t>I</w:t>
      </w:r>
      <w:r w:rsidR="00E01EF9" w:rsidRPr="009A2157">
        <w:rPr>
          <w:b/>
        </w:rPr>
        <w:t>nc.</w:t>
      </w:r>
      <w:r w:rsidRPr="009A2157">
        <w:t xml:space="preserve"> (“Morgan Stanley”) and </w:t>
      </w:r>
      <w:r w:rsidR="0035669C" w:rsidRPr="009A2157">
        <w:t xml:space="preserve">Infosys Limited </w:t>
      </w:r>
      <w:r w:rsidRPr="009A2157">
        <w:t>(“Consultant”).</w:t>
      </w:r>
      <w:r w:rsidR="00EE1284" w:rsidRPr="009A2157">
        <w:t xml:space="preserve">  In the event any terms of this Task Order conflict with the terms of the Agreement, the terms of this Task Order shall govern.  All capitalized terms used herein shall have the same meaning ascribed in the Agreement.</w:t>
      </w:r>
    </w:p>
    <w:p w14:paraId="0385F5D8" w14:textId="77777777" w:rsidR="002477FB" w:rsidRPr="009A2157" w:rsidRDefault="002477FB"/>
    <w:p w14:paraId="453517D1" w14:textId="77777777" w:rsidR="0060515D" w:rsidRPr="009A2157" w:rsidRDefault="00A330E5" w:rsidP="00885CA3">
      <w:pPr>
        <w:pStyle w:val="OutlineL1"/>
        <w:spacing w:after="360"/>
        <w:rPr>
          <w:rFonts w:ascii="Times New Roman" w:hAnsi="Times New Roman"/>
          <w:sz w:val="20"/>
        </w:rPr>
      </w:pPr>
      <w:r w:rsidRPr="009A2157">
        <w:rPr>
          <w:rFonts w:ascii="Times New Roman" w:hAnsi="Times New Roman"/>
          <w:sz w:val="20"/>
        </w:rPr>
        <w:t>Introduction &amp; Overview</w:t>
      </w:r>
    </w:p>
    <w:p w14:paraId="20DF772F" w14:textId="77777777" w:rsidR="000C3477" w:rsidRPr="009A2157" w:rsidRDefault="00976DB6" w:rsidP="002D3CA3">
      <w:pPr>
        <w:pStyle w:val="OutlineL1"/>
        <w:numPr>
          <w:ilvl w:val="0"/>
          <w:numId w:val="0"/>
        </w:numPr>
        <w:spacing w:after="360"/>
        <w:rPr>
          <w:rFonts w:ascii="Times New Roman" w:hAnsi="Times New Roman"/>
          <w:b w:val="0"/>
          <w:sz w:val="20"/>
        </w:rPr>
      </w:pPr>
      <w:r>
        <w:rPr>
          <w:rFonts w:ascii="Times New Roman" w:hAnsi="Times New Roman"/>
          <w:b w:val="0"/>
          <w:sz w:val="20"/>
        </w:rPr>
        <w:t xml:space="preserve">One of the key enablers for agility and DevOps is the availability of mainframe test environments and ability to spin it off on demand. </w:t>
      </w:r>
      <w:r w:rsidR="008927E2">
        <w:rPr>
          <w:rFonts w:ascii="Times New Roman" w:hAnsi="Times New Roman"/>
          <w:b w:val="0"/>
          <w:sz w:val="20"/>
        </w:rPr>
        <w:t xml:space="preserve">The purpose of this POC is to prove that the </w:t>
      </w:r>
      <w:r>
        <w:rPr>
          <w:rFonts w:ascii="Times New Roman" w:hAnsi="Times New Roman"/>
          <w:b w:val="0"/>
          <w:sz w:val="20"/>
        </w:rPr>
        <w:t xml:space="preserve">mainframe test containers that are isolated and autonomous can </w:t>
      </w:r>
      <w:r w:rsidR="008927E2">
        <w:rPr>
          <w:rFonts w:ascii="Times New Roman" w:hAnsi="Times New Roman"/>
          <w:b w:val="0"/>
          <w:sz w:val="20"/>
        </w:rPr>
        <w:t xml:space="preserve">be </w:t>
      </w:r>
      <w:r>
        <w:rPr>
          <w:rFonts w:ascii="Times New Roman" w:hAnsi="Times New Roman"/>
          <w:b w:val="0"/>
          <w:sz w:val="20"/>
        </w:rPr>
        <w:t>provision</w:t>
      </w:r>
      <w:r w:rsidR="008927E2">
        <w:rPr>
          <w:rFonts w:ascii="Times New Roman" w:hAnsi="Times New Roman"/>
          <w:b w:val="0"/>
          <w:sz w:val="20"/>
        </w:rPr>
        <w:t>ed</w:t>
      </w:r>
      <w:r>
        <w:rPr>
          <w:rFonts w:ascii="Times New Roman" w:hAnsi="Times New Roman"/>
          <w:b w:val="0"/>
          <w:sz w:val="20"/>
        </w:rPr>
        <w:t xml:space="preserve"> very quickly. The broad activities involve</w:t>
      </w:r>
      <w:r w:rsidR="002D3CA3">
        <w:rPr>
          <w:rFonts w:ascii="Times New Roman" w:hAnsi="Times New Roman"/>
          <w:b w:val="0"/>
          <w:sz w:val="20"/>
        </w:rPr>
        <w:t xml:space="preserve">: </w:t>
      </w:r>
    </w:p>
    <w:p w14:paraId="37EBF9C7" w14:textId="77777777" w:rsidR="0072134F" w:rsidRDefault="0072134F" w:rsidP="0072134F">
      <w:pPr>
        <w:numPr>
          <w:ilvl w:val="0"/>
          <w:numId w:val="11"/>
        </w:numPr>
        <w:adjustRightInd w:val="0"/>
        <w:jc w:val="both"/>
      </w:pPr>
      <w:r>
        <w:t>Deep dive analysis and candidate application(s) identification for the POC</w:t>
      </w:r>
    </w:p>
    <w:p w14:paraId="72DA0781" w14:textId="77777777" w:rsidR="0072134F" w:rsidRDefault="0072134F" w:rsidP="0072134F">
      <w:pPr>
        <w:numPr>
          <w:ilvl w:val="0"/>
          <w:numId w:val="11"/>
        </w:numPr>
        <w:adjustRightInd w:val="0"/>
        <w:jc w:val="both"/>
      </w:pPr>
      <w:r>
        <w:t>Install zD&amp;T v12 successfully on the Linux hardware</w:t>
      </w:r>
    </w:p>
    <w:p w14:paraId="315ED341" w14:textId="77777777" w:rsidR="0072134F" w:rsidRDefault="0072134F" w:rsidP="0072134F">
      <w:pPr>
        <w:numPr>
          <w:ilvl w:val="0"/>
          <w:numId w:val="11"/>
        </w:numPr>
        <w:adjustRightInd w:val="0"/>
        <w:jc w:val="both"/>
      </w:pPr>
      <w:r w:rsidRPr="0072134F">
        <w:rPr>
          <w:b/>
        </w:rPr>
        <w:t xml:space="preserve">Levelset matching of zD&amp;T environment with source native environment </w:t>
      </w:r>
      <w:r>
        <w:rPr>
          <w:b/>
        </w:rPr>
        <w:t>(</w:t>
      </w:r>
      <w:r>
        <w:t xml:space="preserve">Install IBM and CA products on zD&amp;T – DB2, SPUFI, </w:t>
      </w:r>
      <w:r>
        <w:lastRenderedPageBreak/>
        <w:t>CICS, CTG, compilers for COBOL, REXX, file manager, VSAM and CA7. Apart from these any other product deemed necessary as the POC progresses will be discussed and taken up)</w:t>
      </w:r>
    </w:p>
    <w:p w14:paraId="4F7E198B" w14:textId="67D23788" w:rsidR="00620D4B" w:rsidRPr="00620D4B" w:rsidRDefault="00620D4B" w:rsidP="00620D4B">
      <w:pPr>
        <w:numPr>
          <w:ilvl w:val="0"/>
          <w:numId w:val="11"/>
        </w:numPr>
        <w:adjustRightInd w:val="0"/>
        <w:jc w:val="both"/>
        <w:rPr>
          <w:b/>
          <w:highlight w:val="yellow"/>
        </w:rPr>
      </w:pPr>
      <w:r w:rsidRPr="00620D4B">
        <w:rPr>
          <w:b/>
          <w:highlight w:val="yellow"/>
        </w:rPr>
        <w:t xml:space="preserve">Establish the environment base image </w:t>
      </w:r>
    </w:p>
    <w:p w14:paraId="68D83E07" w14:textId="543CF015" w:rsidR="00620D4B" w:rsidRPr="00EB02F5" w:rsidRDefault="00620D4B" w:rsidP="00620D4B">
      <w:pPr>
        <w:numPr>
          <w:ilvl w:val="0"/>
          <w:numId w:val="11"/>
        </w:numPr>
        <w:adjustRightInd w:val="0"/>
        <w:jc w:val="both"/>
        <w:rPr>
          <w:b/>
          <w:highlight w:val="green"/>
        </w:rPr>
      </w:pPr>
      <w:r w:rsidRPr="00620D4B">
        <w:rPr>
          <w:b/>
          <w:highlight w:val="yellow"/>
        </w:rPr>
        <w:t xml:space="preserve">Establish base image for </w:t>
      </w:r>
      <w:r w:rsidR="00EB02F5">
        <w:rPr>
          <w:b/>
          <w:highlight w:val="yellow"/>
        </w:rPr>
        <w:t>S</w:t>
      </w:r>
      <w:r w:rsidRPr="00620D4B">
        <w:rPr>
          <w:b/>
          <w:highlight w:val="yellow"/>
        </w:rPr>
        <w:t xml:space="preserve">hared </w:t>
      </w:r>
      <w:r w:rsidR="00EB02F5" w:rsidRPr="00EB02F5">
        <w:rPr>
          <w:b/>
          <w:highlight w:val="green"/>
        </w:rPr>
        <w:t xml:space="preserve">processes </w:t>
      </w:r>
      <w:r w:rsidRPr="00620D4B">
        <w:rPr>
          <w:b/>
          <w:highlight w:val="yellow"/>
        </w:rPr>
        <w:t>&amp; Shared Data</w:t>
      </w:r>
      <w:r w:rsidR="00EB02F5">
        <w:rPr>
          <w:b/>
          <w:highlight w:val="yellow"/>
        </w:rPr>
        <w:t xml:space="preserve"> </w:t>
      </w:r>
      <w:r w:rsidR="00EB02F5" w:rsidRPr="00EB02F5">
        <w:rPr>
          <w:b/>
          <w:highlight w:val="green"/>
        </w:rPr>
        <w:t>upon which the candidate application</w:t>
      </w:r>
      <w:r w:rsidR="00B03714">
        <w:rPr>
          <w:b/>
          <w:highlight w:val="green"/>
        </w:rPr>
        <w:t xml:space="preserve"> has direct dependen</w:t>
      </w:r>
      <w:r w:rsidR="005004DE">
        <w:rPr>
          <w:b/>
          <w:highlight w:val="green"/>
        </w:rPr>
        <w:t>cy</w:t>
      </w:r>
      <w:r w:rsidR="00EB02F5" w:rsidRPr="00EB02F5">
        <w:rPr>
          <w:b/>
          <w:highlight w:val="green"/>
        </w:rPr>
        <w:t xml:space="preserve">. </w:t>
      </w:r>
    </w:p>
    <w:p w14:paraId="1DDB33F7" w14:textId="77777777" w:rsidR="0072134F" w:rsidRDefault="0072134F" w:rsidP="0072134F">
      <w:pPr>
        <w:numPr>
          <w:ilvl w:val="0"/>
          <w:numId w:val="11"/>
        </w:numPr>
        <w:adjustRightInd w:val="0"/>
        <w:jc w:val="both"/>
      </w:pPr>
      <w:r>
        <w:t>Scope the boundary of the application(s) to be provisioned</w:t>
      </w:r>
    </w:p>
    <w:p w14:paraId="7D654BEA" w14:textId="77777777" w:rsidR="0072134F" w:rsidRDefault="0072134F" w:rsidP="0072134F">
      <w:pPr>
        <w:numPr>
          <w:ilvl w:val="0"/>
          <w:numId w:val="11"/>
        </w:numPr>
        <w:adjustRightInd w:val="0"/>
        <w:jc w:val="both"/>
      </w:pPr>
      <w:r>
        <w:t>Build/copy/lift and shift the source application to zD&amp;T</w:t>
      </w:r>
    </w:p>
    <w:p w14:paraId="321E5143" w14:textId="77777777" w:rsidR="0072134F" w:rsidRDefault="0072134F" w:rsidP="0072134F">
      <w:pPr>
        <w:numPr>
          <w:ilvl w:val="0"/>
          <w:numId w:val="11"/>
        </w:numPr>
        <w:adjustRightInd w:val="0"/>
        <w:jc w:val="both"/>
      </w:pPr>
      <w:r>
        <w:t>Identify the data source and create/clone the database on zD&amp;T</w:t>
      </w:r>
    </w:p>
    <w:p w14:paraId="7F000F9C" w14:textId="77777777" w:rsidR="0072134F" w:rsidRDefault="0072134F" w:rsidP="0072134F">
      <w:pPr>
        <w:numPr>
          <w:ilvl w:val="0"/>
          <w:numId w:val="11"/>
        </w:numPr>
        <w:adjustRightInd w:val="0"/>
        <w:jc w:val="both"/>
      </w:pPr>
      <w:r w:rsidRPr="00633620">
        <w:t>Demonstrate effective use for both a batch &amp; online testing to</w:t>
      </w:r>
      <w:r>
        <w:t xml:space="preserve"> achieve shift left in testing</w:t>
      </w:r>
      <w:r w:rsidR="006C0EDD">
        <w:t xml:space="preserve"> – shakedown testing</w:t>
      </w:r>
    </w:p>
    <w:p w14:paraId="4063C962" w14:textId="64100E54" w:rsidR="0072134F" w:rsidRPr="0072134F" w:rsidRDefault="0072134F" w:rsidP="0072134F">
      <w:pPr>
        <w:numPr>
          <w:ilvl w:val="0"/>
          <w:numId w:val="11"/>
        </w:numPr>
        <w:adjustRightInd w:val="0"/>
        <w:jc w:val="both"/>
        <w:rPr>
          <w:b/>
        </w:rPr>
      </w:pPr>
      <w:r w:rsidRPr="0072134F">
        <w:rPr>
          <w:b/>
        </w:rPr>
        <w:t>Prove cloning of the base image</w:t>
      </w:r>
      <w:r w:rsidR="00620D4B">
        <w:rPr>
          <w:b/>
        </w:rPr>
        <w:t xml:space="preserve"> </w:t>
      </w:r>
      <w:r w:rsidR="00620D4B" w:rsidRPr="00620D4B">
        <w:rPr>
          <w:b/>
          <w:highlight w:val="yellow"/>
        </w:rPr>
        <w:t>and application image</w:t>
      </w:r>
      <w:r w:rsidRPr="0072134F">
        <w:rPr>
          <w:b/>
        </w:rPr>
        <w:t xml:space="preserve"> – capability to spin off an environment in hours</w:t>
      </w:r>
    </w:p>
    <w:p w14:paraId="4F319C3A" w14:textId="77777777" w:rsidR="0072134F" w:rsidRDefault="0072134F" w:rsidP="0072134F">
      <w:pPr>
        <w:numPr>
          <w:ilvl w:val="0"/>
          <w:numId w:val="11"/>
        </w:numPr>
        <w:adjustRightInd w:val="0"/>
        <w:jc w:val="both"/>
      </w:pPr>
      <w:r w:rsidRPr="00633620">
        <w:t xml:space="preserve">Publish Draft Findings / recommendation report </w:t>
      </w:r>
    </w:p>
    <w:p w14:paraId="3D433EED" w14:textId="77777777" w:rsidR="00AC7C84" w:rsidRDefault="00AC7C84" w:rsidP="00AC7C84">
      <w:pPr>
        <w:adjustRightInd w:val="0"/>
        <w:jc w:val="both"/>
      </w:pPr>
    </w:p>
    <w:p w14:paraId="57D1EC7A" w14:textId="77777777" w:rsidR="0072134F" w:rsidRPr="00AC7C84" w:rsidRDefault="0072134F" w:rsidP="00AC7C84">
      <w:pPr>
        <w:adjustRightInd w:val="0"/>
        <w:jc w:val="both"/>
        <w:rPr>
          <w:b/>
        </w:rPr>
      </w:pPr>
      <w:r w:rsidRPr="00AC7C84">
        <w:rPr>
          <w:b/>
        </w:rPr>
        <w:t>Project will be executed in agile scrum</w:t>
      </w:r>
      <w:r w:rsidR="008927E2">
        <w:rPr>
          <w:b/>
        </w:rPr>
        <w:t xml:space="preserve"> mode</w:t>
      </w:r>
    </w:p>
    <w:p w14:paraId="2B69F11E" w14:textId="77777777" w:rsidR="00E73E73" w:rsidRDefault="00E73E73" w:rsidP="00E73E73">
      <w:pPr>
        <w:adjustRightInd w:val="0"/>
        <w:jc w:val="both"/>
      </w:pPr>
    </w:p>
    <w:p w14:paraId="1A53DBD9" w14:textId="77777777" w:rsidR="00E73E73" w:rsidRDefault="00E73E73" w:rsidP="00E73E73">
      <w:pPr>
        <w:adjustRightInd w:val="0"/>
        <w:jc w:val="both"/>
      </w:pPr>
      <w:r>
        <w:t>The PoC is expected to prove the below benefits:</w:t>
      </w:r>
    </w:p>
    <w:p w14:paraId="1E25E668" w14:textId="77777777" w:rsidR="00E73E73" w:rsidRPr="0018410C" w:rsidRDefault="00976DB6" w:rsidP="0018410C">
      <w:pPr>
        <w:ind w:left="720"/>
      </w:pPr>
      <w:r w:rsidRPr="0018410C">
        <w:t>Ability to quickly spin off an environment with application(s) (within few hours)</w:t>
      </w:r>
    </w:p>
    <w:p w14:paraId="2F04DDB4" w14:textId="77777777" w:rsidR="00976DB6" w:rsidRPr="0018410C" w:rsidRDefault="00976DB6" w:rsidP="0018410C">
      <w:pPr>
        <w:ind w:left="720"/>
      </w:pPr>
      <w:r w:rsidRPr="0018410C">
        <w:t>Savings due to faster environment provisioning and shift left – better quality code is moved to next higher environment</w:t>
      </w:r>
    </w:p>
    <w:p w14:paraId="68BA0586" w14:textId="77777777" w:rsidR="00976DB6" w:rsidRPr="0018410C" w:rsidRDefault="00976DB6" w:rsidP="0018410C">
      <w:pPr>
        <w:ind w:left="720"/>
      </w:pPr>
      <w:r w:rsidRPr="0018410C">
        <w:t>Developer autonomy – developers can make changes to any resource within these environments and test it</w:t>
      </w:r>
    </w:p>
    <w:p w14:paraId="4372DC4B" w14:textId="77777777" w:rsidR="00EA7543" w:rsidRPr="00EA7543" w:rsidRDefault="00EA7543" w:rsidP="0072134F">
      <w:pPr>
        <w:pStyle w:val="NumContinue"/>
      </w:pPr>
    </w:p>
    <w:p w14:paraId="2879F154" w14:textId="77777777" w:rsidR="00645BD4" w:rsidRPr="009A2157" w:rsidRDefault="002477FB" w:rsidP="002D3CA3">
      <w:pPr>
        <w:pStyle w:val="OutlineL1"/>
        <w:spacing w:after="360"/>
        <w:rPr>
          <w:rFonts w:ascii="Times New Roman" w:hAnsi="Times New Roman"/>
          <w:sz w:val="20"/>
        </w:rPr>
      </w:pPr>
      <w:r w:rsidRPr="009A2157">
        <w:rPr>
          <w:rFonts w:ascii="Times New Roman" w:hAnsi="Times New Roman"/>
          <w:sz w:val="20"/>
        </w:rPr>
        <w:t xml:space="preserve">Description of </w:t>
      </w:r>
      <w:r w:rsidR="0031015A" w:rsidRPr="009A2157">
        <w:rPr>
          <w:rFonts w:ascii="Times New Roman" w:hAnsi="Times New Roman"/>
          <w:sz w:val="20"/>
        </w:rPr>
        <w:t>S</w:t>
      </w:r>
      <w:r w:rsidRPr="009A2157">
        <w:rPr>
          <w:rFonts w:ascii="Times New Roman" w:hAnsi="Times New Roman"/>
          <w:sz w:val="20"/>
        </w:rPr>
        <w:t xml:space="preserve">ervices and </w:t>
      </w:r>
      <w:r w:rsidR="0073599C" w:rsidRPr="009A2157">
        <w:rPr>
          <w:rFonts w:ascii="Times New Roman" w:hAnsi="Times New Roman"/>
          <w:sz w:val="20"/>
        </w:rPr>
        <w:t>D</w:t>
      </w:r>
      <w:r w:rsidRPr="009A2157">
        <w:rPr>
          <w:rFonts w:ascii="Times New Roman" w:hAnsi="Times New Roman"/>
          <w:sz w:val="20"/>
        </w:rPr>
        <w:t>eliverables</w:t>
      </w:r>
      <w:r w:rsidR="0073599C" w:rsidRPr="009A2157">
        <w:rPr>
          <w:rFonts w:ascii="Times New Roman" w:hAnsi="Times New Roman"/>
          <w:sz w:val="20"/>
        </w:rPr>
        <w:t xml:space="preserve">:  </w:t>
      </w:r>
    </w:p>
    <w:p w14:paraId="692BF350" w14:textId="77777777" w:rsidR="000C3477" w:rsidRPr="009A2157" w:rsidRDefault="00645BD4" w:rsidP="000C3477">
      <w:pPr>
        <w:pStyle w:val="OutlineL1"/>
        <w:numPr>
          <w:ilvl w:val="0"/>
          <w:numId w:val="0"/>
        </w:numPr>
        <w:spacing w:after="360"/>
        <w:ind w:left="720"/>
        <w:rPr>
          <w:rFonts w:ascii="Times New Roman" w:hAnsi="Times New Roman"/>
          <w:sz w:val="20"/>
        </w:rPr>
      </w:pPr>
      <w:r w:rsidRPr="009A2157">
        <w:rPr>
          <w:rFonts w:ascii="Times New Roman" w:hAnsi="Times New Roman"/>
          <w:sz w:val="20"/>
        </w:rPr>
        <w:t>Table 1:</w:t>
      </w:r>
    </w:p>
    <w:tbl>
      <w:tblPr>
        <w:tblW w:w="10998" w:type="dxa"/>
        <w:jc w:val="center"/>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CellMar>
          <w:left w:w="0" w:type="dxa"/>
          <w:right w:w="0" w:type="dxa"/>
        </w:tblCellMar>
        <w:tblLook w:val="04A0" w:firstRow="1" w:lastRow="0" w:firstColumn="1" w:lastColumn="0" w:noHBand="0" w:noVBand="1"/>
      </w:tblPr>
      <w:tblGrid>
        <w:gridCol w:w="1430"/>
        <w:gridCol w:w="2070"/>
        <w:gridCol w:w="1890"/>
        <w:gridCol w:w="990"/>
        <w:gridCol w:w="1800"/>
        <w:gridCol w:w="1260"/>
        <w:gridCol w:w="1288"/>
        <w:gridCol w:w="270"/>
      </w:tblGrid>
      <w:tr w:rsidR="009A2157" w:rsidRPr="009A2157" w14:paraId="16C1285B" w14:textId="77777777" w:rsidTr="0018410C">
        <w:trPr>
          <w:gridAfter w:val="1"/>
          <w:wAfter w:w="270" w:type="dxa"/>
          <w:trHeight w:val="1553"/>
          <w:tblHeader/>
          <w:jc w:val="center"/>
        </w:trPr>
        <w:tc>
          <w:tcPr>
            <w:tcW w:w="1430" w:type="dxa"/>
            <w:tcBorders>
              <w:top w:val="single" w:sz="8" w:space="0" w:color="1F497D"/>
              <w:left w:val="single" w:sz="8" w:space="0" w:color="1F497D"/>
              <w:bottom w:val="single" w:sz="8" w:space="0" w:color="1F497D"/>
              <w:right w:val="single" w:sz="8" w:space="0" w:color="1F497D"/>
            </w:tcBorders>
            <w:shd w:val="clear" w:color="auto" w:fill="002060"/>
            <w:tcMar>
              <w:top w:w="0" w:type="dxa"/>
              <w:left w:w="108" w:type="dxa"/>
              <w:bottom w:w="0" w:type="dxa"/>
              <w:right w:w="108" w:type="dxa"/>
            </w:tcMar>
            <w:hideMark/>
          </w:tcPr>
          <w:p w14:paraId="56222F0F" w14:textId="77777777" w:rsidR="009A2157" w:rsidRPr="009A2157" w:rsidRDefault="009A2157" w:rsidP="00A54D91">
            <w:pPr>
              <w:spacing w:after="200" w:line="276" w:lineRule="auto"/>
              <w:ind w:right="360"/>
              <w:rPr>
                <w:rFonts w:eastAsia="Calibri"/>
                <w:b/>
                <w:bCs/>
                <w:sz w:val="18"/>
                <w:szCs w:val="18"/>
              </w:rPr>
            </w:pPr>
            <w:r w:rsidRPr="009A2157">
              <w:rPr>
                <w:rFonts w:eastAsia="SimSun"/>
                <w:b/>
                <w:bCs/>
                <w:sz w:val="18"/>
                <w:szCs w:val="18"/>
              </w:rPr>
              <w:t xml:space="preserve">Milestone </w:t>
            </w:r>
          </w:p>
        </w:tc>
        <w:tc>
          <w:tcPr>
            <w:tcW w:w="2070" w:type="dxa"/>
            <w:tcBorders>
              <w:top w:val="single" w:sz="8" w:space="0" w:color="1F497D"/>
              <w:left w:val="single" w:sz="8" w:space="0" w:color="1F497D"/>
              <w:bottom w:val="single" w:sz="8" w:space="0" w:color="1F497D"/>
              <w:right w:val="single" w:sz="8" w:space="0" w:color="1F497D"/>
            </w:tcBorders>
            <w:shd w:val="clear" w:color="auto" w:fill="002060"/>
            <w:tcMar>
              <w:top w:w="0" w:type="dxa"/>
              <w:left w:w="108" w:type="dxa"/>
              <w:bottom w:w="0" w:type="dxa"/>
              <w:right w:w="108" w:type="dxa"/>
            </w:tcMar>
            <w:hideMark/>
          </w:tcPr>
          <w:p w14:paraId="78743AF9" w14:textId="77777777" w:rsidR="009A2157" w:rsidRPr="009A2157" w:rsidRDefault="009A2157" w:rsidP="00A54D91">
            <w:pPr>
              <w:spacing w:after="200" w:line="276" w:lineRule="auto"/>
              <w:ind w:right="360"/>
              <w:rPr>
                <w:rFonts w:eastAsia="Calibri"/>
                <w:b/>
                <w:bCs/>
                <w:sz w:val="18"/>
                <w:szCs w:val="18"/>
              </w:rPr>
            </w:pPr>
            <w:r w:rsidRPr="009A2157">
              <w:rPr>
                <w:rFonts w:eastAsia="SimSun"/>
                <w:b/>
                <w:bCs/>
                <w:sz w:val="18"/>
                <w:szCs w:val="18"/>
              </w:rPr>
              <w:t>Activities</w:t>
            </w:r>
          </w:p>
        </w:tc>
        <w:tc>
          <w:tcPr>
            <w:tcW w:w="1890" w:type="dxa"/>
            <w:tcBorders>
              <w:top w:val="single" w:sz="8" w:space="0" w:color="1F497D"/>
              <w:left w:val="single" w:sz="8" w:space="0" w:color="1F497D"/>
              <w:bottom w:val="single" w:sz="8" w:space="0" w:color="1F497D"/>
              <w:right w:val="single" w:sz="8" w:space="0" w:color="1F497D"/>
            </w:tcBorders>
            <w:shd w:val="clear" w:color="auto" w:fill="002060"/>
            <w:tcMar>
              <w:top w:w="0" w:type="dxa"/>
              <w:left w:w="108" w:type="dxa"/>
              <w:bottom w:w="0" w:type="dxa"/>
              <w:right w:w="108" w:type="dxa"/>
            </w:tcMar>
            <w:hideMark/>
          </w:tcPr>
          <w:p w14:paraId="1E074B36" w14:textId="77777777" w:rsidR="009A2157" w:rsidRPr="009A2157" w:rsidRDefault="009A2157" w:rsidP="00A54D91">
            <w:pPr>
              <w:spacing w:after="200" w:line="276" w:lineRule="auto"/>
              <w:ind w:right="360"/>
              <w:rPr>
                <w:rFonts w:eastAsia="Calibri"/>
                <w:b/>
                <w:bCs/>
              </w:rPr>
            </w:pPr>
            <w:r w:rsidRPr="009A2157">
              <w:rPr>
                <w:rFonts w:eastAsia="SimSun"/>
                <w:b/>
                <w:bCs/>
              </w:rPr>
              <w:t>Deliverable(s)</w:t>
            </w:r>
          </w:p>
        </w:tc>
        <w:tc>
          <w:tcPr>
            <w:tcW w:w="990" w:type="dxa"/>
            <w:tcBorders>
              <w:top w:val="single" w:sz="8" w:space="0" w:color="1F497D"/>
              <w:left w:val="single" w:sz="8" w:space="0" w:color="1F497D"/>
              <w:bottom w:val="single" w:sz="8" w:space="0" w:color="1F497D"/>
              <w:right w:val="single" w:sz="8" w:space="0" w:color="1F497D"/>
            </w:tcBorders>
            <w:shd w:val="clear" w:color="auto" w:fill="002060"/>
            <w:hideMark/>
          </w:tcPr>
          <w:p w14:paraId="18DD07B3" w14:textId="77777777" w:rsidR="009A2157" w:rsidRPr="009A2157" w:rsidRDefault="009A2157" w:rsidP="00A54D91">
            <w:pPr>
              <w:spacing w:after="200" w:line="276" w:lineRule="auto"/>
              <w:ind w:right="360"/>
              <w:rPr>
                <w:rFonts w:eastAsia="SimSun"/>
                <w:b/>
                <w:bCs/>
              </w:rPr>
            </w:pPr>
            <w:r w:rsidRPr="009A2157">
              <w:rPr>
                <w:rFonts w:eastAsia="SimSun"/>
                <w:b/>
                <w:bCs/>
              </w:rPr>
              <w:t>Delivery Date</w:t>
            </w:r>
          </w:p>
        </w:tc>
        <w:tc>
          <w:tcPr>
            <w:tcW w:w="1800" w:type="dxa"/>
            <w:tcBorders>
              <w:top w:val="single" w:sz="8" w:space="0" w:color="1F497D"/>
              <w:left w:val="single" w:sz="8" w:space="0" w:color="1F497D"/>
              <w:bottom w:val="single" w:sz="8" w:space="0" w:color="1F497D"/>
              <w:right w:val="single" w:sz="8" w:space="0" w:color="1F497D"/>
            </w:tcBorders>
            <w:shd w:val="clear" w:color="auto" w:fill="002060"/>
            <w:tcMar>
              <w:top w:w="0" w:type="dxa"/>
              <w:left w:w="108" w:type="dxa"/>
              <w:bottom w:w="0" w:type="dxa"/>
              <w:right w:w="108" w:type="dxa"/>
            </w:tcMar>
            <w:hideMark/>
          </w:tcPr>
          <w:p w14:paraId="727D1087" w14:textId="77777777" w:rsidR="009A2157" w:rsidRPr="009A2157" w:rsidRDefault="009A2157" w:rsidP="00A54D91">
            <w:pPr>
              <w:spacing w:after="200" w:line="276" w:lineRule="auto"/>
              <w:ind w:right="360"/>
              <w:rPr>
                <w:rFonts w:eastAsia="Calibri"/>
                <w:b/>
                <w:bCs/>
              </w:rPr>
            </w:pPr>
            <w:r w:rsidRPr="009A2157">
              <w:rPr>
                <w:rFonts w:eastAsia="SimSun"/>
                <w:b/>
                <w:bCs/>
              </w:rPr>
              <w:t>Acceptance Criteria</w:t>
            </w:r>
          </w:p>
        </w:tc>
        <w:tc>
          <w:tcPr>
            <w:tcW w:w="1260" w:type="dxa"/>
            <w:tcBorders>
              <w:top w:val="single" w:sz="8" w:space="0" w:color="1F497D"/>
              <w:left w:val="single" w:sz="8" w:space="0" w:color="1F497D"/>
              <w:bottom w:val="single" w:sz="8" w:space="0" w:color="1F497D"/>
              <w:right w:val="single" w:sz="8" w:space="0" w:color="1F497D"/>
            </w:tcBorders>
            <w:shd w:val="clear" w:color="auto" w:fill="002060"/>
            <w:hideMark/>
          </w:tcPr>
          <w:p w14:paraId="42EFF537" w14:textId="77777777" w:rsidR="009A2157" w:rsidRPr="009A2157" w:rsidRDefault="009A2157" w:rsidP="00A54D91">
            <w:pPr>
              <w:spacing w:after="200" w:line="276" w:lineRule="auto"/>
              <w:ind w:right="360"/>
              <w:rPr>
                <w:rFonts w:eastAsia="SimSun"/>
                <w:b/>
                <w:bCs/>
              </w:rPr>
            </w:pPr>
            <w:r w:rsidRPr="009A2157">
              <w:rPr>
                <w:rFonts w:eastAsia="SimSun"/>
                <w:b/>
                <w:bCs/>
              </w:rPr>
              <w:t>Acceptance Date</w:t>
            </w:r>
          </w:p>
        </w:tc>
        <w:tc>
          <w:tcPr>
            <w:tcW w:w="1288" w:type="dxa"/>
            <w:tcBorders>
              <w:top w:val="single" w:sz="8" w:space="0" w:color="1F497D"/>
              <w:left w:val="single" w:sz="8" w:space="0" w:color="1F497D"/>
              <w:bottom w:val="single" w:sz="8" w:space="0" w:color="1F497D"/>
              <w:right w:val="single" w:sz="8" w:space="0" w:color="1F497D"/>
            </w:tcBorders>
            <w:shd w:val="clear" w:color="auto" w:fill="002060"/>
            <w:tcMar>
              <w:top w:w="0" w:type="dxa"/>
              <w:left w:w="108" w:type="dxa"/>
              <w:bottom w:w="0" w:type="dxa"/>
              <w:right w:w="108" w:type="dxa"/>
            </w:tcMar>
            <w:hideMark/>
          </w:tcPr>
          <w:p w14:paraId="0A9F27A9" w14:textId="77777777" w:rsidR="009A2157" w:rsidRPr="009A2157" w:rsidRDefault="009A2157" w:rsidP="009A2157">
            <w:pPr>
              <w:spacing w:after="200" w:line="276" w:lineRule="auto"/>
              <w:ind w:right="360"/>
              <w:rPr>
                <w:rFonts w:eastAsia="Calibri"/>
                <w:b/>
                <w:bCs/>
              </w:rPr>
            </w:pPr>
            <w:r w:rsidRPr="009A2157">
              <w:rPr>
                <w:rFonts w:eastAsia="SimSun"/>
                <w:b/>
                <w:bCs/>
              </w:rPr>
              <w:t>Invoice Amt (USD)</w:t>
            </w:r>
          </w:p>
        </w:tc>
      </w:tr>
      <w:tr w:rsidR="009A2157" w:rsidRPr="009A2157" w14:paraId="636EF1A3" w14:textId="77777777" w:rsidTr="0018410C">
        <w:trPr>
          <w:gridAfter w:val="1"/>
          <w:wAfter w:w="270" w:type="dxa"/>
          <w:trHeight w:val="581"/>
          <w:jc w:val="center"/>
        </w:trPr>
        <w:tc>
          <w:tcPr>
            <w:tcW w:w="143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0B35FA1D" w14:textId="77777777" w:rsidR="007E7B16" w:rsidRPr="009A2157" w:rsidRDefault="00976DB6" w:rsidP="00A54D91">
            <w:pPr>
              <w:ind w:right="360"/>
              <w:rPr>
                <w:rFonts w:eastAsia="SimSun"/>
                <w:sz w:val="18"/>
                <w:szCs w:val="18"/>
              </w:rPr>
            </w:pPr>
            <w:r>
              <w:rPr>
                <w:rFonts w:eastAsia="SimSun"/>
                <w:sz w:val="18"/>
                <w:szCs w:val="18"/>
              </w:rPr>
              <w:t>Succe</w:t>
            </w:r>
            <w:r w:rsidR="006A11D5">
              <w:rPr>
                <w:rFonts w:eastAsia="SimSun"/>
                <w:sz w:val="18"/>
                <w:szCs w:val="18"/>
              </w:rPr>
              <w:t>s</w:t>
            </w:r>
            <w:r>
              <w:rPr>
                <w:rFonts w:eastAsia="SimSun"/>
                <w:sz w:val="18"/>
                <w:szCs w:val="18"/>
              </w:rPr>
              <w:t>sful installation of zD&amp;T and levelset installation (zos, middleware, USS)</w:t>
            </w:r>
          </w:p>
          <w:p w14:paraId="30C8CFDA" w14:textId="77777777" w:rsidR="009A2157" w:rsidRPr="009A2157" w:rsidRDefault="009A2157" w:rsidP="00A54D91">
            <w:pPr>
              <w:ind w:right="360"/>
              <w:rPr>
                <w:rFonts w:eastAsia="SimSun"/>
                <w:sz w:val="18"/>
                <w:szCs w:val="18"/>
              </w:rPr>
            </w:pPr>
          </w:p>
          <w:p w14:paraId="22DAA335" w14:textId="77777777" w:rsidR="009A2157" w:rsidRPr="009A2157" w:rsidRDefault="009A2157" w:rsidP="00A54D91">
            <w:pPr>
              <w:ind w:right="360"/>
              <w:rPr>
                <w:rFonts w:eastAsia="Calibri"/>
                <w:sz w:val="18"/>
                <w:szCs w:val="18"/>
              </w:rPr>
            </w:pPr>
          </w:p>
        </w:tc>
        <w:tc>
          <w:tcPr>
            <w:tcW w:w="207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38B3E6E5" w14:textId="77777777" w:rsidR="00AC7C84" w:rsidRDefault="00AC7C84" w:rsidP="00AC12F7">
            <w:pPr>
              <w:pStyle w:val="ListParagraph"/>
              <w:numPr>
                <w:ilvl w:val="0"/>
                <w:numId w:val="14"/>
              </w:numPr>
              <w:rPr>
                <w:rFonts w:eastAsia="Calibri"/>
                <w:sz w:val="18"/>
                <w:szCs w:val="18"/>
              </w:rPr>
            </w:pPr>
            <w:r>
              <w:rPr>
                <w:rFonts w:eastAsia="Calibri"/>
                <w:sz w:val="18"/>
                <w:szCs w:val="18"/>
              </w:rPr>
              <w:t>Assessment of landscape, candidate application and required products on zD&amp;T</w:t>
            </w:r>
          </w:p>
          <w:p w14:paraId="68ADB355" w14:textId="77777777" w:rsidR="009A2157" w:rsidRDefault="00AC7C84" w:rsidP="00AC12F7">
            <w:pPr>
              <w:pStyle w:val="ListParagraph"/>
              <w:numPr>
                <w:ilvl w:val="0"/>
                <w:numId w:val="14"/>
              </w:numPr>
              <w:rPr>
                <w:rFonts w:eastAsia="Calibri"/>
                <w:sz w:val="18"/>
                <w:szCs w:val="18"/>
              </w:rPr>
            </w:pPr>
            <w:r>
              <w:rPr>
                <w:rFonts w:eastAsia="Calibri"/>
                <w:sz w:val="18"/>
                <w:szCs w:val="18"/>
              </w:rPr>
              <w:t>Setup Linux and accesses</w:t>
            </w:r>
          </w:p>
          <w:p w14:paraId="6AC5C368" w14:textId="77777777" w:rsidR="00AC7C84" w:rsidRDefault="00AC7C84" w:rsidP="00AC12F7">
            <w:pPr>
              <w:pStyle w:val="ListParagraph"/>
              <w:numPr>
                <w:ilvl w:val="0"/>
                <w:numId w:val="14"/>
              </w:numPr>
              <w:rPr>
                <w:rFonts w:eastAsia="Calibri"/>
                <w:sz w:val="18"/>
                <w:szCs w:val="18"/>
              </w:rPr>
            </w:pPr>
            <w:r>
              <w:rPr>
                <w:rFonts w:eastAsia="Calibri"/>
                <w:sz w:val="18"/>
                <w:szCs w:val="18"/>
              </w:rPr>
              <w:t>Install zD&amp;T</w:t>
            </w:r>
          </w:p>
          <w:p w14:paraId="3FE64C77" w14:textId="77777777" w:rsidR="00AC7C84" w:rsidRDefault="00AC7C84" w:rsidP="00AC12F7">
            <w:pPr>
              <w:pStyle w:val="ListParagraph"/>
              <w:numPr>
                <w:ilvl w:val="0"/>
                <w:numId w:val="14"/>
              </w:numPr>
              <w:rPr>
                <w:rFonts w:eastAsia="Calibri"/>
                <w:sz w:val="18"/>
                <w:szCs w:val="18"/>
              </w:rPr>
            </w:pPr>
            <w:r>
              <w:rPr>
                <w:rFonts w:eastAsia="Calibri"/>
                <w:sz w:val="18"/>
                <w:szCs w:val="18"/>
              </w:rPr>
              <w:t>Setup RACF profiles</w:t>
            </w:r>
          </w:p>
          <w:p w14:paraId="0110496D" w14:textId="77777777" w:rsidR="00AC7C84" w:rsidRDefault="00AC7C84" w:rsidP="00AC12F7">
            <w:pPr>
              <w:pStyle w:val="ListParagraph"/>
              <w:numPr>
                <w:ilvl w:val="0"/>
                <w:numId w:val="14"/>
              </w:numPr>
              <w:rPr>
                <w:rFonts w:eastAsia="Calibri"/>
                <w:sz w:val="18"/>
                <w:szCs w:val="18"/>
              </w:rPr>
            </w:pPr>
            <w:r>
              <w:rPr>
                <w:rFonts w:eastAsia="Calibri"/>
                <w:sz w:val="18"/>
                <w:szCs w:val="18"/>
              </w:rPr>
              <w:t>Replace default ADCD definitions with Native mainframe definitions</w:t>
            </w:r>
          </w:p>
          <w:p w14:paraId="68DD860E" w14:textId="77777777" w:rsidR="00AC12F7" w:rsidRPr="00AC12F7" w:rsidRDefault="00AC7C84" w:rsidP="00AC12F7">
            <w:pPr>
              <w:pStyle w:val="ListParagraph"/>
              <w:numPr>
                <w:ilvl w:val="0"/>
                <w:numId w:val="14"/>
              </w:numPr>
              <w:rPr>
                <w:rFonts w:eastAsia="Calibri"/>
                <w:sz w:val="18"/>
                <w:szCs w:val="18"/>
              </w:rPr>
            </w:pPr>
            <w:r>
              <w:rPr>
                <w:rFonts w:eastAsia="Calibri"/>
                <w:sz w:val="18"/>
                <w:szCs w:val="18"/>
              </w:rPr>
              <w:t>Install 3</w:t>
            </w:r>
            <w:r w:rsidRPr="00AC7C84">
              <w:rPr>
                <w:rFonts w:eastAsia="Calibri"/>
                <w:sz w:val="18"/>
                <w:szCs w:val="18"/>
                <w:vertAlign w:val="superscript"/>
              </w:rPr>
              <w:t>rd</w:t>
            </w:r>
            <w:r>
              <w:rPr>
                <w:rFonts w:eastAsia="Calibri"/>
                <w:sz w:val="18"/>
                <w:szCs w:val="18"/>
              </w:rPr>
              <w:t xml:space="preserve"> party products</w:t>
            </w:r>
          </w:p>
        </w:tc>
        <w:tc>
          <w:tcPr>
            <w:tcW w:w="189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156CAE6B" w14:textId="77777777" w:rsidR="007E7B16" w:rsidRPr="00AC12F7" w:rsidRDefault="00AC7C84" w:rsidP="00AC12F7">
            <w:pPr>
              <w:pStyle w:val="ListParagraph"/>
              <w:numPr>
                <w:ilvl w:val="0"/>
                <w:numId w:val="14"/>
              </w:numPr>
              <w:rPr>
                <w:rFonts w:eastAsia="Calibri"/>
                <w:sz w:val="18"/>
                <w:szCs w:val="18"/>
              </w:rPr>
            </w:pPr>
            <w:r w:rsidRPr="00AC12F7">
              <w:rPr>
                <w:rFonts w:eastAsia="Calibri"/>
                <w:sz w:val="18"/>
                <w:szCs w:val="18"/>
              </w:rPr>
              <w:t>An assessment report on landscape and recommended provisioning approach</w:t>
            </w:r>
          </w:p>
          <w:p w14:paraId="056BE9F5" w14:textId="77777777" w:rsidR="00AC7C84" w:rsidRPr="00AC12F7" w:rsidRDefault="00AC7C84" w:rsidP="00AC12F7">
            <w:pPr>
              <w:pStyle w:val="ListParagraph"/>
              <w:numPr>
                <w:ilvl w:val="0"/>
                <w:numId w:val="14"/>
              </w:numPr>
              <w:rPr>
                <w:rFonts w:eastAsia="Calibri"/>
                <w:sz w:val="18"/>
                <w:szCs w:val="18"/>
              </w:rPr>
            </w:pPr>
            <w:r w:rsidRPr="00AC12F7">
              <w:rPr>
                <w:rFonts w:eastAsia="Calibri"/>
                <w:sz w:val="18"/>
                <w:szCs w:val="18"/>
              </w:rPr>
              <w:t>A working zD&amp;T environment</w:t>
            </w:r>
          </w:p>
        </w:tc>
        <w:tc>
          <w:tcPr>
            <w:tcW w:w="990" w:type="dxa"/>
            <w:tcBorders>
              <w:top w:val="single" w:sz="8" w:space="0" w:color="1F497D"/>
              <w:left w:val="single" w:sz="8" w:space="0" w:color="1F497D"/>
              <w:bottom w:val="single" w:sz="8" w:space="0" w:color="1F497D"/>
              <w:right w:val="single" w:sz="8" w:space="0" w:color="1F497D"/>
            </w:tcBorders>
            <w:hideMark/>
          </w:tcPr>
          <w:p w14:paraId="17FB207E" w14:textId="77777777" w:rsidR="009A2157" w:rsidRPr="00AC12F7" w:rsidRDefault="00AC7C84" w:rsidP="007E7B16">
            <w:pPr>
              <w:rPr>
                <w:rFonts w:ascii="Calibri" w:eastAsia="Calibri" w:hAnsi="Calibri"/>
                <w:sz w:val="18"/>
                <w:szCs w:val="18"/>
              </w:rPr>
            </w:pPr>
            <w:r w:rsidRPr="00AC12F7">
              <w:rPr>
                <w:rFonts w:ascii="Calibri" w:eastAsia="Calibri" w:hAnsi="Calibri"/>
                <w:sz w:val="18"/>
                <w:szCs w:val="18"/>
              </w:rPr>
              <w:t>10/11/2019</w:t>
            </w:r>
          </w:p>
        </w:tc>
        <w:tc>
          <w:tcPr>
            <w:tcW w:w="180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hideMark/>
          </w:tcPr>
          <w:p w14:paraId="181A3600" w14:textId="77777777" w:rsidR="00AC7C84" w:rsidRPr="00AC12F7" w:rsidRDefault="00AC7C84" w:rsidP="00A54D91">
            <w:pPr>
              <w:spacing w:after="200" w:line="276" w:lineRule="auto"/>
              <w:ind w:right="360"/>
              <w:rPr>
                <w:rFonts w:ascii="Calibri" w:eastAsia="Calibri" w:hAnsi="Calibri"/>
                <w:sz w:val="18"/>
                <w:szCs w:val="18"/>
              </w:rPr>
            </w:pPr>
            <w:r w:rsidRPr="00AC12F7">
              <w:rPr>
                <w:rFonts w:ascii="Calibri" w:eastAsia="Calibri" w:hAnsi="Calibri"/>
                <w:sz w:val="18"/>
                <w:szCs w:val="18"/>
              </w:rPr>
              <w:t>-Sprint goals</w:t>
            </w:r>
          </w:p>
          <w:p w14:paraId="409668A1" w14:textId="77777777" w:rsidR="009A2157" w:rsidRPr="00AC12F7" w:rsidRDefault="00AC7C84" w:rsidP="00A54D91">
            <w:pPr>
              <w:spacing w:after="200" w:line="276" w:lineRule="auto"/>
              <w:ind w:right="360"/>
              <w:rPr>
                <w:rFonts w:ascii="Calibri" w:eastAsia="Calibri" w:hAnsi="Calibri"/>
                <w:sz w:val="18"/>
                <w:szCs w:val="18"/>
              </w:rPr>
            </w:pPr>
            <w:r w:rsidRPr="00AC12F7">
              <w:rPr>
                <w:rFonts w:ascii="Calibri" w:eastAsia="Calibri" w:hAnsi="Calibri"/>
                <w:sz w:val="18"/>
                <w:szCs w:val="18"/>
              </w:rPr>
              <w:t>-Morgan Stanley sign-off on deliverables</w:t>
            </w:r>
          </w:p>
        </w:tc>
        <w:tc>
          <w:tcPr>
            <w:tcW w:w="1260" w:type="dxa"/>
            <w:tcBorders>
              <w:top w:val="single" w:sz="8" w:space="0" w:color="1F497D"/>
              <w:left w:val="single" w:sz="8" w:space="0" w:color="1F497D"/>
              <w:bottom w:val="single" w:sz="8" w:space="0" w:color="1F497D"/>
              <w:right w:val="single" w:sz="8" w:space="0" w:color="1F497D"/>
            </w:tcBorders>
          </w:tcPr>
          <w:p w14:paraId="6538BF07" w14:textId="77777777" w:rsidR="009A2157" w:rsidRPr="00AC12F7" w:rsidRDefault="00AC12F7" w:rsidP="00A54D91">
            <w:pPr>
              <w:ind w:right="360"/>
              <w:rPr>
                <w:rFonts w:ascii="Calibri" w:eastAsia="Calibri" w:hAnsi="Calibri"/>
                <w:sz w:val="18"/>
                <w:szCs w:val="18"/>
              </w:rPr>
            </w:pPr>
            <w:r>
              <w:rPr>
                <w:rFonts w:ascii="Calibri" w:eastAsia="Calibri" w:hAnsi="Calibri"/>
                <w:sz w:val="18"/>
                <w:szCs w:val="18"/>
              </w:rPr>
              <w:t>10/15</w:t>
            </w:r>
            <w:r w:rsidR="009A2157" w:rsidRPr="00AC12F7">
              <w:rPr>
                <w:rFonts w:ascii="Calibri" w:eastAsia="Calibri" w:hAnsi="Calibri"/>
                <w:sz w:val="18"/>
                <w:szCs w:val="18"/>
              </w:rPr>
              <w:t>/</w:t>
            </w:r>
            <w:r w:rsidR="007E7B16" w:rsidRPr="00AC12F7">
              <w:rPr>
                <w:rFonts w:ascii="Calibri" w:eastAsia="Calibri" w:hAnsi="Calibri"/>
                <w:sz w:val="18"/>
                <w:szCs w:val="18"/>
              </w:rPr>
              <w:t>20</w:t>
            </w:r>
            <w:r w:rsidR="009A2157" w:rsidRPr="00AC12F7">
              <w:rPr>
                <w:rFonts w:ascii="Calibri" w:eastAsia="Calibri" w:hAnsi="Calibri"/>
                <w:sz w:val="18"/>
                <w:szCs w:val="18"/>
              </w:rPr>
              <w:t>19</w:t>
            </w:r>
          </w:p>
        </w:tc>
        <w:tc>
          <w:tcPr>
            <w:tcW w:w="1288"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4D0567E1" w14:textId="77777777" w:rsidR="009A2157" w:rsidRPr="00AC12F7" w:rsidRDefault="00206708" w:rsidP="00A54D91">
            <w:pPr>
              <w:ind w:right="360"/>
              <w:jc w:val="center"/>
              <w:rPr>
                <w:rFonts w:ascii="Calibri" w:eastAsia="Calibri" w:hAnsi="Calibri"/>
                <w:sz w:val="18"/>
                <w:szCs w:val="18"/>
              </w:rPr>
            </w:pPr>
            <w:r>
              <w:rPr>
                <w:rFonts w:ascii="Calibri" w:eastAsia="Calibri" w:hAnsi="Calibri"/>
                <w:sz w:val="18"/>
                <w:szCs w:val="18"/>
              </w:rPr>
              <w:t>12</w:t>
            </w:r>
            <w:r w:rsidR="00AC12F7">
              <w:rPr>
                <w:rFonts w:ascii="Calibri" w:eastAsia="Calibri" w:hAnsi="Calibri"/>
                <w:sz w:val="18"/>
                <w:szCs w:val="18"/>
              </w:rPr>
              <w:t>,862</w:t>
            </w:r>
          </w:p>
        </w:tc>
      </w:tr>
      <w:tr w:rsidR="007E7B16" w:rsidRPr="009A2157" w14:paraId="4D673CC4" w14:textId="77777777" w:rsidTr="0018410C">
        <w:trPr>
          <w:gridAfter w:val="1"/>
          <w:wAfter w:w="270" w:type="dxa"/>
          <w:trHeight w:val="581"/>
          <w:jc w:val="center"/>
        </w:trPr>
        <w:tc>
          <w:tcPr>
            <w:tcW w:w="143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3238DE52" w14:textId="77777777" w:rsidR="003C698B" w:rsidRDefault="00AC12F7" w:rsidP="003C698B">
            <w:r>
              <w:t>Application &amp; Data provisioning; Cloning of environment</w:t>
            </w:r>
          </w:p>
        </w:tc>
        <w:tc>
          <w:tcPr>
            <w:tcW w:w="207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4AB5BD0A" w14:textId="77777777" w:rsidR="007E7B16" w:rsidRDefault="00AC12F7" w:rsidP="00AC12F7">
            <w:pPr>
              <w:pStyle w:val="ListParagraph"/>
              <w:numPr>
                <w:ilvl w:val="0"/>
                <w:numId w:val="15"/>
              </w:numPr>
              <w:rPr>
                <w:rFonts w:eastAsia="Calibri"/>
                <w:sz w:val="18"/>
                <w:szCs w:val="18"/>
              </w:rPr>
            </w:pPr>
            <w:r>
              <w:rPr>
                <w:rFonts w:eastAsia="Calibri"/>
                <w:sz w:val="18"/>
                <w:szCs w:val="18"/>
              </w:rPr>
              <w:t>Copying Application resources – loadmodules, maps, files, JCLs, PROCs, datacards, etc</w:t>
            </w:r>
          </w:p>
          <w:p w14:paraId="39220CE3" w14:textId="77777777" w:rsidR="00AC12F7" w:rsidRDefault="00AC12F7" w:rsidP="00AC12F7">
            <w:pPr>
              <w:pStyle w:val="ListParagraph"/>
              <w:numPr>
                <w:ilvl w:val="0"/>
                <w:numId w:val="15"/>
              </w:numPr>
              <w:rPr>
                <w:rFonts w:eastAsia="Calibri"/>
                <w:sz w:val="18"/>
                <w:szCs w:val="18"/>
              </w:rPr>
            </w:pPr>
            <w:r>
              <w:rPr>
                <w:rFonts w:eastAsia="Calibri"/>
                <w:sz w:val="18"/>
                <w:szCs w:val="18"/>
              </w:rPr>
              <w:t>DB migration and copying of data</w:t>
            </w:r>
          </w:p>
          <w:p w14:paraId="6A553BA6" w14:textId="77777777" w:rsidR="00AC12F7" w:rsidRDefault="00AC12F7" w:rsidP="00AC12F7">
            <w:pPr>
              <w:pStyle w:val="ListParagraph"/>
              <w:numPr>
                <w:ilvl w:val="0"/>
                <w:numId w:val="15"/>
              </w:numPr>
              <w:rPr>
                <w:rFonts w:eastAsia="Calibri"/>
                <w:sz w:val="18"/>
                <w:szCs w:val="18"/>
              </w:rPr>
            </w:pPr>
            <w:r>
              <w:rPr>
                <w:rFonts w:eastAsia="Calibri"/>
                <w:sz w:val="18"/>
                <w:szCs w:val="18"/>
              </w:rPr>
              <w:t>Shakedown testing by application team</w:t>
            </w:r>
          </w:p>
          <w:p w14:paraId="62DE51AE" w14:textId="77777777" w:rsidR="00AC12F7" w:rsidRDefault="00AC12F7" w:rsidP="00AC12F7">
            <w:pPr>
              <w:pStyle w:val="ListParagraph"/>
              <w:numPr>
                <w:ilvl w:val="0"/>
                <w:numId w:val="15"/>
              </w:numPr>
              <w:rPr>
                <w:rFonts w:eastAsia="Calibri"/>
                <w:sz w:val="18"/>
                <w:szCs w:val="18"/>
              </w:rPr>
            </w:pPr>
            <w:r>
              <w:rPr>
                <w:rFonts w:eastAsia="Calibri"/>
                <w:sz w:val="18"/>
                <w:szCs w:val="18"/>
              </w:rPr>
              <w:t>Baseline the image</w:t>
            </w:r>
          </w:p>
          <w:p w14:paraId="05F05C27" w14:textId="77777777" w:rsidR="00AC12F7" w:rsidRPr="00AC12F7" w:rsidRDefault="00AC12F7" w:rsidP="00AC12F7">
            <w:pPr>
              <w:pStyle w:val="ListParagraph"/>
              <w:numPr>
                <w:ilvl w:val="0"/>
                <w:numId w:val="15"/>
              </w:numPr>
              <w:rPr>
                <w:rFonts w:eastAsia="Calibri"/>
                <w:sz w:val="18"/>
                <w:szCs w:val="18"/>
              </w:rPr>
            </w:pPr>
            <w:r>
              <w:rPr>
                <w:rFonts w:eastAsia="Calibri"/>
                <w:sz w:val="18"/>
                <w:szCs w:val="18"/>
              </w:rPr>
              <w:t xml:space="preserve">Cloning the environment from </w:t>
            </w:r>
            <w:r>
              <w:rPr>
                <w:rFonts w:eastAsia="Calibri"/>
                <w:sz w:val="18"/>
                <w:szCs w:val="18"/>
              </w:rPr>
              <w:lastRenderedPageBreak/>
              <w:t>base image to create a new one</w:t>
            </w:r>
          </w:p>
        </w:tc>
        <w:tc>
          <w:tcPr>
            <w:tcW w:w="189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710BF2C5" w14:textId="77777777" w:rsidR="007E7B16" w:rsidRPr="00AC12F7" w:rsidRDefault="00AC12F7" w:rsidP="00AC12F7">
            <w:pPr>
              <w:pStyle w:val="ListParagraph"/>
              <w:numPr>
                <w:ilvl w:val="0"/>
                <w:numId w:val="15"/>
              </w:numPr>
              <w:rPr>
                <w:rFonts w:eastAsia="SimSun"/>
              </w:rPr>
            </w:pPr>
            <w:r w:rsidRPr="00AC12F7">
              <w:rPr>
                <w:rFonts w:eastAsia="Calibri"/>
                <w:sz w:val="18"/>
                <w:szCs w:val="18"/>
              </w:rPr>
              <w:lastRenderedPageBreak/>
              <w:t>A working zD&amp;T environment</w:t>
            </w:r>
            <w:r>
              <w:rPr>
                <w:rFonts w:eastAsia="Calibri"/>
                <w:sz w:val="18"/>
                <w:szCs w:val="18"/>
              </w:rPr>
              <w:t xml:space="preserve"> with application and data</w:t>
            </w:r>
          </w:p>
          <w:p w14:paraId="726D6F04" w14:textId="77777777" w:rsidR="00AC12F7" w:rsidRPr="00AC12F7" w:rsidRDefault="00AC12F7" w:rsidP="00AC12F7">
            <w:pPr>
              <w:pStyle w:val="ListParagraph"/>
              <w:numPr>
                <w:ilvl w:val="0"/>
                <w:numId w:val="15"/>
              </w:numPr>
              <w:rPr>
                <w:rFonts w:eastAsia="SimSun"/>
              </w:rPr>
            </w:pPr>
            <w:r>
              <w:rPr>
                <w:rFonts w:eastAsia="Calibri"/>
                <w:sz w:val="18"/>
                <w:szCs w:val="18"/>
              </w:rPr>
              <w:t>A cloned environment that can be very quickly provisioned</w:t>
            </w:r>
          </w:p>
        </w:tc>
        <w:tc>
          <w:tcPr>
            <w:tcW w:w="990" w:type="dxa"/>
            <w:tcBorders>
              <w:top w:val="single" w:sz="8" w:space="0" w:color="1F497D"/>
              <w:left w:val="single" w:sz="8" w:space="0" w:color="1F497D"/>
              <w:bottom w:val="single" w:sz="8" w:space="0" w:color="1F497D"/>
              <w:right w:val="single" w:sz="8" w:space="0" w:color="1F497D"/>
            </w:tcBorders>
          </w:tcPr>
          <w:p w14:paraId="6B48EB9B" w14:textId="77777777" w:rsidR="007E7B16" w:rsidRPr="009A2157" w:rsidRDefault="00AC12F7" w:rsidP="007E7B16">
            <w:pPr>
              <w:rPr>
                <w:rFonts w:eastAsia="Calibri"/>
              </w:rPr>
            </w:pPr>
            <w:r>
              <w:rPr>
                <w:rFonts w:eastAsia="Calibri"/>
              </w:rPr>
              <w:t>11/8/2019</w:t>
            </w:r>
          </w:p>
        </w:tc>
        <w:tc>
          <w:tcPr>
            <w:tcW w:w="180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67837C96" w14:textId="77777777" w:rsidR="007E7B16" w:rsidRPr="00495A35" w:rsidRDefault="00495A35" w:rsidP="00AC12F7">
            <w:pPr>
              <w:pStyle w:val="ListParagraph"/>
              <w:numPr>
                <w:ilvl w:val="0"/>
                <w:numId w:val="16"/>
              </w:numPr>
              <w:ind w:right="360"/>
              <w:rPr>
                <w:rFonts w:eastAsia="Calibri"/>
                <w:sz w:val="18"/>
                <w:szCs w:val="18"/>
              </w:rPr>
            </w:pPr>
            <w:r w:rsidRPr="00495A35">
              <w:rPr>
                <w:rFonts w:eastAsia="Calibri"/>
                <w:sz w:val="18"/>
                <w:szCs w:val="18"/>
              </w:rPr>
              <w:t xml:space="preserve">Application teams can successfully </w:t>
            </w:r>
            <w:r w:rsidR="009D0692">
              <w:rPr>
                <w:rFonts w:eastAsia="Calibri"/>
                <w:sz w:val="18"/>
                <w:szCs w:val="18"/>
              </w:rPr>
              <w:t>perform *smoke test and make changes to components</w:t>
            </w:r>
          </w:p>
          <w:p w14:paraId="3A4F7A42" w14:textId="77777777" w:rsidR="00495A35" w:rsidRPr="00206708" w:rsidRDefault="00495A35" w:rsidP="00AC12F7">
            <w:pPr>
              <w:pStyle w:val="ListParagraph"/>
              <w:numPr>
                <w:ilvl w:val="0"/>
                <w:numId w:val="16"/>
              </w:numPr>
              <w:ind w:right="360"/>
              <w:rPr>
                <w:rFonts w:eastAsia="Calibri"/>
              </w:rPr>
            </w:pPr>
            <w:r w:rsidRPr="00495A35">
              <w:rPr>
                <w:rFonts w:eastAsia="Calibri"/>
                <w:sz w:val="18"/>
                <w:szCs w:val="18"/>
              </w:rPr>
              <w:t xml:space="preserve">Cloning works and environment provisioned </w:t>
            </w:r>
            <w:r w:rsidRPr="00495A35">
              <w:rPr>
                <w:rFonts w:eastAsia="Calibri"/>
                <w:sz w:val="18"/>
                <w:szCs w:val="18"/>
              </w:rPr>
              <w:lastRenderedPageBreak/>
              <w:t>quickly (within few hours)</w:t>
            </w:r>
          </w:p>
          <w:p w14:paraId="161201CF" w14:textId="77777777" w:rsidR="00206708" w:rsidRPr="00AC12F7" w:rsidRDefault="00206708" w:rsidP="00AC12F7">
            <w:pPr>
              <w:pStyle w:val="ListParagraph"/>
              <w:numPr>
                <w:ilvl w:val="0"/>
                <w:numId w:val="16"/>
              </w:numPr>
              <w:ind w:right="360"/>
              <w:rPr>
                <w:rFonts w:eastAsia="Calibri"/>
              </w:rPr>
            </w:pPr>
            <w:r w:rsidRPr="00AC12F7">
              <w:rPr>
                <w:rFonts w:eastAsia="Calibri"/>
                <w:sz w:val="18"/>
                <w:szCs w:val="18"/>
              </w:rPr>
              <w:t>Morgan Stanley sign-off on deliverables</w:t>
            </w:r>
          </w:p>
        </w:tc>
        <w:tc>
          <w:tcPr>
            <w:tcW w:w="1260" w:type="dxa"/>
            <w:tcBorders>
              <w:top w:val="single" w:sz="8" w:space="0" w:color="1F497D"/>
              <w:left w:val="single" w:sz="8" w:space="0" w:color="1F497D"/>
              <w:bottom w:val="single" w:sz="8" w:space="0" w:color="1F497D"/>
              <w:right w:val="single" w:sz="8" w:space="0" w:color="1F497D"/>
            </w:tcBorders>
          </w:tcPr>
          <w:p w14:paraId="4BDC0EC8" w14:textId="77777777" w:rsidR="007E7B16" w:rsidRPr="009A2157" w:rsidRDefault="00AC12F7" w:rsidP="007E7B16">
            <w:pPr>
              <w:spacing w:after="200" w:line="276" w:lineRule="auto"/>
              <w:ind w:right="360"/>
              <w:rPr>
                <w:rFonts w:eastAsia="Calibri"/>
              </w:rPr>
            </w:pPr>
            <w:r>
              <w:rPr>
                <w:rFonts w:eastAsia="Calibri"/>
              </w:rPr>
              <w:lastRenderedPageBreak/>
              <w:t>11/15/2019</w:t>
            </w:r>
          </w:p>
        </w:tc>
        <w:tc>
          <w:tcPr>
            <w:tcW w:w="1288"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542FEB6B" w14:textId="77777777" w:rsidR="007E7B16" w:rsidRPr="009A2157" w:rsidRDefault="00206708" w:rsidP="007E7B16">
            <w:pPr>
              <w:spacing w:after="200" w:line="276" w:lineRule="auto"/>
              <w:ind w:right="360"/>
              <w:jc w:val="center"/>
              <w:rPr>
                <w:rFonts w:eastAsia="Calibri"/>
              </w:rPr>
            </w:pPr>
            <w:r>
              <w:rPr>
                <w:rFonts w:eastAsia="Calibri"/>
              </w:rPr>
              <w:t>11,000</w:t>
            </w:r>
          </w:p>
        </w:tc>
      </w:tr>
      <w:tr w:rsidR="007E7B16" w:rsidRPr="009A2157" w14:paraId="630117F7" w14:textId="77777777" w:rsidTr="0018410C">
        <w:trPr>
          <w:gridAfter w:val="1"/>
          <w:wAfter w:w="270" w:type="dxa"/>
          <w:trHeight w:val="581"/>
          <w:jc w:val="center"/>
        </w:trPr>
        <w:tc>
          <w:tcPr>
            <w:tcW w:w="143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0C92FD54" w14:textId="77777777" w:rsidR="00EA7543" w:rsidRDefault="00EA7543" w:rsidP="007E7B16"/>
        </w:tc>
        <w:tc>
          <w:tcPr>
            <w:tcW w:w="207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7E0D35FC" w14:textId="77777777" w:rsidR="007E7B16" w:rsidRPr="009A2157" w:rsidRDefault="007E7B16" w:rsidP="007E7B16">
            <w:pPr>
              <w:rPr>
                <w:rFonts w:eastAsia="Calibri"/>
                <w:sz w:val="18"/>
                <w:szCs w:val="18"/>
              </w:rPr>
            </w:pPr>
          </w:p>
        </w:tc>
        <w:tc>
          <w:tcPr>
            <w:tcW w:w="189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5BDD06C5" w14:textId="77777777" w:rsidR="007E7B16" w:rsidRPr="009A2157" w:rsidRDefault="007E7B16" w:rsidP="007E7B16">
            <w:pPr>
              <w:rPr>
                <w:rFonts w:eastAsia="SimSun"/>
              </w:rPr>
            </w:pPr>
          </w:p>
        </w:tc>
        <w:tc>
          <w:tcPr>
            <w:tcW w:w="990" w:type="dxa"/>
            <w:tcBorders>
              <w:top w:val="single" w:sz="8" w:space="0" w:color="1F497D"/>
              <w:left w:val="single" w:sz="8" w:space="0" w:color="1F497D"/>
              <w:bottom w:val="single" w:sz="8" w:space="0" w:color="1F497D"/>
              <w:right w:val="single" w:sz="8" w:space="0" w:color="1F497D"/>
            </w:tcBorders>
          </w:tcPr>
          <w:p w14:paraId="4959A814" w14:textId="77777777" w:rsidR="007E7B16" w:rsidRPr="009A2157" w:rsidRDefault="007E7B16" w:rsidP="007E7B16">
            <w:pPr>
              <w:rPr>
                <w:rFonts w:eastAsia="Calibri"/>
              </w:rPr>
            </w:pPr>
          </w:p>
        </w:tc>
        <w:tc>
          <w:tcPr>
            <w:tcW w:w="1800"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0F91F26B" w14:textId="77777777" w:rsidR="007E7B16" w:rsidRPr="009A2157" w:rsidRDefault="007E7B16" w:rsidP="007E7B16">
            <w:pPr>
              <w:spacing w:after="200" w:line="276" w:lineRule="auto"/>
              <w:ind w:right="360"/>
              <w:rPr>
                <w:lang w:eastAsia="x-none"/>
              </w:rPr>
            </w:pPr>
          </w:p>
        </w:tc>
        <w:tc>
          <w:tcPr>
            <w:tcW w:w="1260" w:type="dxa"/>
            <w:tcBorders>
              <w:top w:val="single" w:sz="8" w:space="0" w:color="1F497D"/>
              <w:left w:val="single" w:sz="8" w:space="0" w:color="1F497D"/>
              <w:bottom w:val="single" w:sz="8" w:space="0" w:color="1F497D"/>
              <w:right w:val="single" w:sz="8" w:space="0" w:color="1F497D"/>
            </w:tcBorders>
          </w:tcPr>
          <w:p w14:paraId="6D0D9C9B" w14:textId="77777777" w:rsidR="007E7B16" w:rsidRPr="009A2157" w:rsidRDefault="007E7B16" w:rsidP="007E7B16">
            <w:pPr>
              <w:spacing w:after="200" w:line="276" w:lineRule="auto"/>
              <w:ind w:right="360"/>
              <w:rPr>
                <w:rFonts w:eastAsia="Calibri"/>
              </w:rPr>
            </w:pPr>
          </w:p>
        </w:tc>
        <w:tc>
          <w:tcPr>
            <w:tcW w:w="1288"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3E3DC6D1" w14:textId="77777777" w:rsidR="007E7B16" w:rsidRPr="009A2157" w:rsidRDefault="007E7B16" w:rsidP="007E7B16">
            <w:pPr>
              <w:spacing w:after="200" w:line="276" w:lineRule="auto"/>
              <w:ind w:right="360"/>
              <w:jc w:val="center"/>
              <w:rPr>
                <w:rFonts w:eastAsia="Calibri"/>
              </w:rPr>
            </w:pPr>
          </w:p>
        </w:tc>
      </w:tr>
      <w:tr w:rsidR="003C698B" w:rsidRPr="009A2157" w14:paraId="3EB85790" w14:textId="77777777" w:rsidTr="0018410C">
        <w:trPr>
          <w:gridAfter w:val="1"/>
          <w:wAfter w:w="270" w:type="dxa"/>
          <w:trHeight w:val="581"/>
          <w:jc w:val="center"/>
        </w:trPr>
        <w:tc>
          <w:tcPr>
            <w:tcW w:w="9440" w:type="dxa"/>
            <w:gridSpan w:val="6"/>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tcPr>
          <w:p w14:paraId="3C0148FB" w14:textId="77777777" w:rsidR="003C698B" w:rsidRPr="003C698B" w:rsidRDefault="003C698B" w:rsidP="00A54D91">
            <w:pPr>
              <w:spacing w:after="200" w:line="276" w:lineRule="auto"/>
              <w:ind w:right="360"/>
              <w:rPr>
                <w:rFonts w:eastAsia="Calibri"/>
                <w:b/>
              </w:rPr>
            </w:pPr>
            <w:r w:rsidRPr="003C698B">
              <w:rPr>
                <w:rFonts w:eastAsia="SimSun"/>
                <w:b/>
                <w:sz w:val="18"/>
                <w:szCs w:val="18"/>
              </w:rPr>
              <w:t xml:space="preserve">TOTAL </w:t>
            </w:r>
          </w:p>
        </w:tc>
        <w:tc>
          <w:tcPr>
            <w:tcW w:w="1288" w:type="dxa"/>
            <w:tcBorders>
              <w:top w:val="single" w:sz="8" w:space="0" w:color="1F497D"/>
              <w:left w:val="single" w:sz="8" w:space="0" w:color="1F497D"/>
              <w:bottom w:val="single" w:sz="8" w:space="0" w:color="1F497D"/>
              <w:right w:val="single" w:sz="8" w:space="0" w:color="1F497D"/>
            </w:tcBorders>
            <w:tcMar>
              <w:top w:w="0" w:type="dxa"/>
              <w:left w:w="108" w:type="dxa"/>
              <w:bottom w:w="0" w:type="dxa"/>
              <w:right w:w="108" w:type="dxa"/>
            </w:tcMar>
            <w:vAlign w:val="center"/>
          </w:tcPr>
          <w:p w14:paraId="18598E64" w14:textId="77777777" w:rsidR="003C698B" w:rsidRPr="009A2157" w:rsidRDefault="003C698B" w:rsidP="00206708">
            <w:pPr>
              <w:spacing w:after="200" w:line="276" w:lineRule="auto"/>
              <w:ind w:right="360"/>
              <w:jc w:val="center"/>
              <w:rPr>
                <w:rFonts w:eastAsia="Calibri"/>
              </w:rPr>
            </w:pPr>
            <w:r w:rsidRPr="009A2157">
              <w:rPr>
                <w:rFonts w:eastAsia="Calibri"/>
                <w:b/>
                <w:sz w:val="18"/>
                <w:szCs w:val="18"/>
              </w:rPr>
              <w:t>$</w:t>
            </w:r>
            <w:r>
              <w:rPr>
                <w:rFonts w:eastAsia="Calibri"/>
                <w:b/>
                <w:sz w:val="18"/>
                <w:szCs w:val="18"/>
              </w:rPr>
              <w:t xml:space="preserve">  </w:t>
            </w:r>
            <w:r w:rsidR="00206708">
              <w:rPr>
                <w:rFonts w:eastAsia="Calibri"/>
                <w:b/>
                <w:sz w:val="18"/>
                <w:szCs w:val="18"/>
              </w:rPr>
              <w:t>23,862</w:t>
            </w:r>
          </w:p>
        </w:tc>
      </w:tr>
      <w:tr w:rsidR="009A2157" w:rsidRPr="009A2157" w14:paraId="51EE79B4" w14:textId="77777777" w:rsidTr="007E7B16">
        <w:trPr>
          <w:trHeight w:val="581"/>
          <w:jc w:val="center"/>
        </w:trPr>
        <w:tc>
          <w:tcPr>
            <w:tcW w:w="10998" w:type="dxa"/>
            <w:gridSpan w:val="8"/>
            <w:tcBorders>
              <w:top w:val="nil"/>
              <w:left w:val="nil"/>
              <w:bottom w:val="nil"/>
              <w:right w:val="nil"/>
            </w:tcBorders>
            <w:tcMar>
              <w:top w:w="0" w:type="dxa"/>
              <w:left w:w="108" w:type="dxa"/>
              <w:bottom w:w="0" w:type="dxa"/>
              <w:right w:w="108" w:type="dxa"/>
            </w:tcMar>
            <w:vAlign w:val="center"/>
          </w:tcPr>
          <w:p w14:paraId="410402DC" w14:textId="77777777" w:rsidR="00C15CA8" w:rsidRPr="00BB6DD8" w:rsidRDefault="009D0692" w:rsidP="00BB6DD8">
            <w:pPr>
              <w:pStyle w:val="ListParagraph"/>
              <w:numPr>
                <w:ilvl w:val="0"/>
                <w:numId w:val="15"/>
              </w:numPr>
              <w:ind w:right="360"/>
              <w:rPr>
                <w:rFonts w:eastAsia="Calibri"/>
                <w:b/>
                <w:sz w:val="18"/>
                <w:szCs w:val="18"/>
              </w:rPr>
            </w:pPr>
            <w:r>
              <w:rPr>
                <w:rFonts w:eastAsia="Calibri"/>
                <w:b/>
                <w:sz w:val="18"/>
                <w:szCs w:val="18"/>
              </w:rPr>
              <w:t>Smoke test indicates basic sanity testing of the application to quickly check if its fit for purpose. It DOES NOT indicate a full functional test.</w:t>
            </w:r>
            <w:r w:rsidR="00942F8B">
              <w:rPr>
                <w:rFonts w:eastAsia="Calibri"/>
                <w:b/>
                <w:sz w:val="18"/>
                <w:szCs w:val="18"/>
              </w:rPr>
              <w:t xml:space="preserve"> It will be done by the Application Dev team</w:t>
            </w:r>
          </w:p>
        </w:tc>
      </w:tr>
    </w:tbl>
    <w:p w14:paraId="44BFC8AE" w14:textId="77777777" w:rsidR="000E30AC" w:rsidRPr="009A2157" w:rsidRDefault="0060515D" w:rsidP="0035669C">
      <w:pPr>
        <w:pStyle w:val="NumContinue"/>
        <w:rPr>
          <w:rFonts w:eastAsia="SimSun"/>
          <w:snapToGrid w:val="0"/>
        </w:rPr>
      </w:pPr>
      <w:r w:rsidRPr="009A2157">
        <w:rPr>
          <w:rFonts w:eastAsia="SimSun"/>
          <w:b/>
        </w:rPr>
        <w:t>III.</w:t>
      </w:r>
      <w:r w:rsidRPr="009A2157">
        <w:rPr>
          <w:rFonts w:eastAsia="SimSun"/>
        </w:rPr>
        <w:t xml:space="preserve">  </w:t>
      </w:r>
      <w:r w:rsidR="00E040CD" w:rsidRPr="009A2157">
        <w:rPr>
          <w:rFonts w:eastAsia="SimSun"/>
        </w:rPr>
        <w:tab/>
      </w:r>
      <w:r w:rsidR="000E30AC" w:rsidRPr="009A2157">
        <w:rPr>
          <w:rFonts w:eastAsia="SimSun"/>
          <w:b/>
        </w:rPr>
        <w:t>Consulting Fee and Payment Schedule</w:t>
      </w:r>
      <w:r w:rsidR="000E30AC" w:rsidRPr="009A2157">
        <w:rPr>
          <w:rFonts w:eastAsia="SimSun"/>
        </w:rPr>
        <w:t xml:space="preserve"> (No payment due until after Acceptance in accordance with Agreement.)</w:t>
      </w:r>
      <w:r w:rsidR="009E3A70" w:rsidRPr="009A2157">
        <w:rPr>
          <w:rFonts w:eastAsia="SimSun"/>
        </w:rPr>
        <w:t xml:space="preserve">  </w:t>
      </w:r>
      <w:r w:rsidR="000E30AC" w:rsidRPr="009A2157">
        <w:rPr>
          <w:rFonts w:eastAsia="SimSun"/>
          <w:snapToGrid w:val="0"/>
        </w:rPr>
        <w:t xml:space="preserve">Morgan Stanley will pay Consultant a Fixed Fee </w:t>
      </w:r>
      <w:r w:rsidR="009E3A70" w:rsidRPr="009A2157">
        <w:rPr>
          <w:rFonts w:eastAsia="SimSun"/>
          <w:snapToGrid w:val="0"/>
        </w:rPr>
        <w:t>(</w:t>
      </w:r>
      <w:r w:rsidR="004F7641" w:rsidRPr="009A2157">
        <w:rPr>
          <w:rFonts w:eastAsia="SimSun"/>
          <w:snapToGrid w:val="0"/>
        </w:rPr>
        <w:t xml:space="preserve">the </w:t>
      </w:r>
      <w:r w:rsidR="009E3A70" w:rsidRPr="009A2157">
        <w:rPr>
          <w:rFonts w:eastAsia="SimSun"/>
          <w:snapToGrid w:val="0"/>
        </w:rPr>
        <w:t xml:space="preserve">“Fixed Fee”) </w:t>
      </w:r>
      <w:r w:rsidR="000E30AC" w:rsidRPr="009A2157">
        <w:rPr>
          <w:rFonts w:eastAsia="SimSun"/>
          <w:snapToGrid w:val="0"/>
        </w:rPr>
        <w:t xml:space="preserve">of </w:t>
      </w:r>
      <w:r w:rsidR="000D5427" w:rsidRPr="009A2157">
        <w:rPr>
          <w:b/>
          <w:bCs/>
          <w:color w:val="000000"/>
        </w:rPr>
        <w:t xml:space="preserve">$ </w:t>
      </w:r>
      <w:r w:rsidR="00206708">
        <w:rPr>
          <w:b/>
          <w:color w:val="000000"/>
        </w:rPr>
        <w:t>23,862</w:t>
      </w:r>
      <w:r w:rsidR="002558AC" w:rsidRPr="002558AC">
        <w:rPr>
          <w:rFonts w:eastAsia="SimSun"/>
          <w:b/>
          <w:color w:val="000000"/>
        </w:rPr>
        <w:t xml:space="preserve"> </w:t>
      </w:r>
      <w:r w:rsidR="009E3A70" w:rsidRPr="009A2157">
        <w:rPr>
          <w:rFonts w:eastAsia="SimSun"/>
          <w:snapToGrid w:val="0"/>
        </w:rPr>
        <w:t>(</w:t>
      </w:r>
      <w:r w:rsidR="00206708">
        <w:rPr>
          <w:rFonts w:eastAsia="SimSun"/>
          <w:snapToGrid w:val="0"/>
        </w:rPr>
        <w:t>Twenty three thousand eight hundred and sixty two</w:t>
      </w:r>
      <w:r w:rsidR="0035669C" w:rsidRPr="009A2157">
        <w:rPr>
          <w:rFonts w:eastAsia="SimSun"/>
          <w:snapToGrid w:val="0"/>
        </w:rPr>
        <w:t>)</w:t>
      </w:r>
      <w:r w:rsidR="009E3A70" w:rsidRPr="009A2157">
        <w:rPr>
          <w:rFonts w:eastAsia="SimSun"/>
          <w:snapToGrid w:val="0"/>
        </w:rPr>
        <w:t xml:space="preserve"> </w:t>
      </w:r>
      <w:r w:rsidR="000E30AC" w:rsidRPr="009A2157">
        <w:rPr>
          <w:rFonts w:eastAsia="SimSun"/>
          <w:snapToGrid w:val="0"/>
        </w:rPr>
        <w:t xml:space="preserve">upon Morgan Stanley’s Acceptance of </w:t>
      </w:r>
      <w:r w:rsidR="009E3A70" w:rsidRPr="009A2157">
        <w:rPr>
          <w:rFonts w:eastAsia="SimSun"/>
          <w:snapToGrid w:val="0"/>
        </w:rPr>
        <w:t>D</w:t>
      </w:r>
      <w:r w:rsidR="000E30AC" w:rsidRPr="009A2157">
        <w:rPr>
          <w:rFonts w:eastAsia="SimSun"/>
          <w:snapToGrid w:val="0"/>
        </w:rPr>
        <w:t xml:space="preserve">eliverables in accordance with the </w:t>
      </w:r>
      <w:r w:rsidR="00645BD4" w:rsidRPr="009A2157">
        <w:rPr>
          <w:rFonts w:eastAsia="SimSun"/>
          <w:snapToGrid w:val="0"/>
        </w:rPr>
        <w:t>above</w:t>
      </w:r>
      <w:r w:rsidR="000E30AC" w:rsidRPr="009A2157">
        <w:rPr>
          <w:rFonts w:eastAsia="SimSun"/>
          <w:snapToGrid w:val="0"/>
        </w:rPr>
        <w:t xml:space="preserve"> payment schedule. No additional </w:t>
      </w:r>
      <w:r w:rsidR="009E3A70" w:rsidRPr="009A2157">
        <w:rPr>
          <w:rFonts w:eastAsia="SimSun"/>
          <w:snapToGrid w:val="0"/>
        </w:rPr>
        <w:t>F</w:t>
      </w:r>
      <w:r w:rsidR="000E30AC" w:rsidRPr="009A2157">
        <w:rPr>
          <w:rFonts w:eastAsia="SimSun"/>
          <w:snapToGrid w:val="0"/>
        </w:rPr>
        <w:t xml:space="preserve">ees shall be </w:t>
      </w:r>
      <w:r w:rsidR="009E3A70" w:rsidRPr="009A2157">
        <w:rPr>
          <w:rFonts w:eastAsia="SimSun"/>
          <w:snapToGrid w:val="0"/>
        </w:rPr>
        <w:t>paid</w:t>
      </w:r>
      <w:r w:rsidR="000E30AC" w:rsidRPr="009A2157">
        <w:rPr>
          <w:rFonts w:eastAsia="SimSun"/>
          <w:snapToGrid w:val="0"/>
        </w:rPr>
        <w:t xml:space="preserve"> for </w:t>
      </w:r>
      <w:r w:rsidR="009E3A70" w:rsidRPr="009A2157">
        <w:rPr>
          <w:rFonts w:eastAsia="SimSun"/>
          <w:snapToGrid w:val="0"/>
        </w:rPr>
        <w:t>S</w:t>
      </w:r>
      <w:r w:rsidR="000E30AC" w:rsidRPr="009A2157">
        <w:rPr>
          <w:rFonts w:eastAsia="SimSun"/>
          <w:snapToGrid w:val="0"/>
        </w:rPr>
        <w:t xml:space="preserve">ervices performed unless otherwise agreed to </w:t>
      </w:r>
      <w:r w:rsidR="00027F96" w:rsidRPr="009A2157">
        <w:rPr>
          <w:rFonts w:eastAsia="SimSun"/>
          <w:snapToGrid w:val="0"/>
        </w:rPr>
        <w:t xml:space="preserve">by </w:t>
      </w:r>
      <w:r w:rsidR="009E3A70" w:rsidRPr="009A2157">
        <w:rPr>
          <w:rFonts w:eastAsia="SimSun"/>
          <w:snapToGrid w:val="0"/>
        </w:rPr>
        <w:t>prior written consent of</w:t>
      </w:r>
      <w:r w:rsidR="000E30AC" w:rsidRPr="009A2157">
        <w:rPr>
          <w:rFonts w:eastAsia="SimSun"/>
          <w:snapToGrid w:val="0"/>
        </w:rPr>
        <w:t xml:space="preserve"> Morgan Stanley.  </w:t>
      </w:r>
    </w:p>
    <w:p w14:paraId="0C829055" w14:textId="77777777" w:rsidR="000E30AC" w:rsidRPr="009A2157" w:rsidRDefault="000E30AC" w:rsidP="00027F96">
      <w:pPr>
        <w:widowControl w:val="0"/>
        <w:spacing w:after="240"/>
        <w:ind w:right="36"/>
        <w:jc w:val="both"/>
        <w:rPr>
          <w:rFonts w:eastAsia="SimSun"/>
          <w:snapToGrid w:val="0"/>
        </w:rPr>
      </w:pPr>
      <w:r w:rsidRPr="009A2157">
        <w:rPr>
          <w:rFonts w:eastAsia="SimSun"/>
          <w:snapToGrid w:val="0"/>
        </w:rPr>
        <w:t xml:space="preserve">Consultant will perform and complete through Acceptance all Services under this Task Order for the Fixed Fee, regardless of whether the </w:t>
      </w:r>
      <w:r w:rsidR="00027F96" w:rsidRPr="009A2157">
        <w:rPr>
          <w:rFonts w:eastAsia="SimSun"/>
          <w:snapToGrid w:val="0"/>
        </w:rPr>
        <w:t>Services</w:t>
      </w:r>
      <w:r w:rsidRPr="009A2157">
        <w:rPr>
          <w:rFonts w:eastAsia="SimSun"/>
          <w:snapToGrid w:val="0"/>
        </w:rPr>
        <w:t xml:space="preserve"> performed by Consultant’s personnel at the applicable rates meets or exceeds the Fixed Fee amount set forth herein. The resource staffing estimates set </w:t>
      </w:r>
      <w:r w:rsidRPr="009A2157">
        <w:rPr>
          <w:rFonts w:eastAsia="SimSun"/>
          <w:snapToGrid w:val="0"/>
        </w:rPr>
        <w:lastRenderedPageBreak/>
        <w:t xml:space="preserve">forth below in Table 2: </w:t>
      </w:r>
      <w:r w:rsidR="00E040CD" w:rsidRPr="009A2157">
        <w:rPr>
          <w:rFonts w:eastAsia="SimSun"/>
          <w:snapToGrid w:val="0"/>
        </w:rPr>
        <w:t>[</w:t>
      </w:r>
      <w:r w:rsidRPr="009A2157">
        <w:rPr>
          <w:rFonts w:eastAsia="SimSun"/>
          <w:snapToGrid w:val="0"/>
        </w:rPr>
        <w:t>Resource Loading Schedule</w:t>
      </w:r>
      <w:r w:rsidR="00E040CD" w:rsidRPr="009A2157">
        <w:rPr>
          <w:rFonts w:eastAsia="SimSun"/>
          <w:snapToGrid w:val="0"/>
        </w:rPr>
        <w:t>]</w:t>
      </w:r>
      <w:r w:rsidRPr="009A2157">
        <w:rPr>
          <w:rFonts w:eastAsia="SimSun"/>
          <w:snapToGrid w:val="0"/>
        </w:rPr>
        <w:t xml:space="preserve">, are utilized by Consultant in determining the Fixed </w:t>
      </w:r>
      <w:r w:rsidR="00E040CD" w:rsidRPr="009A2157">
        <w:rPr>
          <w:rFonts w:eastAsia="SimSun"/>
          <w:snapToGrid w:val="0"/>
        </w:rPr>
        <w:t>Fee</w:t>
      </w:r>
      <w:r w:rsidRPr="009A2157">
        <w:rPr>
          <w:rFonts w:eastAsia="SimSun"/>
          <w:snapToGrid w:val="0"/>
        </w:rPr>
        <w:t xml:space="preserve"> of </w:t>
      </w:r>
      <w:r w:rsidR="00E040CD" w:rsidRPr="009A2157">
        <w:rPr>
          <w:rFonts w:eastAsia="SimSun"/>
          <w:snapToGrid w:val="0"/>
        </w:rPr>
        <w:t xml:space="preserve">the </w:t>
      </w:r>
      <w:r w:rsidRPr="009A2157">
        <w:rPr>
          <w:rFonts w:eastAsia="SimSun"/>
          <w:snapToGrid w:val="0"/>
        </w:rPr>
        <w:t xml:space="preserve">Services provided under this Task Order based upon Consultant’s understanding of the scope of such Services. </w:t>
      </w:r>
    </w:p>
    <w:p w14:paraId="07E7CD8C" w14:textId="77777777" w:rsidR="008927E2" w:rsidRDefault="008927E2" w:rsidP="000E30AC">
      <w:pPr>
        <w:autoSpaceDE w:val="0"/>
        <w:autoSpaceDN w:val="0"/>
        <w:adjustRightInd w:val="0"/>
        <w:jc w:val="both"/>
        <w:rPr>
          <w:rFonts w:eastAsia="SimSun"/>
          <w:b/>
        </w:rPr>
      </w:pPr>
    </w:p>
    <w:p w14:paraId="62C51DF8" w14:textId="77777777" w:rsidR="008927E2" w:rsidRDefault="008927E2" w:rsidP="000E30AC">
      <w:pPr>
        <w:autoSpaceDE w:val="0"/>
        <w:autoSpaceDN w:val="0"/>
        <w:adjustRightInd w:val="0"/>
        <w:jc w:val="both"/>
        <w:rPr>
          <w:rFonts w:eastAsia="SimSun"/>
          <w:b/>
        </w:rPr>
      </w:pPr>
    </w:p>
    <w:p w14:paraId="3F1B9015" w14:textId="77777777" w:rsidR="008927E2" w:rsidRDefault="008927E2" w:rsidP="000E30AC">
      <w:pPr>
        <w:autoSpaceDE w:val="0"/>
        <w:autoSpaceDN w:val="0"/>
        <w:adjustRightInd w:val="0"/>
        <w:jc w:val="both"/>
        <w:rPr>
          <w:rFonts w:eastAsia="SimSun"/>
          <w:b/>
        </w:rPr>
      </w:pPr>
    </w:p>
    <w:p w14:paraId="1F733911" w14:textId="77777777" w:rsidR="008927E2" w:rsidRDefault="008927E2" w:rsidP="000E30AC">
      <w:pPr>
        <w:autoSpaceDE w:val="0"/>
        <w:autoSpaceDN w:val="0"/>
        <w:adjustRightInd w:val="0"/>
        <w:jc w:val="both"/>
        <w:rPr>
          <w:rFonts w:eastAsia="SimSun"/>
          <w:b/>
        </w:rPr>
      </w:pPr>
    </w:p>
    <w:p w14:paraId="226106F0" w14:textId="77777777" w:rsidR="008927E2" w:rsidRDefault="008927E2" w:rsidP="000E30AC">
      <w:pPr>
        <w:autoSpaceDE w:val="0"/>
        <w:autoSpaceDN w:val="0"/>
        <w:adjustRightInd w:val="0"/>
        <w:jc w:val="both"/>
        <w:rPr>
          <w:rFonts w:eastAsia="SimSun"/>
          <w:b/>
        </w:rPr>
      </w:pPr>
    </w:p>
    <w:p w14:paraId="7F53DCC8" w14:textId="77777777" w:rsidR="008927E2" w:rsidRDefault="008927E2" w:rsidP="000E30AC">
      <w:pPr>
        <w:autoSpaceDE w:val="0"/>
        <w:autoSpaceDN w:val="0"/>
        <w:adjustRightInd w:val="0"/>
        <w:jc w:val="both"/>
        <w:rPr>
          <w:rFonts w:eastAsia="SimSun"/>
          <w:b/>
        </w:rPr>
      </w:pPr>
    </w:p>
    <w:p w14:paraId="4F49DC51" w14:textId="77777777" w:rsidR="000E30AC" w:rsidRPr="009A2157" w:rsidRDefault="00645BD4" w:rsidP="000E30AC">
      <w:pPr>
        <w:autoSpaceDE w:val="0"/>
        <w:autoSpaceDN w:val="0"/>
        <w:adjustRightInd w:val="0"/>
        <w:jc w:val="both"/>
        <w:rPr>
          <w:rFonts w:eastAsia="SimSun"/>
          <w:b/>
          <w:lang w:eastAsia="zh-CN"/>
        </w:rPr>
      </w:pPr>
      <w:r w:rsidRPr="009A2157">
        <w:rPr>
          <w:rFonts w:eastAsia="SimSun"/>
          <w:b/>
        </w:rPr>
        <w:t xml:space="preserve">Table 2:  </w:t>
      </w:r>
      <w:r w:rsidR="000E30AC" w:rsidRPr="009A2157">
        <w:rPr>
          <w:rFonts w:eastAsia="SimSun"/>
          <w:b/>
        </w:rPr>
        <w:t>Resource Loading Schedule</w:t>
      </w:r>
      <w:r w:rsidR="000E30AC" w:rsidRPr="009A2157">
        <w:rPr>
          <w:rFonts w:eastAsia="SimSun"/>
          <w:b/>
          <w:lang w:eastAsia="zh-CN"/>
        </w:rPr>
        <w:t xml:space="preserve"> </w:t>
      </w:r>
    </w:p>
    <w:p w14:paraId="5F95EC69" w14:textId="77777777" w:rsidR="00420AAE" w:rsidRDefault="00420AAE" w:rsidP="000E30AC">
      <w:pPr>
        <w:autoSpaceDE w:val="0"/>
        <w:autoSpaceDN w:val="0"/>
        <w:adjustRightInd w:val="0"/>
        <w:jc w:val="both"/>
        <w:rPr>
          <w:rFonts w:eastAsia="SimSun"/>
          <w:b/>
          <w:lang w:eastAsia="zh-CN"/>
        </w:rPr>
      </w:pPr>
    </w:p>
    <w:tbl>
      <w:tblPr>
        <w:tblW w:w="10859" w:type="dxa"/>
        <w:tblInd w:w="-10" w:type="dxa"/>
        <w:tblLook w:val="04A0" w:firstRow="1" w:lastRow="0" w:firstColumn="1" w:lastColumn="0" w:noHBand="0" w:noVBand="1"/>
      </w:tblPr>
      <w:tblGrid>
        <w:gridCol w:w="327"/>
        <w:gridCol w:w="1021"/>
        <w:gridCol w:w="616"/>
        <w:gridCol w:w="881"/>
        <w:gridCol w:w="1019"/>
        <w:gridCol w:w="2243"/>
        <w:gridCol w:w="567"/>
        <w:gridCol w:w="1112"/>
        <w:gridCol w:w="793"/>
        <w:gridCol w:w="1291"/>
        <w:gridCol w:w="989"/>
      </w:tblGrid>
      <w:tr w:rsidR="00BB6DD8" w:rsidRPr="00BB6DD8" w14:paraId="1E75895A" w14:textId="77777777" w:rsidTr="00BB6DD8">
        <w:trPr>
          <w:trHeight w:val="774"/>
        </w:trPr>
        <w:tc>
          <w:tcPr>
            <w:tcW w:w="327" w:type="dxa"/>
            <w:tcBorders>
              <w:top w:val="single" w:sz="8" w:space="0" w:color="auto"/>
              <w:left w:val="single" w:sz="8" w:space="0" w:color="auto"/>
              <w:bottom w:val="single" w:sz="8" w:space="0" w:color="auto"/>
              <w:right w:val="single" w:sz="8" w:space="0" w:color="auto"/>
            </w:tcBorders>
            <w:shd w:val="clear" w:color="000000" w:fill="1F497D"/>
            <w:vAlign w:val="center"/>
            <w:hideMark/>
          </w:tcPr>
          <w:p w14:paraId="159B61F2" w14:textId="77777777" w:rsidR="00BB6DD8" w:rsidRPr="00BB6DD8" w:rsidRDefault="00BB6DD8" w:rsidP="00BB6DD8">
            <w:pPr>
              <w:jc w:val="center"/>
              <w:rPr>
                <w:rFonts w:ascii="Arial Narrow" w:hAnsi="Arial Narrow" w:cs="Calibri"/>
                <w:b/>
                <w:bCs/>
                <w:color w:val="FFFFFF"/>
                <w:sz w:val="16"/>
                <w:szCs w:val="16"/>
              </w:rPr>
            </w:pPr>
            <w:r w:rsidRPr="00BB6DD8">
              <w:rPr>
                <w:rFonts w:ascii="Arial Narrow" w:hAnsi="Arial Narrow" w:cs="Calibri"/>
                <w:b/>
                <w:bCs/>
                <w:color w:val="FFFFFF"/>
                <w:sz w:val="16"/>
                <w:szCs w:val="16"/>
              </w:rPr>
              <w:t>#</w:t>
            </w:r>
          </w:p>
        </w:tc>
        <w:tc>
          <w:tcPr>
            <w:tcW w:w="1021" w:type="dxa"/>
            <w:tcBorders>
              <w:top w:val="single" w:sz="8" w:space="0" w:color="auto"/>
              <w:left w:val="nil"/>
              <w:bottom w:val="single" w:sz="8" w:space="0" w:color="auto"/>
              <w:right w:val="single" w:sz="8" w:space="0" w:color="auto"/>
            </w:tcBorders>
            <w:shd w:val="clear" w:color="000000" w:fill="1F497D"/>
            <w:vAlign w:val="center"/>
            <w:hideMark/>
          </w:tcPr>
          <w:p w14:paraId="050946AD" w14:textId="77777777" w:rsidR="00BB6DD8" w:rsidRPr="00BB6DD8" w:rsidRDefault="00BB6DD8" w:rsidP="00BB6DD8">
            <w:pPr>
              <w:jc w:val="center"/>
              <w:rPr>
                <w:rFonts w:ascii="Arial Narrow" w:hAnsi="Arial Narrow" w:cs="Calibri"/>
                <w:b/>
                <w:bCs/>
                <w:color w:val="FFFFFF"/>
                <w:sz w:val="16"/>
                <w:szCs w:val="16"/>
              </w:rPr>
            </w:pPr>
            <w:r w:rsidRPr="00BB6DD8">
              <w:rPr>
                <w:rFonts w:ascii="Arial Narrow" w:hAnsi="Arial Narrow" w:cs="Calibri"/>
                <w:b/>
                <w:bCs/>
                <w:color w:val="FFFFFF"/>
                <w:sz w:val="16"/>
                <w:szCs w:val="16"/>
              </w:rPr>
              <w:t>Consultant Name</w:t>
            </w:r>
          </w:p>
        </w:tc>
        <w:tc>
          <w:tcPr>
            <w:tcW w:w="616" w:type="dxa"/>
            <w:tcBorders>
              <w:top w:val="single" w:sz="8" w:space="0" w:color="auto"/>
              <w:left w:val="nil"/>
              <w:bottom w:val="single" w:sz="8" w:space="0" w:color="auto"/>
              <w:right w:val="single" w:sz="8" w:space="0" w:color="auto"/>
            </w:tcBorders>
            <w:shd w:val="clear" w:color="000000" w:fill="1F497D"/>
            <w:vAlign w:val="center"/>
            <w:hideMark/>
          </w:tcPr>
          <w:p w14:paraId="4FE91272" w14:textId="77777777" w:rsidR="00BB6DD8" w:rsidRPr="00BB6DD8" w:rsidRDefault="00BB6DD8" w:rsidP="00BB6DD8">
            <w:pPr>
              <w:jc w:val="center"/>
              <w:rPr>
                <w:rFonts w:ascii="Arial Narrow" w:hAnsi="Arial Narrow" w:cs="Calibri"/>
                <w:b/>
                <w:bCs/>
                <w:color w:val="FFFFFF"/>
                <w:sz w:val="16"/>
                <w:szCs w:val="16"/>
              </w:rPr>
            </w:pPr>
            <w:r w:rsidRPr="00BB6DD8">
              <w:rPr>
                <w:rFonts w:ascii="Arial Narrow" w:hAnsi="Arial Narrow" w:cs="Calibri"/>
                <w:b/>
                <w:bCs/>
                <w:color w:val="FFFFFF"/>
                <w:sz w:val="16"/>
                <w:szCs w:val="16"/>
              </w:rPr>
              <w:t>MSID</w:t>
            </w:r>
          </w:p>
        </w:tc>
        <w:tc>
          <w:tcPr>
            <w:tcW w:w="881" w:type="dxa"/>
            <w:tcBorders>
              <w:top w:val="single" w:sz="8" w:space="0" w:color="auto"/>
              <w:left w:val="nil"/>
              <w:bottom w:val="single" w:sz="8" w:space="0" w:color="auto"/>
              <w:right w:val="single" w:sz="8" w:space="0" w:color="auto"/>
            </w:tcBorders>
            <w:shd w:val="clear" w:color="000000" w:fill="1F497D"/>
            <w:vAlign w:val="center"/>
            <w:hideMark/>
          </w:tcPr>
          <w:p w14:paraId="3B7570B6" w14:textId="77777777" w:rsidR="00BB6DD8" w:rsidRPr="00BB6DD8" w:rsidRDefault="00BB6DD8" w:rsidP="00BB6DD8">
            <w:pPr>
              <w:jc w:val="center"/>
              <w:rPr>
                <w:rFonts w:ascii="Arial Narrow" w:hAnsi="Arial Narrow" w:cs="Calibri"/>
                <w:b/>
                <w:bCs/>
                <w:color w:val="FFFFFF"/>
                <w:sz w:val="16"/>
                <w:szCs w:val="16"/>
              </w:rPr>
            </w:pPr>
            <w:r w:rsidRPr="00BB6DD8">
              <w:rPr>
                <w:rFonts w:ascii="Arial Narrow" w:hAnsi="Arial Narrow" w:cs="Calibri"/>
                <w:b/>
                <w:bCs/>
                <w:color w:val="FFFFFF"/>
                <w:sz w:val="16"/>
                <w:szCs w:val="16"/>
              </w:rPr>
              <w:t>Super Function</w:t>
            </w:r>
          </w:p>
        </w:tc>
        <w:tc>
          <w:tcPr>
            <w:tcW w:w="1019" w:type="dxa"/>
            <w:tcBorders>
              <w:top w:val="single" w:sz="8" w:space="0" w:color="auto"/>
              <w:left w:val="nil"/>
              <w:bottom w:val="single" w:sz="8" w:space="0" w:color="auto"/>
              <w:right w:val="single" w:sz="8" w:space="0" w:color="auto"/>
            </w:tcBorders>
            <w:shd w:val="clear" w:color="000000" w:fill="1F497D"/>
            <w:vAlign w:val="center"/>
            <w:hideMark/>
          </w:tcPr>
          <w:p w14:paraId="2371D308" w14:textId="77777777" w:rsidR="00BB6DD8" w:rsidRPr="00BB6DD8" w:rsidRDefault="00BB6DD8" w:rsidP="00BB6DD8">
            <w:pPr>
              <w:jc w:val="center"/>
              <w:rPr>
                <w:rFonts w:ascii="Arial Narrow" w:hAnsi="Arial Narrow" w:cs="Calibri"/>
                <w:b/>
                <w:bCs/>
                <w:color w:val="FFFFFF"/>
                <w:sz w:val="16"/>
                <w:szCs w:val="16"/>
              </w:rPr>
            </w:pPr>
            <w:r w:rsidRPr="00BB6DD8">
              <w:rPr>
                <w:rFonts w:ascii="Arial Narrow" w:hAnsi="Arial Narrow" w:cs="Calibri"/>
                <w:b/>
                <w:bCs/>
                <w:color w:val="FFFFFF"/>
                <w:sz w:val="16"/>
                <w:szCs w:val="16"/>
              </w:rPr>
              <w:t>Skill Track / Env</w:t>
            </w:r>
          </w:p>
        </w:tc>
        <w:tc>
          <w:tcPr>
            <w:tcW w:w="2243" w:type="dxa"/>
            <w:tcBorders>
              <w:top w:val="single" w:sz="8" w:space="0" w:color="auto"/>
              <w:left w:val="nil"/>
              <w:bottom w:val="single" w:sz="8" w:space="0" w:color="auto"/>
              <w:right w:val="single" w:sz="8" w:space="0" w:color="auto"/>
            </w:tcBorders>
            <w:shd w:val="clear" w:color="000000" w:fill="1F497D"/>
            <w:vAlign w:val="center"/>
            <w:hideMark/>
          </w:tcPr>
          <w:p w14:paraId="60B9965F" w14:textId="77777777" w:rsidR="00BB6DD8" w:rsidRPr="00BB6DD8" w:rsidRDefault="00BB6DD8" w:rsidP="00BB6DD8">
            <w:pPr>
              <w:jc w:val="center"/>
              <w:rPr>
                <w:rFonts w:ascii="Arial Narrow" w:hAnsi="Arial Narrow" w:cs="Calibri"/>
                <w:b/>
                <w:bCs/>
                <w:color w:val="FFFFFF"/>
                <w:sz w:val="16"/>
                <w:szCs w:val="16"/>
              </w:rPr>
            </w:pPr>
            <w:r w:rsidRPr="00BB6DD8">
              <w:rPr>
                <w:rFonts w:ascii="Arial Narrow" w:hAnsi="Arial Narrow" w:cs="Calibri"/>
                <w:b/>
                <w:bCs/>
                <w:color w:val="FFFFFF"/>
                <w:sz w:val="16"/>
                <w:szCs w:val="16"/>
              </w:rPr>
              <w:t>Position</w:t>
            </w:r>
          </w:p>
        </w:tc>
        <w:tc>
          <w:tcPr>
            <w:tcW w:w="567" w:type="dxa"/>
            <w:tcBorders>
              <w:top w:val="single" w:sz="8" w:space="0" w:color="auto"/>
              <w:left w:val="nil"/>
              <w:bottom w:val="single" w:sz="8" w:space="0" w:color="auto"/>
              <w:right w:val="single" w:sz="8" w:space="0" w:color="auto"/>
            </w:tcBorders>
            <w:shd w:val="clear" w:color="000000" w:fill="1F497D"/>
            <w:vAlign w:val="center"/>
            <w:hideMark/>
          </w:tcPr>
          <w:p w14:paraId="4ACAAAC1" w14:textId="77777777" w:rsidR="00BB6DD8" w:rsidRPr="00BB6DD8" w:rsidRDefault="00BB6DD8" w:rsidP="00BB6DD8">
            <w:pPr>
              <w:jc w:val="center"/>
              <w:rPr>
                <w:rFonts w:ascii="Arial Narrow" w:hAnsi="Arial Narrow" w:cs="Calibri"/>
                <w:b/>
                <w:bCs/>
                <w:color w:val="FFFFFF"/>
                <w:sz w:val="16"/>
                <w:szCs w:val="16"/>
              </w:rPr>
            </w:pPr>
            <w:r w:rsidRPr="00BB6DD8">
              <w:rPr>
                <w:rFonts w:ascii="Arial Narrow" w:hAnsi="Arial Narrow" w:cs="Calibri"/>
                <w:b/>
                <w:bCs/>
                <w:color w:val="FFFFFF"/>
                <w:sz w:val="16"/>
                <w:szCs w:val="16"/>
              </w:rPr>
              <w:t>Loc</w:t>
            </w:r>
          </w:p>
        </w:tc>
        <w:tc>
          <w:tcPr>
            <w:tcW w:w="1112" w:type="dxa"/>
            <w:tcBorders>
              <w:top w:val="single" w:sz="8" w:space="0" w:color="auto"/>
              <w:left w:val="nil"/>
              <w:bottom w:val="single" w:sz="8" w:space="0" w:color="auto"/>
              <w:right w:val="single" w:sz="8" w:space="0" w:color="auto"/>
            </w:tcBorders>
            <w:shd w:val="clear" w:color="000000" w:fill="1F497D"/>
            <w:vAlign w:val="center"/>
            <w:hideMark/>
          </w:tcPr>
          <w:p w14:paraId="5C058BB3" w14:textId="77777777" w:rsidR="00BB6DD8" w:rsidRPr="00BB6DD8" w:rsidRDefault="00BB6DD8" w:rsidP="00BB6DD8">
            <w:pPr>
              <w:jc w:val="center"/>
              <w:rPr>
                <w:rFonts w:ascii="Arial Narrow" w:hAnsi="Arial Narrow" w:cs="Calibri"/>
                <w:b/>
                <w:bCs/>
                <w:color w:val="FFFFFF"/>
                <w:sz w:val="16"/>
                <w:szCs w:val="16"/>
              </w:rPr>
            </w:pPr>
            <w:r w:rsidRPr="00BB6DD8">
              <w:rPr>
                <w:rFonts w:ascii="Arial Narrow" w:hAnsi="Arial Narrow" w:cs="Calibri"/>
                <w:b/>
                <w:bCs/>
                <w:color w:val="FFFFFF"/>
                <w:sz w:val="16"/>
                <w:szCs w:val="16"/>
              </w:rPr>
              <w:t>Exp Lvl</w:t>
            </w:r>
          </w:p>
        </w:tc>
        <w:tc>
          <w:tcPr>
            <w:tcW w:w="793" w:type="dxa"/>
            <w:tcBorders>
              <w:top w:val="single" w:sz="8" w:space="0" w:color="auto"/>
              <w:left w:val="nil"/>
              <w:bottom w:val="single" w:sz="8" w:space="0" w:color="auto"/>
              <w:right w:val="single" w:sz="8" w:space="0" w:color="auto"/>
            </w:tcBorders>
            <w:shd w:val="clear" w:color="000000" w:fill="1F497D"/>
            <w:vAlign w:val="center"/>
            <w:hideMark/>
          </w:tcPr>
          <w:p w14:paraId="5BCD26D8" w14:textId="77777777" w:rsidR="00BB6DD8" w:rsidRPr="00BB6DD8" w:rsidRDefault="00BB6DD8" w:rsidP="00BB6DD8">
            <w:pPr>
              <w:jc w:val="center"/>
              <w:rPr>
                <w:rFonts w:ascii="Arial Narrow" w:hAnsi="Arial Narrow" w:cs="Calibri"/>
                <w:b/>
                <w:bCs/>
                <w:color w:val="FFFFFF"/>
                <w:sz w:val="16"/>
                <w:szCs w:val="16"/>
              </w:rPr>
            </w:pPr>
            <w:r w:rsidRPr="00BB6DD8">
              <w:rPr>
                <w:rFonts w:ascii="Arial Narrow" w:hAnsi="Arial Narrow" w:cs="Calibri"/>
                <w:b/>
                <w:bCs/>
                <w:color w:val="FFFFFF"/>
                <w:sz w:val="16"/>
                <w:szCs w:val="16"/>
              </w:rPr>
              <w:t># of Prof Days</w:t>
            </w:r>
          </w:p>
        </w:tc>
        <w:tc>
          <w:tcPr>
            <w:tcW w:w="1291" w:type="dxa"/>
            <w:tcBorders>
              <w:top w:val="single" w:sz="8" w:space="0" w:color="auto"/>
              <w:left w:val="nil"/>
              <w:bottom w:val="single" w:sz="8" w:space="0" w:color="auto"/>
              <w:right w:val="single" w:sz="8" w:space="0" w:color="auto"/>
            </w:tcBorders>
            <w:shd w:val="clear" w:color="000000" w:fill="1F497D"/>
            <w:vAlign w:val="center"/>
            <w:hideMark/>
          </w:tcPr>
          <w:p w14:paraId="68581DFC" w14:textId="77777777" w:rsidR="00BB6DD8" w:rsidRPr="00BB6DD8" w:rsidRDefault="00BB6DD8" w:rsidP="00BB6DD8">
            <w:pPr>
              <w:jc w:val="center"/>
              <w:rPr>
                <w:rFonts w:ascii="Arial Narrow" w:hAnsi="Arial Narrow" w:cs="Calibri"/>
                <w:b/>
                <w:bCs/>
                <w:color w:val="FFFFFF"/>
                <w:sz w:val="16"/>
                <w:szCs w:val="16"/>
              </w:rPr>
            </w:pPr>
            <w:r w:rsidRPr="00BB6DD8">
              <w:rPr>
                <w:rFonts w:ascii="Arial Narrow" w:hAnsi="Arial Narrow" w:cs="Calibri"/>
                <w:b/>
                <w:bCs/>
                <w:color w:val="FFFFFF"/>
                <w:sz w:val="16"/>
                <w:szCs w:val="16"/>
              </w:rPr>
              <w:t xml:space="preserve">USD Daily Rate </w:t>
            </w:r>
            <w:r w:rsidRPr="00BB6DD8">
              <w:rPr>
                <w:rFonts w:ascii="Arial Narrow" w:hAnsi="Arial Narrow" w:cs="Calibri"/>
                <w:color w:val="FFFFFF"/>
                <w:sz w:val="16"/>
                <w:szCs w:val="16"/>
              </w:rPr>
              <w:t>(Per Rate Card)</w:t>
            </w:r>
          </w:p>
        </w:tc>
        <w:tc>
          <w:tcPr>
            <w:tcW w:w="989" w:type="dxa"/>
            <w:tcBorders>
              <w:top w:val="single" w:sz="8" w:space="0" w:color="auto"/>
              <w:left w:val="nil"/>
              <w:bottom w:val="single" w:sz="8" w:space="0" w:color="auto"/>
              <w:right w:val="single" w:sz="8" w:space="0" w:color="auto"/>
            </w:tcBorders>
            <w:shd w:val="clear" w:color="000000" w:fill="1F497D"/>
            <w:vAlign w:val="center"/>
            <w:hideMark/>
          </w:tcPr>
          <w:p w14:paraId="17832D82" w14:textId="77777777" w:rsidR="00BB6DD8" w:rsidRPr="00BB6DD8" w:rsidRDefault="00BB6DD8" w:rsidP="00BB6DD8">
            <w:pPr>
              <w:jc w:val="center"/>
              <w:rPr>
                <w:rFonts w:ascii="Arial Narrow" w:hAnsi="Arial Narrow" w:cs="Calibri"/>
                <w:b/>
                <w:bCs/>
                <w:color w:val="FFFFFF"/>
                <w:sz w:val="16"/>
                <w:szCs w:val="16"/>
              </w:rPr>
            </w:pPr>
            <w:r w:rsidRPr="00BB6DD8">
              <w:rPr>
                <w:rFonts w:ascii="Arial Narrow" w:hAnsi="Arial Narrow" w:cs="Calibri"/>
                <w:b/>
                <w:bCs/>
                <w:color w:val="FFFFFF"/>
                <w:sz w:val="16"/>
                <w:szCs w:val="16"/>
              </w:rPr>
              <w:t>Total Cost</w:t>
            </w:r>
          </w:p>
        </w:tc>
      </w:tr>
      <w:tr w:rsidR="00BB6DD8" w:rsidRPr="00BB6DD8" w14:paraId="3B1066EF" w14:textId="77777777" w:rsidTr="00BB6DD8">
        <w:trPr>
          <w:trHeight w:val="312"/>
        </w:trPr>
        <w:tc>
          <w:tcPr>
            <w:tcW w:w="327" w:type="dxa"/>
            <w:tcBorders>
              <w:top w:val="nil"/>
              <w:left w:val="single" w:sz="8" w:space="0" w:color="auto"/>
              <w:bottom w:val="single" w:sz="8" w:space="0" w:color="auto"/>
              <w:right w:val="single" w:sz="8" w:space="0" w:color="auto"/>
            </w:tcBorders>
            <w:shd w:val="clear" w:color="000000" w:fill="FFFFFF"/>
            <w:noWrap/>
            <w:vAlign w:val="center"/>
            <w:hideMark/>
          </w:tcPr>
          <w:p w14:paraId="1E231338"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1</w:t>
            </w:r>
          </w:p>
        </w:tc>
        <w:tc>
          <w:tcPr>
            <w:tcW w:w="1021" w:type="dxa"/>
            <w:tcBorders>
              <w:top w:val="nil"/>
              <w:left w:val="nil"/>
              <w:bottom w:val="single" w:sz="8" w:space="0" w:color="auto"/>
              <w:right w:val="single" w:sz="8" w:space="0" w:color="auto"/>
            </w:tcBorders>
            <w:shd w:val="clear" w:color="000000" w:fill="FFFFFF"/>
            <w:noWrap/>
            <w:vAlign w:val="center"/>
            <w:hideMark/>
          </w:tcPr>
          <w:p w14:paraId="42A516CC"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TBD</w:t>
            </w:r>
          </w:p>
        </w:tc>
        <w:tc>
          <w:tcPr>
            <w:tcW w:w="616" w:type="dxa"/>
            <w:tcBorders>
              <w:top w:val="nil"/>
              <w:left w:val="nil"/>
              <w:bottom w:val="single" w:sz="8" w:space="0" w:color="auto"/>
              <w:right w:val="single" w:sz="8" w:space="0" w:color="auto"/>
            </w:tcBorders>
            <w:shd w:val="clear" w:color="000000" w:fill="FFFFFF"/>
            <w:noWrap/>
            <w:vAlign w:val="center"/>
            <w:hideMark/>
          </w:tcPr>
          <w:p w14:paraId="52686693"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TBD</w:t>
            </w:r>
          </w:p>
        </w:tc>
        <w:tc>
          <w:tcPr>
            <w:tcW w:w="881" w:type="dxa"/>
            <w:tcBorders>
              <w:top w:val="nil"/>
              <w:left w:val="nil"/>
              <w:bottom w:val="single" w:sz="8" w:space="0" w:color="auto"/>
              <w:right w:val="single" w:sz="8" w:space="0" w:color="auto"/>
            </w:tcBorders>
            <w:shd w:val="clear" w:color="000000" w:fill="FFFFFF"/>
            <w:noWrap/>
            <w:vAlign w:val="center"/>
            <w:hideMark/>
          </w:tcPr>
          <w:p w14:paraId="0A3406C6"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Technical</w:t>
            </w:r>
          </w:p>
        </w:tc>
        <w:tc>
          <w:tcPr>
            <w:tcW w:w="1019" w:type="dxa"/>
            <w:tcBorders>
              <w:top w:val="nil"/>
              <w:left w:val="nil"/>
              <w:bottom w:val="single" w:sz="8" w:space="0" w:color="auto"/>
              <w:right w:val="single" w:sz="8" w:space="0" w:color="auto"/>
            </w:tcBorders>
            <w:shd w:val="clear" w:color="000000" w:fill="FFFFFF"/>
            <w:noWrap/>
            <w:vAlign w:val="center"/>
            <w:hideMark/>
          </w:tcPr>
          <w:p w14:paraId="08F48697"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Mainframe</w:t>
            </w:r>
          </w:p>
        </w:tc>
        <w:tc>
          <w:tcPr>
            <w:tcW w:w="2243" w:type="dxa"/>
            <w:tcBorders>
              <w:top w:val="nil"/>
              <w:left w:val="nil"/>
              <w:bottom w:val="single" w:sz="8" w:space="0" w:color="auto"/>
              <w:right w:val="single" w:sz="8" w:space="0" w:color="auto"/>
            </w:tcBorders>
            <w:shd w:val="clear" w:color="000000" w:fill="FFFFFF"/>
            <w:noWrap/>
            <w:vAlign w:val="center"/>
            <w:hideMark/>
          </w:tcPr>
          <w:p w14:paraId="27DC0C39"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Developer – Senior - Architect</w:t>
            </w:r>
          </w:p>
        </w:tc>
        <w:tc>
          <w:tcPr>
            <w:tcW w:w="567" w:type="dxa"/>
            <w:tcBorders>
              <w:top w:val="nil"/>
              <w:left w:val="nil"/>
              <w:bottom w:val="single" w:sz="8" w:space="0" w:color="auto"/>
              <w:right w:val="single" w:sz="8" w:space="0" w:color="auto"/>
            </w:tcBorders>
            <w:shd w:val="clear" w:color="000000" w:fill="FFFFFF"/>
            <w:noWrap/>
            <w:vAlign w:val="center"/>
            <w:hideMark/>
          </w:tcPr>
          <w:p w14:paraId="3FCDB77B"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India</w:t>
            </w:r>
          </w:p>
        </w:tc>
        <w:tc>
          <w:tcPr>
            <w:tcW w:w="1112" w:type="dxa"/>
            <w:tcBorders>
              <w:top w:val="nil"/>
              <w:left w:val="nil"/>
              <w:bottom w:val="single" w:sz="8" w:space="0" w:color="auto"/>
              <w:right w:val="single" w:sz="8" w:space="0" w:color="auto"/>
            </w:tcBorders>
            <w:shd w:val="clear" w:color="000000" w:fill="FFFFFF"/>
            <w:noWrap/>
            <w:vAlign w:val="center"/>
            <w:hideMark/>
          </w:tcPr>
          <w:p w14:paraId="5204BC2E"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 Senior</w:t>
            </w:r>
          </w:p>
        </w:tc>
        <w:tc>
          <w:tcPr>
            <w:tcW w:w="793" w:type="dxa"/>
            <w:tcBorders>
              <w:top w:val="nil"/>
              <w:left w:val="nil"/>
              <w:bottom w:val="single" w:sz="8" w:space="0" w:color="auto"/>
              <w:right w:val="single" w:sz="8" w:space="0" w:color="auto"/>
            </w:tcBorders>
            <w:shd w:val="clear" w:color="000000" w:fill="FFFFFF"/>
            <w:noWrap/>
            <w:vAlign w:val="center"/>
            <w:hideMark/>
          </w:tcPr>
          <w:p w14:paraId="1AB40A07" w14:textId="77777777" w:rsidR="00BB6DD8" w:rsidRPr="00BB6DD8" w:rsidRDefault="00BB6DD8" w:rsidP="00BB6DD8">
            <w:pPr>
              <w:jc w:val="right"/>
              <w:rPr>
                <w:rFonts w:ascii="Arial Narrow" w:hAnsi="Arial Narrow" w:cs="Calibri"/>
                <w:color w:val="000000"/>
                <w:sz w:val="16"/>
                <w:szCs w:val="16"/>
              </w:rPr>
            </w:pPr>
            <w:r w:rsidRPr="00BB6DD8">
              <w:rPr>
                <w:rFonts w:ascii="Arial Narrow" w:hAnsi="Arial Narrow" w:cs="Calibri"/>
                <w:color w:val="000000"/>
                <w:sz w:val="16"/>
                <w:szCs w:val="16"/>
              </w:rPr>
              <w:t>37.4</w:t>
            </w:r>
          </w:p>
        </w:tc>
        <w:tc>
          <w:tcPr>
            <w:tcW w:w="1291" w:type="dxa"/>
            <w:tcBorders>
              <w:top w:val="nil"/>
              <w:left w:val="nil"/>
              <w:bottom w:val="single" w:sz="8" w:space="0" w:color="auto"/>
              <w:right w:val="single" w:sz="8" w:space="0" w:color="auto"/>
            </w:tcBorders>
            <w:shd w:val="clear" w:color="000000" w:fill="FFFFFF"/>
            <w:noWrap/>
            <w:vAlign w:val="center"/>
            <w:hideMark/>
          </w:tcPr>
          <w:p w14:paraId="07F175CE" w14:textId="77777777" w:rsidR="00BB6DD8" w:rsidRPr="00BB6DD8" w:rsidRDefault="00BB6DD8" w:rsidP="00BB6DD8">
            <w:pPr>
              <w:jc w:val="right"/>
              <w:rPr>
                <w:color w:val="000000"/>
                <w:sz w:val="16"/>
                <w:szCs w:val="16"/>
              </w:rPr>
            </w:pPr>
            <w:r w:rsidRPr="00BB6DD8">
              <w:rPr>
                <w:color w:val="000000"/>
                <w:sz w:val="16"/>
                <w:szCs w:val="16"/>
              </w:rPr>
              <w:t xml:space="preserve">$231.28 </w:t>
            </w:r>
          </w:p>
        </w:tc>
        <w:tc>
          <w:tcPr>
            <w:tcW w:w="989" w:type="dxa"/>
            <w:tcBorders>
              <w:top w:val="nil"/>
              <w:left w:val="nil"/>
              <w:bottom w:val="single" w:sz="8" w:space="0" w:color="auto"/>
              <w:right w:val="single" w:sz="8" w:space="0" w:color="auto"/>
            </w:tcBorders>
            <w:shd w:val="clear" w:color="000000" w:fill="FFFFFF"/>
            <w:noWrap/>
            <w:vAlign w:val="center"/>
            <w:hideMark/>
          </w:tcPr>
          <w:p w14:paraId="55410958" w14:textId="77777777" w:rsidR="00BB6DD8" w:rsidRPr="00BB6DD8" w:rsidRDefault="00BB6DD8" w:rsidP="00BB6DD8">
            <w:pPr>
              <w:jc w:val="right"/>
              <w:rPr>
                <w:rFonts w:ascii="Arial Narrow" w:hAnsi="Arial Narrow" w:cs="Calibri"/>
                <w:color w:val="000000"/>
                <w:sz w:val="16"/>
                <w:szCs w:val="16"/>
              </w:rPr>
            </w:pPr>
            <w:r w:rsidRPr="00BB6DD8">
              <w:rPr>
                <w:rFonts w:ascii="Arial Narrow" w:hAnsi="Arial Narrow" w:cs="Calibri"/>
                <w:color w:val="000000"/>
                <w:sz w:val="16"/>
                <w:szCs w:val="16"/>
              </w:rPr>
              <w:t xml:space="preserve">$8,649.87 </w:t>
            </w:r>
          </w:p>
        </w:tc>
      </w:tr>
      <w:tr w:rsidR="00BB6DD8" w:rsidRPr="00BB6DD8" w14:paraId="2E655835" w14:textId="77777777" w:rsidTr="00BB6DD8">
        <w:trPr>
          <w:trHeight w:val="312"/>
        </w:trPr>
        <w:tc>
          <w:tcPr>
            <w:tcW w:w="327" w:type="dxa"/>
            <w:tcBorders>
              <w:top w:val="nil"/>
              <w:left w:val="single" w:sz="8" w:space="0" w:color="auto"/>
              <w:bottom w:val="single" w:sz="8" w:space="0" w:color="auto"/>
              <w:right w:val="single" w:sz="8" w:space="0" w:color="auto"/>
            </w:tcBorders>
            <w:shd w:val="clear" w:color="000000" w:fill="FFFFFF"/>
            <w:noWrap/>
            <w:vAlign w:val="center"/>
            <w:hideMark/>
          </w:tcPr>
          <w:p w14:paraId="7F49C339"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2</w:t>
            </w:r>
          </w:p>
        </w:tc>
        <w:tc>
          <w:tcPr>
            <w:tcW w:w="1021" w:type="dxa"/>
            <w:tcBorders>
              <w:top w:val="nil"/>
              <w:left w:val="nil"/>
              <w:bottom w:val="single" w:sz="8" w:space="0" w:color="auto"/>
              <w:right w:val="single" w:sz="8" w:space="0" w:color="auto"/>
            </w:tcBorders>
            <w:shd w:val="clear" w:color="000000" w:fill="FFFFFF"/>
            <w:noWrap/>
            <w:vAlign w:val="center"/>
            <w:hideMark/>
          </w:tcPr>
          <w:p w14:paraId="4BD37132"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TBD</w:t>
            </w:r>
          </w:p>
        </w:tc>
        <w:tc>
          <w:tcPr>
            <w:tcW w:w="616" w:type="dxa"/>
            <w:tcBorders>
              <w:top w:val="nil"/>
              <w:left w:val="nil"/>
              <w:bottom w:val="single" w:sz="8" w:space="0" w:color="auto"/>
              <w:right w:val="single" w:sz="8" w:space="0" w:color="auto"/>
            </w:tcBorders>
            <w:shd w:val="clear" w:color="000000" w:fill="FFFFFF"/>
            <w:noWrap/>
            <w:vAlign w:val="center"/>
            <w:hideMark/>
          </w:tcPr>
          <w:p w14:paraId="09AA5F03"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TBD</w:t>
            </w:r>
          </w:p>
        </w:tc>
        <w:tc>
          <w:tcPr>
            <w:tcW w:w="881" w:type="dxa"/>
            <w:tcBorders>
              <w:top w:val="nil"/>
              <w:left w:val="nil"/>
              <w:bottom w:val="single" w:sz="8" w:space="0" w:color="auto"/>
              <w:right w:val="single" w:sz="8" w:space="0" w:color="auto"/>
            </w:tcBorders>
            <w:shd w:val="clear" w:color="000000" w:fill="FFFFFF"/>
            <w:noWrap/>
            <w:vAlign w:val="center"/>
            <w:hideMark/>
          </w:tcPr>
          <w:p w14:paraId="680BB361"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Technical</w:t>
            </w:r>
          </w:p>
        </w:tc>
        <w:tc>
          <w:tcPr>
            <w:tcW w:w="1019" w:type="dxa"/>
            <w:tcBorders>
              <w:top w:val="nil"/>
              <w:left w:val="nil"/>
              <w:bottom w:val="single" w:sz="8" w:space="0" w:color="auto"/>
              <w:right w:val="single" w:sz="8" w:space="0" w:color="auto"/>
            </w:tcBorders>
            <w:shd w:val="clear" w:color="000000" w:fill="FFFFFF"/>
            <w:noWrap/>
            <w:vAlign w:val="center"/>
            <w:hideMark/>
          </w:tcPr>
          <w:p w14:paraId="23ED8068"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Mainframe</w:t>
            </w:r>
          </w:p>
        </w:tc>
        <w:tc>
          <w:tcPr>
            <w:tcW w:w="2243" w:type="dxa"/>
            <w:tcBorders>
              <w:top w:val="nil"/>
              <w:left w:val="nil"/>
              <w:bottom w:val="single" w:sz="8" w:space="0" w:color="auto"/>
              <w:right w:val="single" w:sz="8" w:space="0" w:color="auto"/>
            </w:tcBorders>
            <w:shd w:val="clear" w:color="000000" w:fill="FFFFFF"/>
            <w:noWrap/>
            <w:vAlign w:val="center"/>
            <w:hideMark/>
          </w:tcPr>
          <w:p w14:paraId="6963EC65"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Specialist Developer</w:t>
            </w:r>
          </w:p>
        </w:tc>
        <w:tc>
          <w:tcPr>
            <w:tcW w:w="567" w:type="dxa"/>
            <w:tcBorders>
              <w:top w:val="nil"/>
              <w:left w:val="nil"/>
              <w:bottom w:val="single" w:sz="8" w:space="0" w:color="auto"/>
              <w:right w:val="single" w:sz="8" w:space="0" w:color="auto"/>
            </w:tcBorders>
            <w:shd w:val="clear" w:color="000000" w:fill="FFFFFF"/>
            <w:noWrap/>
            <w:vAlign w:val="center"/>
            <w:hideMark/>
          </w:tcPr>
          <w:p w14:paraId="3970DDFF"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India</w:t>
            </w:r>
          </w:p>
        </w:tc>
        <w:tc>
          <w:tcPr>
            <w:tcW w:w="1112" w:type="dxa"/>
            <w:tcBorders>
              <w:top w:val="nil"/>
              <w:left w:val="nil"/>
              <w:bottom w:val="single" w:sz="8" w:space="0" w:color="auto"/>
              <w:right w:val="single" w:sz="8" w:space="0" w:color="auto"/>
            </w:tcBorders>
            <w:shd w:val="clear" w:color="000000" w:fill="FFFFFF"/>
            <w:noWrap/>
            <w:vAlign w:val="center"/>
            <w:hideMark/>
          </w:tcPr>
          <w:p w14:paraId="3A014A6A"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 Intermediate</w:t>
            </w:r>
          </w:p>
        </w:tc>
        <w:tc>
          <w:tcPr>
            <w:tcW w:w="793" w:type="dxa"/>
            <w:tcBorders>
              <w:top w:val="nil"/>
              <w:left w:val="nil"/>
              <w:bottom w:val="single" w:sz="8" w:space="0" w:color="auto"/>
              <w:right w:val="single" w:sz="8" w:space="0" w:color="auto"/>
            </w:tcBorders>
            <w:shd w:val="clear" w:color="000000" w:fill="FFFFFF"/>
            <w:noWrap/>
            <w:vAlign w:val="center"/>
            <w:hideMark/>
          </w:tcPr>
          <w:p w14:paraId="5E90A8FC" w14:textId="77777777" w:rsidR="00BB6DD8" w:rsidRPr="00BB6DD8" w:rsidRDefault="00BB6DD8" w:rsidP="00BB6DD8">
            <w:pPr>
              <w:jc w:val="right"/>
              <w:rPr>
                <w:rFonts w:ascii="Arial Narrow" w:hAnsi="Arial Narrow" w:cs="Calibri"/>
                <w:color w:val="000000"/>
                <w:sz w:val="16"/>
                <w:szCs w:val="16"/>
              </w:rPr>
            </w:pPr>
            <w:r w:rsidRPr="00BB6DD8">
              <w:rPr>
                <w:rFonts w:ascii="Arial Narrow" w:hAnsi="Arial Narrow" w:cs="Calibri"/>
                <w:color w:val="000000"/>
                <w:sz w:val="16"/>
                <w:szCs w:val="16"/>
              </w:rPr>
              <w:t>40</w:t>
            </w:r>
          </w:p>
        </w:tc>
        <w:tc>
          <w:tcPr>
            <w:tcW w:w="1291" w:type="dxa"/>
            <w:tcBorders>
              <w:top w:val="nil"/>
              <w:left w:val="nil"/>
              <w:bottom w:val="single" w:sz="8" w:space="0" w:color="auto"/>
              <w:right w:val="single" w:sz="8" w:space="0" w:color="auto"/>
            </w:tcBorders>
            <w:shd w:val="clear" w:color="000000" w:fill="FFFFFF"/>
            <w:noWrap/>
            <w:vAlign w:val="center"/>
            <w:hideMark/>
          </w:tcPr>
          <w:p w14:paraId="6EAFBBA3" w14:textId="77777777" w:rsidR="00BB6DD8" w:rsidRPr="00BB6DD8" w:rsidRDefault="00BB6DD8" w:rsidP="00BB6DD8">
            <w:pPr>
              <w:jc w:val="right"/>
              <w:rPr>
                <w:color w:val="000000"/>
                <w:sz w:val="16"/>
                <w:szCs w:val="16"/>
              </w:rPr>
            </w:pPr>
            <w:r w:rsidRPr="00BB6DD8">
              <w:rPr>
                <w:color w:val="000000"/>
                <w:sz w:val="16"/>
                <w:szCs w:val="16"/>
              </w:rPr>
              <w:t xml:space="preserve">$190.16 </w:t>
            </w:r>
          </w:p>
        </w:tc>
        <w:tc>
          <w:tcPr>
            <w:tcW w:w="989" w:type="dxa"/>
            <w:tcBorders>
              <w:top w:val="nil"/>
              <w:left w:val="nil"/>
              <w:bottom w:val="single" w:sz="8" w:space="0" w:color="auto"/>
              <w:right w:val="single" w:sz="8" w:space="0" w:color="auto"/>
            </w:tcBorders>
            <w:shd w:val="clear" w:color="000000" w:fill="FFFFFF"/>
            <w:noWrap/>
            <w:vAlign w:val="center"/>
            <w:hideMark/>
          </w:tcPr>
          <w:p w14:paraId="66BE523A" w14:textId="77777777" w:rsidR="00BB6DD8" w:rsidRPr="00BB6DD8" w:rsidRDefault="00BB6DD8" w:rsidP="00BB6DD8">
            <w:pPr>
              <w:jc w:val="right"/>
              <w:rPr>
                <w:rFonts w:ascii="Arial Narrow" w:hAnsi="Arial Narrow" w:cs="Calibri"/>
                <w:color w:val="000000"/>
                <w:sz w:val="16"/>
                <w:szCs w:val="16"/>
              </w:rPr>
            </w:pPr>
            <w:r w:rsidRPr="00BB6DD8">
              <w:rPr>
                <w:rFonts w:ascii="Arial Narrow" w:hAnsi="Arial Narrow" w:cs="Calibri"/>
                <w:color w:val="000000"/>
                <w:sz w:val="16"/>
                <w:szCs w:val="16"/>
              </w:rPr>
              <w:t xml:space="preserve">$7,606.40 </w:t>
            </w:r>
          </w:p>
        </w:tc>
      </w:tr>
      <w:tr w:rsidR="00BB6DD8" w:rsidRPr="00BB6DD8" w14:paraId="651145B4" w14:textId="77777777" w:rsidTr="00BB6DD8">
        <w:trPr>
          <w:trHeight w:val="312"/>
        </w:trPr>
        <w:tc>
          <w:tcPr>
            <w:tcW w:w="327" w:type="dxa"/>
            <w:tcBorders>
              <w:top w:val="nil"/>
              <w:left w:val="single" w:sz="8" w:space="0" w:color="auto"/>
              <w:bottom w:val="single" w:sz="8" w:space="0" w:color="auto"/>
              <w:right w:val="single" w:sz="8" w:space="0" w:color="auto"/>
            </w:tcBorders>
            <w:shd w:val="clear" w:color="000000" w:fill="FFFFFF"/>
            <w:noWrap/>
            <w:vAlign w:val="center"/>
            <w:hideMark/>
          </w:tcPr>
          <w:p w14:paraId="00F5BAA1"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3</w:t>
            </w:r>
          </w:p>
        </w:tc>
        <w:tc>
          <w:tcPr>
            <w:tcW w:w="1021" w:type="dxa"/>
            <w:tcBorders>
              <w:top w:val="nil"/>
              <w:left w:val="nil"/>
              <w:bottom w:val="single" w:sz="8" w:space="0" w:color="auto"/>
              <w:right w:val="single" w:sz="8" w:space="0" w:color="auto"/>
            </w:tcBorders>
            <w:shd w:val="clear" w:color="000000" w:fill="FFFFFF"/>
            <w:noWrap/>
            <w:vAlign w:val="center"/>
            <w:hideMark/>
          </w:tcPr>
          <w:p w14:paraId="6E057000"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TBD</w:t>
            </w:r>
          </w:p>
        </w:tc>
        <w:tc>
          <w:tcPr>
            <w:tcW w:w="616" w:type="dxa"/>
            <w:tcBorders>
              <w:top w:val="nil"/>
              <w:left w:val="nil"/>
              <w:bottom w:val="single" w:sz="8" w:space="0" w:color="auto"/>
              <w:right w:val="single" w:sz="8" w:space="0" w:color="auto"/>
            </w:tcBorders>
            <w:shd w:val="clear" w:color="000000" w:fill="FFFFFF"/>
            <w:noWrap/>
            <w:vAlign w:val="center"/>
            <w:hideMark/>
          </w:tcPr>
          <w:p w14:paraId="61A6B512"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TBD</w:t>
            </w:r>
          </w:p>
        </w:tc>
        <w:tc>
          <w:tcPr>
            <w:tcW w:w="881" w:type="dxa"/>
            <w:tcBorders>
              <w:top w:val="nil"/>
              <w:left w:val="nil"/>
              <w:bottom w:val="single" w:sz="8" w:space="0" w:color="auto"/>
              <w:right w:val="single" w:sz="8" w:space="0" w:color="auto"/>
            </w:tcBorders>
            <w:shd w:val="clear" w:color="000000" w:fill="FFFFFF"/>
            <w:noWrap/>
            <w:vAlign w:val="center"/>
            <w:hideMark/>
          </w:tcPr>
          <w:p w14:paraId="537D6FB2"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Technical</w:t>
            </w:r>
          </w:p>
        </w:tc>
        <w:tc>
          <w:tcPr>
            <w:tcW w:w="1019" w:type="dxa"/>
            <w:tcBorders>
              <w:top w:val="nil"/>
              <w:left w:val="nil"/>
              <w:bottom w:val="single" w:sz="8" w:space="0" w:color="auto"/>
              <w:right w:val="single" w:sz="8" w:space="0" w:color="auto"/>
            </w:tcBorders>
            <w:shd w:val="clear" w:color="000000" w:fill="FFFFFF"/>
            <w:noWrap/>
            <w:vAlign w:val="center"/>
            <w:hideMark/>
          </w:tcPr>
          <w:p w14:paraId="0E32D8AF"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Mainframe</w:t>
            </w:r>
          </w:p>
        </w:tc>
        <w:tc>
          <w:tcPr>
            <w:tcW w:w="2243" w:type="dxa"/>
            <w:tcBorders>
              <w:top w:val="nil"/>
              <w:left w:val="nil"/>
              <w:bottom w:val="single" w:sz="8" w:space="0" w:color="auto"/>
              <w:right w:val="single" w:sz="8" w:space="0" w:color="auto"/>
            </w:tcBorders>
            <w:shd w:val="clear" w:color="000000" w:fill="FFFFFF"/>
            <w:noWrap/>
            <w:vAlign w:val="center"/>
            <w:hideMark/>
          </w:tcPr>
          <w:p w14:paraId="4FAF5CF5" w14:textId="77777777" w:rsidR="00BB6DD8" w:rsidRPr="00BB6DD8" w:rsidRDefault="00BB6DD8" w:rsidP="00BB6DD8">
            <w:pPr>
              <w:jc w:val="center"/>
              <w:rPr>
                <w:rFonts w:ascii="Arial Narrow" w:hAnsi="Arial Narrow" w:cs="Calibri"/>
                <w:color w:val="000000"/>
                <w:sz w:val="16"/>
                <w:szCs w:val="16"/>
              </w:rPr>
            </w:pPr>
            <w:r w:rsidRPr="00BB6DD8">
              <w:rPr>
                <w:rFonts w:ascii="Arial Narrow" w:hAnsi="Arial Narrow" w:cs="Calibri"/>
                <w:color w:val="000000"/>
                <w:sz w:val="16"/>
                <w:szCs w:val="16"/>
              </w:rPr>
              <w:t>Specialist Developer</w:t>
            </w:r>
          </w:p>
        </w:tc>
        <w:tc>
          <w:tcPr>
            <w:tcW w:w="567" w:type="dxa"/>
            <w:tcBorders>
              <w:top w:val="nil"/>
              <w:left w:val="nil"/>
              <w:bottom w:val="single" w:sz="8" w:space="0" w:color="auto"/>
              <w:right w:val="single" w:sz="8" w:space="0" w:color="auto"/>
            </w:tcBorders>
            <w:shd w:val="clear" w:color="000000" w:fill="FFFFFF"/>
            <w:noWrap/>
            <w:vAlign w:val="center"/>
            <w:hideMark/>
          </w:tcPr>
          <w:p w14:paraId="158E035D"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India</w:t>
            </w:r>
          </w:p>
        </w:tc>
        <w:tc>
          <w:tcPr>
            <w:tcW w:w="1112" w:type="dxa"/>
            <w:tcBorders>
              <w:top w:val="nil"/>
              <w:left w:val="nil"/>
              <w:bottom w:val="single" w:sz="8" w:space="0" w:color="auto"/>
              <w:right w:val="single" w:sz="8" w:space="0" w:color="auto"/>
            </w:tcBorders>
            <w:shd w:val="clear" w:color="000000" w:fill="FFFFFF"/>
            <w:noWrap/>
            <w:vAlign w:val="center"/>
            <w:hideMark/>
          </w:tcPr>
          <w:p w14:paraId="0423D0E5"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 Intermediate</w:t>
            </w:r>
          </w:p>
        </w:tc>
        <w:tc>
          <w:tcPr>
            <w:tcW w:w="793" w:type="dxa"/>
            <w:tcBorders>
              <w:top w:val="nil"/>
              <w:left w:val="nil"/>
              <w:bottom w:val="single" w:sz="8" w:space="0" w:color="auto"/>
              <w:right w:val="single" w:sz="8" w:space="0" w:color="auto"/>
            </w:tcBorders>
            <w:shd w:val="clear" w:color="000000" w:fill="FFFFFF"/>
            <w:noWrap/>
            <w:vAlign w:val="center"/>
            <w:hideMark/>
          </w:tcPr>
          <w:p w14:paraId="6D1186F4" w14:textId="77777777" w:rsidR="00BB6DD8" w:rsidRPr="00BB6DD8" w:rsidRDefault="00BB6DD8" w:rsidP="00BB6DD8">
            <w:pPr>
              <w:jc w:val="right"/>
              <w:rPr>
                <w:rFonts w:ascii="Arial Narrow" w:hAnsi="Arial Narrow" w:cs="Calibri"/>
                <w:color w:val="000000"/>
                <w:sz w:val="16"/>
                <w:szCs w:val="16"/>
              </w:rPr>
            </w:pPr>
            <w:r w:rsidRPr="00BB6DD8">
              <w:rPr>
                <w:rFonts w:ascii="Arial Narrow" w:hAnsi="Arial Narrow" w:cs="Calibri"/>
                <w:color w:val="000000"/>
                <w:sz w:val="16"/>
                <w:szCs w:val="16"/>
              </w:rPr>
              <w:t>40</w:t>
            </w:r>
          </w:p>
        </w:tc>
        <w:tc>
          <w:tcPr>
            <w:tcW w:w="1291" w:type="dxa"/>
            <w:tcBorders>
              <w:top w:val="nil"/>
              <w:left w:val="nil"/>
              <w:bottom w:val="single" w:sz="8" w:space="0" w:color="auto"/>
              <w:right w:val="single" w:sz="8" w:space="0" w:color="auto"/>
            </w:tcBorders>
            <w:shd w:val="clear" w:color="000000" w:fill="FFFFFF"/>
            <w:noWrap/>
            <w:vAlign w:val="center"/>
            <w:hideMark/>
          </w:tcPr>
          <w:p w14:paraId="54732D75" w14:textId="77777777" w:rsidR="00BB6DD8" w:rsidRPr="00BB6DD8" w:rsidRDefault="00BB6DD8" w:rsidP="00BB6DD8">
            <w:pPr>
              <w:jc w:val="right"/>
              <w:rPr>
                <w:color w:val="000000"/>
                <w:sz w:val="16"/>
                <w:szCs w:val="16"/>
              </w:rPr>
            </w:pPr>
            <w:r w:rsidRPr="00BB6DD8">
              <w:rPr>
                <w:color w:val="000000"/>
                <w:sz w:val="16"/>
                <w:szCs w:val="16"/>
              </w:rPr>
              <w:t xml:space="preserve">$190.16 </w:t>
            </w:r>
          </w:p>
        </w:tc>
        <w:tc>
          <w:tcPr>
            <w:tcW w:w="989" w:type="dxa"/>
            <w:tcBorders>
              <w:top w:val="nil"/>
              <w:left w:val="nil"/>
              <w:bottom w:val="single" w:sz="8" w:space="0" w:color="auto"/>
              <w:right w:val="single" w:sz="8" w:space="0" w:color="auto"/>
            </w:tcBorders>
            <w:shd w:val="clear" w:color="000000" w:fill="FFFFFF"/>
            <w:noWrap/>
            <w:vAlign w:val="center"/>
            <w:hideMark/>
          </w:tcPr>
          <w:p w14:paraId="61A3D438" w14:textId="77777777" w:rsidR="00BB6DD8" w:rsidRPr="00BB6DD8" w:rsidRDefault="00BB6DD8" w:rsidP="00BB6DD8">
            <w:pPr>
              <w:jc w:val="right"/>
              <w:rPr>
                <w:rFonts w:ascii="Arial Narrow" w:hAnsi="Arial Narrow" w:cs="Calibri"/>
                <w:color w:val="000000"/>
                <w:sz w:val="16"/>
                <w:szCs w:val="16"/>
              </w:rPr>
            </w:pPr>
            <w:r w:rsidRPr="00BB6DD8">
              <w:rPr>
                <w:rFonts w:ascii="Arial Narrow" w:hAnsi="Arial Narrow" w:cs="Calibri"/>
                <w:color w:val="000000"/>
                <w:sz w:val="16"/>
                <w:szCs w:val="16"/>
              </w:rPr>
              <w:t xml:space="preserve">$7,606.40 </w:t>
            </w:r>
          </w:p>
        </w:tc>
      </w:tr>
      <w:tr w:rsidR="00BB6DD8" w:rsidRPr="00BB6DD8" w14:paraId="490EA158" w14:textId="77777777" w:rsidTr="00BB6DD8">
        <w:trPr>
          <w:trHeight w:val="312"/>
        </w:trPr>
        <w:tc>
          <w:tcPr>
            <w:tcW w:w="327" w:type="dxa"/>
            <w:tcBorders>
              <w:top w:val="nil"/>
              <w:left w:val="single" w:sz="8" w:space="0" w:color="auto"/>
              <w:bottom w:val="single" w:sz="8" w:space="0" w:color="auto"/>
              <w:right w:val="nil"/>
            </w:tcBorders>
            <w:shd w:val="clear" w:color="000000" w:fill="D9D9D9"/>
            <w:noWrap/>
            <w:vAlign w:val="center"/>
            <w:hideMark/>
          </w:tcPr>
          <w:p w14:paraId="62ABF0AA" w14:textId="77777777" w:rsidR="00BB6DD8" w:rsidRPr="00BB6DD8" w:rsidRDefault="00BB6DD8" w:rsidP="00BB6DD8">
            <w:pPr>
              <w:rPr>
                <w:rFonts w:ascii="Arial Narrow" w:hAnsi="Arial Narrow" w:cs="Calibri"/>
                <w:b/>
                <w:bCs/>
                <w:color w:val="000000"/>
                <w:sz w:val="16"/>
                <w:szCs w:val="16"/>
              </w:rPr>
            </w:pPr>
            <w:r w:rsidRPr="00BB6DD8">
              <w:rPr>
                <w:rFonts w:ascii="Arial Narrow" w:hAnsi="Arial Narrow" w:cs="Calibri"/>
                <w:b/>
                <w:bCs/>
                <w:color w:val="000000"/>
                <w:sz w:val="16"/>
                <w:szCs w:val="16"/>
              </w:rPr>
              <w:t> </w:t>
            </w:r>
          </w:p>
        </w:tc>
        <w:tc>
          <w:tcPr>
            <w:tcW w:w="1021" w:type="dxa"/>
            <w:tcBorders>
              <w:top w:val="nil"/>
              <w:left w:val="nil"/>
              <w:bottom w:val="single" w:sz="8" w:space="0" w:color="auto"/>
              <w:right w:val="nil"/>
            </w:tcBorders>
            <w:shd w:val="clear" w:color="000000" w:fill="D9D9D9"/>
            <w:noWrap/>
            <w:vAlign w:val="center"/>
            <w:hideMark/>
          </w:tcPr>
          <w:p w14:paraId="793CA7A2"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 </w:t>
            </w:r>
          </w:p>
        </w:tc>
        <w:tc>
          <w:tcPr>
            <w:tcW w:w="616" w:type="dxa"/>
            <w:tcBorders>
              <w:top w:val="nil"/>
              <w:left w:val="nil"/>
              <w:bottom w:val="single" w:sz="8" w:space="0" w:color="auto"/>
              <w:right w:val="nil"/>
            </w:tcBorders>
            <w:shd w:val="clear" w:color="000000" w:fill="D9D9D9"/>
            <w:noWrap/>
            <w:vAlign w:val="center"/>
            <w:hideMark/>
          </w:tcPr>
          <w:p w14:paraId="26F7F80D"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 </w:t>
            </w:r>
          </w:p>
        </w:tc>
        <w:tc>
          <w:tcPr>
            <w:tcW w:w="881" w:type="dxa"/>
            <w:tcBorders>
              <w:top w:val="nil"/>
              <w:left w:val="nil"/>
              <w:bottom w:val="single" w:sz="8" w:space="0" w:color="auto"/>
              <w:right w:val="nil"/>
            </w:tcBorders>
            <w:shd w:val="clear" w:color="000000" w:fill="D9D9D9"/>
            <w:noWrap/>
            <w:vAlign w:val="center"/>
            <w:hideMark/>
          </w:tcPr>
          <w:p w14:paraId="11F3CA7D"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 </w:t>
            </w:r>
          </w:p>
        </w:tc>
        <w:tc>
          <w:tcPr>
            <w:tcW w:w="1019" w:type="dxa"/>
            <w:tcBorders>
              <w:top w:val="nil"/>
              <w:left w:val="nil"/>
              <w:bottom w:val="single" w:sz="8" w:space="0" w:color="auto"/>
              <w:right w:val="nil"/>
            </w:tcBorders>
            <w:shd w:val="clear" w:color="000000" w:fill="D9D9D9"/>
            <w:noWrap/>
            <w:vAlign w:val="center"/>
            <w:hideMark/>
          </w:tcPr>
          <w:p w14:paraId="50ABE6FD"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 </w:t>
            </w:r>
          </w:p>
        </w:tc>
        <w:tc>
          <w:tcPr>
            <w:tcW w:w="2243" w:type="dxa"/>
            <w:tcBorders>
              <w:top w:val="nil"/>
              <w:left w:val="nil"/>
              <w:bottom w:val="single" w:sz="8" w:space="0" w:color="auto"/>
              <w:right w:val="nil"/>
            </w:tcBorders>
            <w:shd w:val="clear" w:color="000000" w:fill="D9D9D9"/>
            <w:noWrap/>
            <w:vAlign w:val="center"/>
            <w:hideMark/>
          </w:tcPr>
          <w:p w14:paraId="6DC95FFC"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 </w:t>
            </w:r>
          </w:p>
        </w:tc>
        <w:tc>
          <w:tcPr>
            <w:tcW w:w="567" w:type="dxa"/>
            <w:tcBorders>
              <w:top w:val="nil"/>
              <w:left w:val="nil"/>
              <w:bottom w:val="single" w:sz="8" w:space="0" w:color="auto"/>
              <w:right w:val="nil"/>
            </w:tcBorders>
            <w:shd w:val="clear" w:color="000000" w:fill="D9D9D9"/>
            <w:noWrap/>
            <w:vAlign w:val="center"/>
            <w:hideMark/>
          </w:tcPr>
          <w:p w14:paraId="61742BD9"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 </w:t>
            </w:r>
          </w:p>
        </w:tc>
        <w:tc>
          <w:tcPr>
            <w:tcW w:w="1112" w:type="dxa"/>
            <w:tcBorders>
              <w:top w:val="nil"/>
              <w:left w:val="nil"/>
              <w:bottom w:val="single" w:sz="8" w:space="0" w:color="auto"/>
              <w:right w:val="nil"/>
            </w:tcBorders>
            <w:shd w:val="clear" w:color="000000" w:fill="D9D9D9"/>
            <w:noWrap/>
            <w:vAlign w:val="center"/>
            <w:hideMark/>
          </w:tcPr>
          <w:p w14:paraId="40C313DA"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 </w:t>
            </w:r>
          </w:p>
        </w:tc>
        <w:tc>
          <w:tcPr>
            <w:tcW w:w="793" w:type="dxa"/>
            <w:tcBorders>
              <w:top w:val="nil"/>
              <w:left w:val="nil"/>
              <w:bottom w:val="single" w:sz="8" w:space="0" w:color="auto"/>
              <w:right w:val="nil"/>
            </w:tcBorders>
            <w:shd w:val="clear" w:color="000000" w:fill="D9D9D9"/>
            <w:noWrap/>
            <w:vAlign w:val="center"/>
            <w:hideMark/>
          </w:tcPr>
          <w:p w14:paraId="16DD5AE1" w14:textId="77777777" w:rsidR="00BB6DD8" w:rsidRPr="00BB6DD8" w:rsidRDefault="00BB6DD8" w:rsidP="00BB6DD8">
            <w:pPr>
              <w:rPr>
                <w:rFonts w:ascii="Arial Narrow" w:hAnsi="Arial Narrow" w:cs="Calibri"/>
                <w:color w:val="000000"/>
                <w:sz w:val="16"/>
                <w:szCs w:val="16"/>
              </w:rPr>
            </w:pPr>
            <w:r w:rsidRPr="00BB6DD8">
              <w:rPr>
                <w:rFonts w:ascii="Arial Narrow" w:hAnsi="Arial Narrow" w:cs="Calibri"/>
                <w:color w:val="000000"/>
                <w:sz w:val="16"/>
                <w:szCs w:val="16"/>
              </w:rPr>
              <w:t> </w:t>
            </w:r>
          </w:p>
        </w:tc>
        <w:tc>
          <w:tcPr>
            <w:tcW w:w="1291" w:type="dxa"/>
            <w:tcBorders>
              <w:top w:val="nil"/>
              <w:left w:val="single" w:sz="8" w:space="0" w:color="auto"/>
              <w:bottom w:val="single" w:sz="8" w:space="0" w:color="auto"/>
              <w:right w:val="nil"/>
            </w:tcBorders>
            <w:shd w:val="clear" w:color="000000" w:fill="D9D9D9"/>
            <w:noWrap/>
            <w:vAlign w:val="center"/>
            <w:hideMark/>
          </w:tcPr>
          <w:p w14:paraId="44F4248F" w14:textId="77777777" w:rsidR="00BB6DD8" w:rsidRPr="00BB6DD8" w:rsidRDefault="00BB6DD8" w:rsidP="00BB6DD8">
            <w:pPr>
              <w:jc w:val="center"/>
              <w:rPr>
                <w:rFonts w:ascii="Arial Narrow" w:hAnsi="Arial Narrow" w:cs="Calibri"/>
                <w:b/>
                <w:bCs/>
                <w:color w:val="000000"/>
                <w:sz w:val="16"/>
                <w:szCs w:val="16"/>
              </w:rPr>
            </w:pPr>
            <w:r w:rsidRPr="00BB6DD8">
              <w:rPr>
                <w:rFonts w:ascii="Arial Narrow" w:hAnsi="Arial Narrow" w:cs="Calibri"/>
                <w:b/>
                <w:bCs/>
                <w:color w:val="000000"/>
                <w:sz w:val="16"/>
                <w:szCs w:val="16"/>
              </w:rPr>
              <w:t>Fixed Fee Total</w:t>
            </w:r>
          </w:p>
        </w:tc>
        <w:tc>
          <w:tcPr>
            <w:tcW w:w="989" w:type="dxa"/>
            <w:tcBorders>
              <w:top w:val="nil"/>
              <w:left w:val="single" w:sz="8" w:space="0" w:color="auto"/>
              <w:bottom w:val="single" w:sz="8" w:space="0" w:color="auto"/>
              <w:right w:val="single" w:sz="8" w:space="0" w:color="auto"/>
            </w:tcBorders>
            <w:shd w:val="clear" w:color="000000" w:fill="D9D9D9"/>
            <w:noWrap/>
            <w:vAlign w:val="center"/>
            <w:hideMark/>
          </w:tcPr>
          <w:p w14:paraId="652B4BFA" w14:textId="77777777" w:rsidR="00BB6DD8" w:rsidRPr="00BB6DD8" w:rsidRDefault="00BB6DD8" w:rsidP="00BB6DD8">
            <w:pPr>
              <w:jc w:val="center"/>
              <w:rPr>
                <w:rFonts w:ascii="Arial Narrow" w:hAnsi="Arial Narrow" w:cs="Calibri"/>
                <w:b/>
                <w:bCs/>
                <w:color w:val="000000"/>
                <w:sz w:val="16"/>
                <w:szCs w:val="16"/>
              </w:rPr>
            </w:pPr>
            <w:r w:rsidRPr="00BB6DD8">
              <w:rPr>
                <w:rFonts w:ascii="Arial Narrow" w:hAnsi="Arial Narrow" w:cs="Calibri"/>
                <w:b/>
                <w:bCs/>
                <w:color w:val="000000"/>
                <w:sz w:val="16"/>
                <w:szCs w:val="16"/>
              </w:rPr>
              <w:t xml:space="preserve">$23,862.67 </w:t>
            </w:r>
          </w:p>
        </w:tc>
      </w:tr>
    </w:tbl>
    <w:p w14:paraId="5150798B" w14:textId="77777777" w:rsidR="00420AAE" w:rsidRPr="00BB6DD8" w:rsidRDefault="00206708" w:rsidP="0018410C">
      <w:pPr>
        <w:rPr>
          <w:rFonts w:eastAsia="SimSun"/>
          <w:b/>
          <w:lang w:eastAsia="zh-CN"/>
        </w:rPr>
      </w:pPr>
      <w:r>
        <w:rPr>
          <w:rFonts w:eastAsia="SimSun"/>
          <w:b/>
          <w:lang w:eastAsia="zh-CN"/>
        </w:rPr>
        <w:t>Rounded</w:t>
      </w:r>
      <w:r w:rsidR="008B46E6">
        <w:rPr>
          <w:rFonts w:eastAsia="SimSun"/>
          <w:b/>
          <w:lang w:eastAsia="zh-CN"/>
        </w:rPr>
        <w:t xml:space="preserve">    </w:t>
      </w:r>
      <w:r w:rsidR="008B46E6">
        <w:rPr>
          <w:rFonts w:eastAsia="SimSun"/>
          <w:b/>
          <w:lang w:eastAsia="zh-CN"/>
        </w:rPr>
        <w:tab/>
        <w:t xml:space="preserve">                  </w:t>
      </w:r>
      <w:r>
        <w:rPr>
          <w:rFonts w:eastAsia="SimSun"/>
          <w:b/>
          <w:lang w:eastAsia="zh-CN"/>
        </w:rPr>
        <w:tab/>
      </w:r>
      <w:r>
        <w:rPr>
          <w:rFonts w:eastAsia="SimSun"/>
          <w:b/>
          <w:lang w:eastAsia="zh-CN"/>
        </w:rPr>
        <w:tab/>
      </w:r>
      <w:r>
        <w:rPr>
          <w:rFonts w:eastAsia="SimSun"/>
          <w:b/>
          <w:lang w:eastAsia="zh-CN"/>
        </w:rPr>
        <w:tab/>
      </w:r>
      <w:r>
        <w:rPr>
          <w:rFonts w:eastAsia="SimSun"/>
          <w:b/>
          <w:lang w:eastAsia="zh-CN"/>
        </w:rPr>
        <w:tab/>
      </w:r>
      <w:r>
        <w:rPr>
          <w:rFonts w:eastAsia="SimSun"/>
          <w:b/>
          <w:lang w:eastAsia="zh-CN"/>
        </w:rPr>
        <w:tab/>
      </w:r>
      <w:r>
        <w:rPr>
          <w:rFonts w:eastAsia="SimSun"/>
          <w:b/>
          <w:lang w:eastAsia="zh-CN"/>
        </w:rPr>
        <w:tab/>
      </w:r>
      <w:r>
        <w:rPr>
          <w:rFonts w:eastAsia="SimSun"/>
          <w:b/>
          <w:lang w:eastAsia="zh-CN"/>
        </w:rPr>
        <w:tab/>
      </w:r>
      <w:r>
        <w:rPr>
          <w:rFonts w:eastAsia="SimSun"/>
          <w:b/>
          <w:lang w:eastAsia="zh-CN"/>
        </w:rPr>
        <w:tab/>
      </w:r>
      <w:r>
        <w:rPr>
          <w:rFonts w:eastAsia="SimSun"/>
          <w:b/>
          <w:lang w:eastAsia="zh-CN"/>
        </w:rPr>
        <w:tab/>
      </w:r>
      <w:r w:rsidR="008B46E6">
        <w:rPr>
          <w:rFonts w:eastAsia="SimSun"/>
          <w:b/>
          <w:lang w:eastAsia="zh-CN"/>
        </w:rPr>
        <w:t xml:space="preserve">    </w:t>
      </w:r>
      <w:r>
        <w:rPr>
          <w:rFonts w:eastAsia="SimSun"/>
          <w:b/>
          <w:lang w:eastAsia="zh-CN"/>
        </w:rPr>
        <w:t xml:space="preserve">  </w:t>
      </w:r>
      <w:r w:rsidR="00BB6DD8">
        <w:rPr>
          <w:rFonts w:eastAsia="SimSun"/>
          <w:b/>
          <w:lang w:eastAsia="zh-CN"/>
        </w:rPr>
        <w:tab/>
      </w:r>
      <w:r w:rsidR="00BB6DD8">
        <w:rPr>
          <w:rFonts w:eastAsia="SimSun"/>
          <w:b/>
          <w:lang w:eastAsia="zh-CN"/>
        </w:rPr>
        <w:tab/>
      </w:r>
      <w:r w:rsidRPr="00BB6DD8">
        <w:rPr>
          <w:rFonts w:ascii="Calibri" w:hAnsi="Calibri" w:cs="Calibri"/>
          <w:b/>
          <w:color w:val="000000"/>
          <w:sz w:val="18"/>
          <w:szCs w:val="18"/>
        </w:rPr>
        <w:t>$23,862</w:t>
      </w:r>
    </w:p>
    <w:p w14:paraId="1753BBC4" w14:textId="77777777" w:rsidR="000E30AC" w:rsidRDefault="000E30AC" w:rsidP="000E30AC">
      <w:pPr>
        <w:autoSpaceDE w:val="0"/>
        <w:autoSpaceDN w:val="0"/>
        <w:adjustRightInd w:val="0"/>
        <w:jc w:val="both"/>
        <w:rPr>
          <w:rFonts w:eastAsia="SimSun"/>
          <w:b/>
        </w:rPr>
      </w:pPr>
    </w:p>
    <w:p w14:paraId="025701C2" w14:textId="77777777" w:rsidR="0024284C" w:rsidRDefault="0024284C" w:rsidP="000E30AC">
      <w:pPr>
        <w:autoSpaceDE w:val="0"/>
        <w:autoSpaceDN w:val="0"/>
        <w:adjustRightInd w:val="0"/>
        <w:jc w:val="both"/>
        <w:rPr>
          <w:rFonts w:eastAsia="SimSun"/>
          <w:b/>
        </w:rPr>
      </w:pPr>
      <w:r>
        <w:rPr>
          <w:rFonts w:eastAsia="SimSun"/>
          <w:b/>
        </w:rPr>
        <w:t>Assumptions:</w:t>
      </w:r>
    </w:p>
    <w:p w14:paraId="5EEB21C0" w14:textId="77777777" w:rsidR="009523E3" w:rsidRDefault="009523E3" w:rsidP="0024284C">
      <w:pPr>
        <w:pStyle w:val="ListParagraph"/>
        <w:numPr>
          <w:ilvl w:val="0"/>
          <w:numId w:val="18"/>
        </w:numPr>
        <w:jc w:val="both"/>
        <w:rPr>
          <w:rFonts w:ascii="Times New Roman" w:eastAsia="SimSun" w:hAnsi="Times New Roman"/>
          <w:sz w:val="20"/>
          <w:szCs w:val="20"/>
        </w:rPr>
      </w:pPr>
      <w:r>
        <w:rPr>
          <w:rFonts w:ascii="Times New Roman" w:eastAsia="SimSun" w:hAnsi="Times New Roman"/>
          <w:sz w:val="20"/>
          <w:szCs w:val="20"/>
        </w:rPr>
        <w:t>Infosys will arrange for trial licenses for zD&amp;T</w:t>
      </w:r>
    </w:p>
    <w:p w14:paraId="7D7ABE61" w14:textId="77777777" w:rsidR="0024284C" w:rsidRPr="0024284C" w:rsidRDefault="0024284C" w:rsidP="0024284C">
      <w:pPr>
        <w:pStyle w:val="ListParagraph"/>
        <w:numPr>
          <w:ilvl w:val="0"/>
          <w:numId w:val="18"/>
        </w:numPr>
        <w:jc w:val="both"/>
        <w:rPr>
          <w:rFonts w:ascii="Times New Roman" w:eastAsia="SimSun" w:hAnsi="Times New Roman"/>
          <w:sz w:val="20"/>
          <w:szCs w:val="20"/>
        </w:rPr>
      </w:pPr>
      <w:r w:rsidRPr="0024284C">
        <w:rPr>
          <w:rFonts w:ascii="Times New Roman" w:eastAsia="SimSun" w:hAnsi="Times New Roman"/>
          <w:sz w:val="20"/>
          <w:szCs w:val="20"/>
        </w:rPr>
        <w:t>Morgan Stanley provides all necessary infrastructure like VMs, accesses, software, licenses, etc</w:t>
      </w:r>
    </w:p>
    <w:p w14:paraId="68E69B34" w14:textId="77777777" w:rsidR="00ED570B" w:rsidRDefault="00ED570B" w:rsidP="00ED570B">
      <w:pPr>
        <w:pStyle w:val="ListParagraph"/>
        <w:numPr>
          <w:ilvl w:val="0"/>
          <w:numId w:val="18"/>
        </w:numPr>
        <w:jc w:val="both"/>
        <w:rPr>
          <w:rFonts w:ascii="Times New Roman" w:eastAsia="SimSun" w:hAnsi="Times New Roman"/>
          <w:sz w:val="20"/>
          <w:szCs w:val="20"/>
        </w:rPr>
      </w:pPr>
      <w:r w:rsidRPr="0024284C">
        <w:rPr>
          <w:rFonts w:ascii="Times New Roman" w:eastAsia="SimSun" w:hAnsi="Times New Roman"/>
          <w:sz w:val="20"/>
          <w:szCs w:val="20"/>
        </w:rPr>
        <w:lastRenderedPageBreak/>
        <w:t>Morgan Stanley provides mainframe infrastructure SMEs to support</w:t>
      </w:r>
      <w:r>
        <w:rPr>
          <w:rFonts w:ascii="Times New Roman" w:eastAsia="SimSun" w:hAnsi="Times New Roman"/>
          <w:sz w:val="20"/>
          <w:szCs w:val="20"/>
        </w:rPr>
        <w:t xml:space="preserve"> Infosys for the PoC</w:t>
      </w:r>
      <w:r w:rsidRPr="0024284C">
        <w:rPr>
          <w:rFonts w:ascii="Times New Roman" w:eastAsia="SimSun" w:hAnsi="Times New Roman"/>
          <w:sz w:val="20"/>
          <w:szCs w:val="20"/>
        </w:rPr>
        <w:t xml:space="preserve"> work (zos, storage, RACF, etc)</w:t>
      </w:r>
      <w:r>
        <w:rPr>
          <w:rFonts w:ascii="Times New Roman" w:eastAsia="SimSun" w:hAnsi="Times New Roman"/>
          <w:sz w:val="20"/>
          <w:szCs w:val="20"/>
        </w:rPr>
        <w:t>. Some of the tasks involves:</w:t>
      </w:r>
    </w:p>
    <w:p w14:paraId="71DCFF6A" w14:textId="77777777" w:rsidR="00ED570B" w:rsidRPr="00F41453" w:rsidRDefault="00ED570B" w:rsidP="00ED570B">
      <w:pPr>
        <w:pStyle w:val="ListParagraph"/>
        <w:numPr>
          <w:ilvl w:val="1"/>
          <w:numId w:val="18"/>
        </w:numPr>
        <w:jc w:val="both"/>
        <w:rPr>
          <w:rFonts w:ascii="Times New Roman" w:eastAsia="SimSun" w:hAnsi="Times New Roman"/>
          <w:sz w:val="20"/>
          <w:szCs w:val="20"/>
        </w:rPr>
      </w:pPr>
      <w:r w:rsidRPr="00F41453">
        <w:rPr>
          <w:rFonts w:ascii="Times New Roman" w:eastAsia="SimSun" w:hAnsi="Times New Roman"/>
          <w:sz w:val="20"/>
          <w:szCs w:val="20"/>
        </w:rPr>
        <w:t>Configurations of SMP/E, SMS, RACF, ACF, auto exits etc</w:t>
      </w:r>
    </w:p>
    <w:p w14:paraId="463F8A6E" w14:textId="77777777" w:rsidR="00ED570B" w:rsidRPr="00F41453" w:rsidRDefault="00ED570B" w:rsidP="00ED570B">
      <w:pPr>
        <w:pStyle w:val="ListParagraph"/>
        <w:numPr>
          <w:ilvl w:val="1"/>
          <w:numId w:val="18"/>
        </w:numPr>
        <w:jc w:val="both"/>
        <w:rPr>
          <w:rFonts w:ascii="Times New Roman" w:eastAsia="SimSun" w:hAnsi="Times New Roman"/>
          <w:sz w:val="20"/>
          <w:szCs w:val="20"/>
        </w:rPr>
      </w:pPr>
      <w:r w:rsidRPr="00F41453">
        <w:rPr>
          <w:rFonts w:ascii="Times New Roman" w:eastAsia="SimSun" w:hAnsi="Times New Roman"/>
          <w:sz w:val="20"/>
          <w:szCs w:val="20"/>
        </w:rPr>
        <w:t>Configurations of Db2, CICS, Webservice, Message Queue &amp; Batch scheduler</w:t>
      </w:r>
    </w:p>
    <w:p w14:paraId="0EAE80CB" w14:textId="77777777" w:rsidR="00ED570B" w:rsidRPr="00F41453" w:rsidRDefault="00ED570B" w:rsidP="00ED570B">
      <w:pPr>
        <w:pStyle w:val="ListParagraph"/>
        <w:numPr>
          <w:ilvl w:val="1"/>
          <w:numId w:val="18"/>
        </w:numPr>
        <w:jc w:val="both"/>
        <w:rPr>
          <w:rFonts w:ascii="Times New Roman" w:eastAsia="SimSun" w:hAnsi="Times New Roman"/>
          <w:sz w:val="20"/>
          <w:szCs w:val="20"/>
        </w:rPr>
      </w:pPr>
      <w:r w:rsidRPr="00F41453">
        <w:rPr>
          <w:rFonts w:ascii="Times New Roman" w:eastAsia="SimSun" w:hAnsi="Times New Roman"/>
          <w:sz w:val="20"/>
          <w:szCs w:val="20"/>
        </w:rPr>
        <w:t>Other specific 3rd party products (list of identified software's)</w:t>
      </w:r>
    </w:p>
    <w:p w14:paraId="578FB5A0" w14:textId="77777777" w:rsidR="00ED570B" w:rsidRPr="00F41453" w:rsidRDefault="00ED570B" w:rsidP="00ED570B">
      <w:pPr>
        <w:pStyle w:val="ListParagraph"/>
        <w:numPr>
          <w:ilvl w:val="1"/>
          <w:numId w:val="18"/>
        </w:numPr>
        <w:jc w:val="both"/>
        <w:rPr>
          <w:rFonts w:ascii="Times New Roman" w:eastAsia="SimSun" w:hAnsi="Times New Roman"/>
          <w:sz w:val="20"/>
          <w:szCs w:val="20"/>
        </w:rPr>
      </w:pPr>
      <w:r w:rsidRPr="00F41453">
        <w:rPr>
          <w:rFonts w:ascii="Times New Roman" w:eastAsia="SimSun" w:hAnsi="Times New Roman"/>
          <w:sz w:val="20"/>
          <w:szCs w:val="20"/>
        </w:rPr>
        <w:t xml:space="preserve">Levelset matching of zD&amp;T with </w:t>
      </w:r>
      <w:r>
        <w:rPr>
          <w:rFonts w:ascii="Times New Roman" w:eastAsia="SimSun" w:hAnsi="Times New Roman"/>
          <w:sz w:val="20"/>
          <w:szCs w:val="20"/>
        </w:rPr>
        <w:t>native</w:t>
      </w:r>
      <w:r w:rsidRPr="00F41453">
        <w:rPr>
          <w:rFonts w:ascii="Times New Roman" w:eastAsia="SimSun" w:hAnsi="Times New Roman"/>
          <w:sz w:val="20"/>
          <w:szCs w:val="20"/>
        </w:rPr>
        <w:t xml:space="preserve"> mainframe</w:t>
      </w:r>
    </w:p>
    <w:p w14:paraId="3F3798B6" w14:textId="77777777" w:rsidR="00ED570B" w:rsidRPr="00F41453" w:rsidRDefault="00ED570B" w:rsidP="00ED570B">
      <w:pPr>
        <w:pStyle w:val="ListParagraph"/>
        <w:numPr>
          <w:ilvl w:val="2"/>
          <w:numId w:val="18"/>
        </w:numPr>
        <w:jc w:val="both"/>
        <w:rPr>
          <w:rFonts w:ascii="Times New Roman" w:eastAsia="SimSun" w:hAnsi="Times New Roman"/>
          <w:sz w:val="20"/>
          <w:szCs w:val="20"/>
        </w:rPr>
      </w:pPr>
      <w:r w:rsidRPr="00F41453">
        <w:rPr>
          <w:rFonts w:ascii="Times New Roman" w:eastAsia="SimSun" w:hAnsi="Times New Roman"/>
          <w:sz w:val="20"/>
          <w:szCs w:val="20"/>
        </w:rPr>
        <w:t>z/os version</w:t>
      </w:r>
    </w:p>
    <w:p w14:paraId="52EA52EF" w14:textId="77777777" w:rsidR="00ED570B" w:rsidRPr="00F41453" w:rsidRDefault="00ED570B" w:rsidP="00ED570B">
      <w:pPr>
        <w:pStyle w:val="ListParagraph"/>
        <w:numPr>
          <w:ilvl w:val="2"/>
          <w:numId w:val="18"/>
        </w:numPr>
        <w:jc w:val="both"/>
        <w:rPr>
          <w:rFonts w:ascii="Times New Roman" w:eastAsia="SimSun" w:hAnsi="Times New Roman"/>
          <w:sz w:val="20"/>
          <w:szCs w:val="20"/>
        </w:rPr>
      </w:pPr>
      <w:r w:rsidRPr="00F41453">
        <w:rPr>
          <w:rFonts w:ascii="Times New Roman" w:eastAsia="SimSun" w:hAnsi="Times New Roman"/>
          <w:sz w:val="20"/>
          <w:szCs w:val="20"/>
        </w:rPr>
        <w:t>Middleware versions (CICS, DB2, MQ, etc)</w:t>
      </w:r>
    </w:p>
    <w:p w14:paraId="027C8C58" w14:textId="77777777" w:rsidR="00ED570B" w:rsidRPr="00F41453" w:rsidRDefault="00ED570B" w:rsidP="00ED570B">
      <w:pPr>
        <w:pStyle w:val="ListParagraph"/>
        <w:numPr>
          <w:ilvl w:val="2"/>
          <w:numId w:val="18"/>
        </w:numPr>
        <w:jc w:val="both"/>
        <w:rPr>
          <w:rFonts w:ascii="Times New Roman" w:eastAsia="SimSun" w:hAnsi="Times New Roman"/>
          <w:sz w:val="20"/>
          <w:szCs w:val="20"/>
        </w:rPr>
      </w:pPr>
      <w:r w:rsidRPr="00F41453">
        <w:rPr>
          <w:rFonts w:ascii="Times New Roman" w:eastAsia="SimSun" w:hAnsi="Times New Roman"/>
          <w:sz w:val="20"/>
          <w:szCs w:val="20"/>
        </w:rPr>
        <w:t>Language versions</w:t>
      </w:r>
    </w:p>
    <w:p w14:paraId="7F20C68F" w14:textId="77777777" w:rsidR="00ED570B" w:rsidRPr="00F41453" w:rsidRDefault="00ED570B" w:rsidP="00ED570B">
      <w:pPr>
        <w:pStyle w:val="ListParagraph"/>
        <w:numPr>
          <w:ilvl w:val="2"/>
          <w:numId w:val="18"/>
        </w:numPr>
        <w:jc w:val="both"/>
        <w:rPr>
          <w:rFonts w:ascii="Times New Roman" w:eastAsia="SimSun" w:hAnsi="Times New Roman"/>
          <w:sz w:val="20"/>
          <w:szCs w:val="20"/>
        </w:rPr>
      </w:pPr>
      <w:r w:rsidRPr="00F41453">
        <w:rPr>
          <w:rFonts w:ascii="Times New Roman" w:eastAsia="SimSun" w:hAnsi="Times New Roman"/>
          <w:sz w:val="20"/>
          <w:szCs w:val="20"/>
        </w:rPr>
        <w:t>Compiler versions</w:t>
      </w:r>
    </w:p>
    <w:p w14:paraId="276E5DCE" w14:textId="77777777" w:rsidR="00ED570B" w:rsidRPr="00F41453" w:rsidRDefault="00ED570B" w:rsidP="00ED570B">
      <w:pPr>
        <w:pStyle w:val="ListParagraph"/>
        <w:numPr>
          <w:ilvl w:val="2"/>
          <w:numId w:val="18"/>
        </w:numPr>
        <w:jc w:val="both"/>
        <w:rPr>
          <w:rFonts w:ascii="Times New Roman" w:eastAsia="SimSun" w:hAnsi="Times New Roman"/>
          <w:sz w:val="20"/>
          <w:szCs w:val="20"/>
        </w:rPr>
      </w:pPr>
      <w:r w:rsidRPr="00F41453">
        <w:rPr>
          <w:rFonts w:ascii="Times New Roman" w:eastAsia="SimSun" w:hAnsi="Times New Roman"/>
          <w:sz w:val="20"/>
          <w:szCs w:val="20"/>
        </w:rPr>
        <w:t>3rd party software versions (BMC, CA, etc)</w:t>
      </w:r>
    </w:p>
    <w:p w14:paraId="501169FF" w14:textId="77777777" w:rsidR="00ED570B" w:rsidRPr="0024284C" w:rsidRDefault="00ED570B" w:rsidP="00ED570B">
      <w:pPr>
        <w:pStyle w:val="ListParagraph"/>
        <w:numPr>
          <w:ilvl w:val="1"/>
          <w:numId w:val="18"/>
        </w:numPr>
        <w:jc w:val="both"/>
        <w:rPr>
          <w:rFonts w:ascii="Times New Roman" w:eastAsia="SimSun" w:hAnsi="Times New Roman"/>
          <w:sz w:val="20"/>
          <w:szCs w:val="20"/>
        </w:rPr>
      </w:pPr>
      <w:r w:rsidRPr="00F41453">
        <w:rPr>
          <w:rFonts w:ascii="Times New Roman" w:eastAsia="SimSun" w:hAnsi="Times New Roman"/>
          <w:sz w:val="20"/>
          <w:szCs w:val="20"/>
        </w:rPr>
        <w:t>CICS plex, TSQs, etc to be copied/defined along with all control file entries</w:t>
      </w:r>
    </w:p>
    <w:p w14:paraId="471C4463" w14:textId="77777777" w:rsidR="0024284C" w:rsidRPr="0024284C" w:rsidRDefault="0024284C" w:rsidP="0024284C">
      <w:pPr>
        <w:pStyle w:val="ListParagraph"/>
        <w:numPr>
          <w:ilvl w:val="0"/>
          <w:numId w:val="18"/>
        </w:numPr>
        <w:jc w:val="both"/>
        <w:rPr>
          <w:rFonts w:ascii="Times New Roman" w:eastAsia="SimSun" w:hAnsi="Times New Roman"/>
          <w:sz w:val="20"/>
          <w:szCs w:val="20"/>
        </w:rPr>
      </w:pPr>
      <w:r w:rsidRPr="0024284C">
        <w:rPr>
          <w:rFonts w:ascii="Times New Roman" w:eastAsia="SimSun" w:hAnsi="Times New Roman"/>
          <w:sz w:val="20"/>
          <w:szCs w:val="20"/>
        </w:rPr>
        <w:t xml:space="preserve">All pre-requisites that </w:t>
      </w:r>
      <w:r w:rsidR="006A11D5" w:rsidRPr="0024284C">
        <w:rPr>
          <w:rFonts w:ascii="Times New Roman" w:eastAsia="SimSun" w:hAnsi="Times New Roman"/>
          <w:sz w:val="20"/>
          <w:szCs w:val="20"/>
        </w:rPr>
        <w:t>Infosys</w:t>
      </w:r>
      <w:r w:rsidRPr="0024284C">
        <w:rPr>
          <w:rFonts w:ascii="Times New Roman" w:eastAsia="SimSun" w:hAnsi="Times New Roman"/>
          <w:sz w:val="20"/>
          <w:szCs w:val="20"/>
        </w:rPr>
        <w:t xml:space="preserve"> identifies before the start of work is in place</w:t>
      </w:r>
    </w:p>
    <w:p w14:paraId="22786142" w14:textId="77777777" w:rsidR="00942F8B" w:rsidRDefault="0024284C" w:rsidP="00942F8B">
      <w:pPr>
        <w:pStyle w:val="ListParagraph"/>
        <w:numPr>
          <w:ilvl w:val="0"/>
          <w:numId w:val="18"/>
        </w:numPr>
        <w:jc w:val="both"/>
        <w:rPr>
          <w:rFonts w:ascii="Times New Roman" w:eastAsia="SimSun" w:hAnsi="Times New Roman"/>
          <w:sz w:val="20"/>
          <w:szCs w:val="20"/>
        </w:rPr>
      </w:pPr>
      <w:r w:rsidRPr="0024284C">
        <w:rPr>
          <w:rFonts w:ascii="Times New Roman" w:eastAsia="SimSun" w:hAnsi="Times New Roman"/>
          <w:sz w:val="20"/>
          <w:szCs w:val="20"/>
        </w:rPr>
        <w:t>Application technical SME support to be provided for the identified candidate application</w:t>
      </w:r>
    </w:p>
    <w:p w14:paraId="7F37EBE7" w14:textId="77777777" w:rsidR="00C15CA8" w:rsidRDefault="00C15CA8" w:rsidP="0024284C">
      <w:pPr>
        <w:pStyle w:val="ListParagraph"/>
        <w:numPr>
          <w:ilvl w:val="0"/>
          <w:numId w:val="18"/>
        </w:numPr>
        <w:jc w:val="both"/>
        <w:rPr>
          <w:rFonts w:ascii="Times New Roman" w:eastAsia="SimSun" w:hAnsi="Times New Roman"/>
          <w:sz w:val="20"/>
          <w:szCs w:val="20"/>
        </w:rPr>
      </w:pPr>
      <w:r>
        <w:rPr>
          <w:rFonts w:ascii="Times New Roman" w:eastAsia="SimSun" w:hAnsi="Times New Roman"/>
          <w:sz w:val="20"/>
          <w:szCs w:val="20"/>
        </w:rPr>
        <w:t>All 3</w:t>
      </w:r>
      <w:r w:rsidRPr="00C15CA8">
        <w:rPr>
          <w:rFonts w:ascii="Times New Roman" w:eastAsia="SimSun" w:hAnsi="Times New Roman"/>
          <w:sz w:val="20"/>
          <w:szCs w:val="20"/>
          <w:vertAlign w:val="superscript"/>
        </w:rPr>
        <w:t>rd</w:t>
      </w:r>
      <w:r>
        <w:rPr>
          <w:rFonts w:ascii="Times New Roman" w:eastAsia="SimSun" w:hAnsi="Times New Roman"/>
          <w:sz w:val="20"/>
          <w:szCs w:val="20"/>
        </w:rPr>
        <w:t xml:space="preserve"> party products (like BMC, CA-7, etc) that is needed on zD&amp;T will be licensed and agreed with vendor to be used on zD&amp;T (can be bypassed for PoC but required for pilots)</w:t>
      </w:r>
    </w:p>
    <w:p w14:paraId="1F61EF56" w14:textId="72B09DB7" w:rsidR="00C15CA8" w:rsidRDefault="00C15CA8" w:rsidP="0024284C">
      <w:pPr>
        <w:pStyle w:val="ListParagraph"/>
        <w:numPr>
          <w:ilvl w:val="0"/>
          <w:numId w:val="18"/>
        </w:numPr>
        <w:jc w:val="both"/>
        <w:rPr>
          <w:rFonts w:ascii="Times New Roman" w:eastAsia="SimSun" w:hAnsi="Times New Roman"/>
          <w:sz w:val="20"/>
          <w:szCs w:val="20"/>
        </w:rPr>
      </w:pPr>
      <w:r>
        <w:rPr>
          <w:rFonts w:ascii="Times New Roman" w:eastAsia="SimSun" w:hAnsi="Times New Roman"/>
          <w:sz w:val="20"/>
          <w:szCs w:val="20"/>
        </w:rPr>
        <w:lastRenderedPageBreak/>
        <w:t xml:space="preserve">If any new findings are seen in the assessment phase and there is an impact to </w:t>
      </w:r>
      <w:r w:rsidR="006A11D5">
        <w:rPr>
          <w:rFonts w:ascii="Times New Roman" w:eastAsia="SimSun" w:hAnsi="Times New Roman"/>
          <w:sz w:val="20"/>
          <w:szCs w:val="20"/>
        </w:rPr>
        <w:t>the</w:t>
      </w:r>
      <w:r>
        <w:rPr>
          <w:rFonts w:ascii="Times New Roman" w:eastAsia="SimSun" w:hAnsi="Times New Roman"/>
          <w:sz w:val="20"/>
          <w:szCs w:val="20"/>
        </w:rPr>
        <w:t xml:space="preserve"> agreed dates, it will be taken up with Morgan Stanley management.</w:t>
      </w:r>
    </w:p>
    <w:p w14:paraId="7C9F67E5" w14:textId="4A579E6A" w:rsidR="0050432B" w:rsidRPr="0050432B" w:rsidRDefault="0050432B" w:rsidP="0024284C">
      <w:pPr>
        <w:pStyle w:val="ListParagraph"/>
        <w:numPr>
          <w:ilvl w:val="0"/>
          <w:numId w:val="18"/>
        </w:numPr>
        <w:jc w:val="both"/>
        <w:rPr>
          <w:rFonts w:ascii="Times New Roman" w:eastAsia="SimSun" w:hAnsi="Times New Roman"/>
          <w:sz w:val="20"/>
          <w:szCs w:val="20"/>
          <w:highlight w:val="yellow"/>
        </w:rPr>
      </w:pPr>
      <w:r w:rsidRPr="0050432B">
        <w:rPr>
          <w:rFonts w:ascii="Times New Roman" w:eastAsia="SimSun" w:hAnsi="Times New Roman"/>
          <w:sz w:val="20"/>
          <w:szCs w:val="20"/>
          <w:highlight w:val="yellow"/>
        </w:rPr>
        <w:t>Shared process and shared data r</w:t>
      </w:r>
      <w:bookmarkStart w:id="0" w:name="_GoBack"/>
      <w:bookmarkEnd w:id="0"/>
      <w:r w:rsidRPr="0050432B">
        <w:rPr>
          <w:rFonts w:ascii="Times New Roman" w:eastAsia="SimSun" w:hAnsi="Times New Roman"/>
          <w:sz w:val="20"/>
          <w:szCs w:val="20"/>
          <w:highlight w:val="yellow"/>
        </w:rPr>
        <w:t>emains constant, if not sync up process should be built to keep the environment base image updated.</w:t>
      </w:r>
    </w:p>
    <w:p w14:paraId="1E65263F" w14:textId="5A0FA8DD" w:rsidR="0050432B" w:rsidRPr="0050432B" w:rsidRDefault="0050432B" w:rsidP="0024284C">
      <w:pPr>
        <w:pStyle w:val="ListParagraph"/>
        <w:numPr>
          <w:ilvl w:val="0"/>
          <w:numId w:val="18"/>
        </w:numPr>
        <w:jc w:val="both"/>
        <w:rPr>
          <w:rFonts w:ascii="Times New Roman" w:eastAsia="SimSun" w:hAnsi="Times New Roman"/>
          <w:sz w:val="20"/>
          <w:szCs w:val="20"/>
          <w:highlight w:val="yellow"/>
        </w:rPr>
      </w:pPr>
      <w:r w:rsidRPr="0050432B">
        <w:rPr>
          <w:rFonts w:ascii="Times New Roman" w:eastAsia="SimSun" w:hAnsi="Times New Roman"/>
          <w:sz w:val="20"/>
          <w:szCs w:val="20"/>
          <w:highlight w:val="yellow"/>
        </w:rPr>
        <w:t>The overall size of the application with the environment base image should be between 3-4 TB if 4 core zD&amp;T is build.</w:t>
      </w:r>
    </w:p>
    <w:p w14:paraId="0B2777CF" w14:textId="77777777" w:rsidR="000E30AC" w:rsidRPr="009A2157" w:rsidRDefault="000E30AC" w:rsidP="000E30AC">
      <w:pPr>
        <w:jc w:val="both"/>
        <w:rPr>
          <w:rFonts w:eastAsia="SimSun"/>
          <w:u w:val="single"/>
          <w:lang w:eastAsia="zh-CN"/>
        </w:rPr>
      </w:pPr>
      <w:r w:rsidRPr="009A2157">
        <w:rPr>
          <w:rFonts w:eastAsia="SimSun"/>
          <w:b/>
        </w:rPr>
        <w:t xml:space="preserve">Maximum </w:t>
      </w:r>
      <w:r w:rsidR="00027F96" w:rsidRPr="009A2157">
        <w:rPr>
          <w:rFonts w:eastAsia="SimSun"/>
          <w:b/>
        </w:rPr>
        <w:t>a</w:t>
      </w:r>
      <w:r w:rsidRPr="009A2157">
        <w:rPr>
          <w:rFonts w:eastAsia="SimSun"/>
          <w:b/>
        </w:rPr>
        <w:t xml:space="preserve">uthorized </w:t>
      </w:r>
      <w:r w:rsidR="00027F96" w:rsidRPr="009A2157">
        <w:rPr>
          <w:rFonts w:eastAsia="SimSun"/>
          <w:b/>
        </w:rPr>
        <w:t>e</w:t>
      </w:r>
      <w:r w:rsidRPr="009A2157">
        <w:rPr>
          <w:rFonts w:eastAsia="SimSun"/>
          <w:b/>
        </w:rPr>
        <w:t>xpense for reimbursement:</w:t>
      </w:r>
      <w:r w:rsidRPr="009A2157">
        <w:rPr>
          <w:rFonts w:eastAsia="SimSun"/>
        </w:rPr>
        <w:t xml:space="preserve">  </w:t>
      </w:r>
      <w:r w:rsidRPr="009A2157">
        <w:rPr>
          <w:rFonts w:eastAsia="SimSun"/>
          <w:u w:val="single"/>
        </w:rPr>
        <w:t>USD $</w:t>
      </w:r>
      <w:r w:rsidR="0035669C" w:rsidRPr="009A2157">
        <w:rPr>
          <w:rFonts w:eastAsia="SimSun"/>
          <w:u w:val="single"/>
          <w:lang w:eastAsia="zh-CN"/>
        </w:rPr>
        <w:t>0</w:t>
      </w:r>
    </w:p>
    <w:p w14:paraId="042BF135" w14:textId="77777777" w:rsidR="000E30AC" w:rsidRPr="009A2157" w:rsidRDefault="000E30AC" w:rsidP="000E30AC">
      <w:pPr>
        <w:jc w:val="both"/>
        <w:rPr>
          <w:rFonts w:eastAsia="SimSun"/>
          <w:lang w:eastAsia="zh-CN"/>
        </w:rPr>
      </w:pPr>
    </w:p>
    <w:p w14:paraId="24D129CA" w14:textId="77777777" w:rsidR="000E30AC" w:rsidRPr="009A2157" w:rsidRDefault="000E30AC" w:rsidP="000E30AC">
      <w:pPr>
        <w:jc w:val="both"/>
        <w:rPr>
          <w:rFonts w:eastAsia="SimSun"/>
        </w:rPr>
      </w:pPr>
      <w:r w:rsidRPr="009A2157">
        <w:rPr>
          <w:rFonts w:eastAsia="SimSun"/>
        </w:rPr>
        <w:t xml:space="preserve">Consultant will expend all amounts necessary to perform and complete all Services regardless of whether the </w:t>
      </w:r>
      <w:r w:rsidR="00E040CD" w:rsidRPr="009A2157">
        <w:rPr>
          <w:rFonts w:eastAsia="SimSun"/>
        </w:rPr>
        <w:t>m</w:t>
      </w:r>
      <w:r w:rsidRPr="009A2157">
        <w:rPr>
          <w:rFonts w:eastAsia="SimSun"/>
        </w:rPr>
        <w:t xml:space="preserve">aximum </w:t>
      </w:r>
      <w:r w:rsidR="00E040CD" w:rsidRPr="009A2157">
        <w:rPr>
          <w:rFonts w:eastAsia="SimSun"/>
        </w:rPr>
        <w:t>a</w:t>
      </w:r>
      <w:r w:rsidRPr="009A2157">
        <w:rPr>
          <w:rFonts w:eastAsia="SimSun"/>
        </w:rPr>
        <w:t xml:space="preserve">uthorized </w:t>
      </w:r>
      <w:r w:rsidR="00E040CD" w:rsidRPr="009A2157">
        <w:rPr>
          <w:rFonts w:eastAsia="SimSun"/>
        </w:rPr>
        <w:t>e</w:t>
      </w:r>
      <w:r w:rsidRPr="009A2157">
        <w:rPr>
          <w:rFonts w:eastAsia="SimSun"/>
        </w:rPr>
        <w:t xml:space="preserve">xpense </w:t>
      </w:r>
      <w:r w:rsidR="00E040CD" w:rsidRPr="009A2157">
        <w:rPr>
          <w:rFonts w:eastAsia="SimSun"/>
        </w:rPr>
        <w:t>a</w:t>
      </w:r>
      <w:r w:rsidRPr="009A2157">
        <w:rPr>
          <w:rFonts w:eastAsia="SimSun"/>
        </w:rPr>
        <w:t xml:space="preserve">mount set forth above is met or exceeded. </w:t>
      </w:r>
      <w:r w:rsidR="00027F96" w:rsidRPr="009A2157">
        <w:rPr>
          <w:rFonts w:eastAsia="SimSun"/>
        </w:rPr>
        <w:t xml:space="preserve"> </w:t>
      </w:r>
      <w:r w:rsidRPr="009A2157">
        <w:rPr>
          <w:rFonts w:eastAsia="SimSun"/>
        </w:rPr>
        <w:t xml:space="preserve">Maximum </w:t>
      </w:r>
      <w:r w:rsidR="00E040CD" w:rsidRPr="009A2157">
        <w:rPr>
          <w:rFonts w:eastAsia="SimSun"/>
        </w:rPr>
        <w:t>a</w:t>
      </w:r>
      <w:r w:rsidRPr="009A2157">
        <w:rPr>
          <w:rFonts w:eastAsia="SimSun"/>
        </w:rPr>
        <w:t xml:space="preserve">uthorized </w:t>
      </w:r>
      <w:r w:rsidR="00E040CD" w:rsidRPr="009A2157">
        <w:rPr>
          <w:rFonts w:eastAsia="SimSun"/>
        </w:rPr>
        <w:t>e</w:t>
      </w:r>
      <w:r w:rsidRPr="009A2157">
        <w:rPr>
          <w:rFonts w:eastAsia="SimSun"/>
        </w:rPr>
        <w:t xml:space="preserve">xpense </w:t>
      </w:r>
      <w:r w:rsidR="00E040CD" w:rsidRPr="009A2157">
        <w:rPr>
          <w:rFonts w:eastAsia="SimSun"/>
        </w:rPr>
        <w:t>a</w:t>
      </w:r>
      <w:r w:rsidRPr="009A2157">
        <w:rPr>
          <w:rFonts w:eastAsia="SimSun"/>
        </w:rPr>
        <w:t xml:space="preserve">mount for reimbursement is subject to Exhibit B of the Agreement, </w:t>
      </w:r>
      <w:r w:rsidR="00027F96" w:rsidRPr="009A2157">
        <w:rPr>
          <w:rFonts w:eastAsia="SimSun"/>
        </w:rPr>
        <w:t>“</w:t>
      </w:r>
      <w:r w:rsidRPr="009A2157">
        <w:rPr>
          <w:rFonts w:eastAsia="SimSun"/>
        </w:rPr>
        <w:t>Expense Reimbursement Policy for Consultants</w:t>
      </w:r>
      <w:r w:rsidR="00027F96" w:rsidRPr="009A2157">
        <w:rPr>
          <w:rFonts w:eastAsia="SimSun"/>
        </w:rPr>
        <w:t>”</w:t>
      </w:r>
      <w:r w:rsidRPr="009A2157">
        <w:rPr>
          <w:rFonts w:eastAsia="SimSun"/>
        </w:rPr>
        <w:t xml:space="preserve">. All </w:t>
      </w:r>
      <w:r w:rsidR="00E040CD" w:rsidRPr="009A2157">
        <w:rPr>
          <w:rFonts w:eastAsia="SimSun"/>
        </w:rPr>
        <w:t>e</w:t>
      </w:r>
      <w:r w:rsidRPr="009A2157">
        <w:rPr>
          <w:rFonts w:eastAsia="SimSun"/>
        </w:rPr>
        <w:t>xpenses must be pre-approved by Morgan Stanley</w:t>
      </w:r>
      <w:r w:rsidR="00E040CD" w:rsidRPr="009A2157">
        <w:rPr>
          <w:rFonts w:eastAsia="SimSun"/>
        </w:rPr>
        <w:t xml:space="preserve"> in accordance with the terms of the Policy</w:t>
      </w:r>
      <w:r w:rsidRPr="009A2157">
        <w:rPr>
          <w:rFonts w:eastAsia="SimSun"/>
        </w:rPr>
        <w:t xml:space="preserve">. </w:t>
      </w:r>
      <w:r w:rsidR="00E040CD" w:rsidRPr="009A2157">
        <w:rPr>
          <w:rFonts w:eastAsia="SimSun"/>
        </w:rPr>
        <w:t xml:space="preserve"> </w:t>
      </w:r>
      <w:r w:rsidRPr="009A2157">
        <w:rPr>
          <w:rFonts w:eastAsia="SimSun"/>
        </w:rPr>
        <w:t xml:space="preserve">Consultant will invoice Morgan Stanley against pre-approved expenses for actual expenses incurred not to exceed a maximum of </w:t>
      </w:r>
      <w:r w:rsidRPr="009A2157">
        <w:rPr>
          <w:rFonts w:eastAsia="SimSun"/>
          <w:u w:val="single"/>
        </w:rPr>
        <w:t>USD $</w:t>
      </w:r>
      <w:r w:rsidR="0035669C" w:rsidRPr="009A2157">
        <w:rPr>
          <w:rFonts w:eastAsia="SimSun"/>
          <w:u w:val="single"/>
        </w:rPr>
        <w:t>0 o</w:t>
      </w:r>
      <w:r w:rsidRPr="009A2157">
        <w:rPr>
          <w:rFonts w:eastAsia="SimSun"/>
          <w:u w:val="single"/>
        </w:rPr>
        <w:t xml:space="preserve">r </w:t>
      </w:r>
      <w:r w:rsidR="0035669C" w:rsidRPr="009A2157">
        <w:rPr>
          <w:rFonts w:eastAsia="SimSun"/>
          <w:u w:val="single"/>
        </w:rPr>
        <w:t>0</w:t>
      </w:r>
      <w:r w:rsidRPr="009A2157">
        <w:rPr>
          <w:rFonts w:eastAsia="SimSun"/>
          <w:u w:val="single"/>
        </w:rPr>
        <w:t>%.</w:t>
      </w:r>
      <w:r w:rsidRPr="009A2157">
        <w:rPr>
          <w:rFonts w:eastAsia="SimSun"/>
        </w:rPr>
        <w:t xml:space="preserve"> </w:t>
      </w:r>
      <w:r w:rsidR="009E3A70" w:rsidRPr="009A2157">
        <w:rPr>
          <w:rFonts w:eastAsia="SimSun"/>
        </w:rPr>
        <w:t xml:space="preserve"> </w:t>
      </w:r>
      <w:r w:rsidRPr="009A2157">
        <w:rPr>
          <w:rFonts w:eastAsia="SimSun"/>
        </w:rPr>
        <w:t xml:space="preserve">All undisputed Fees and </w:t>
      </w:r>
      <w:r w:rsidR="009E3A70" w:rsidRPr="009A2157">
        <w:rPr>
          <w:rFonts w:eastAsia="SimSun"/>
        </w:rPr>
        <w:t>e</w:t>
      </w:r>
      <w:r w:rsidRPr="009A2157">
        <w:rPr>
          <w:rFonts w:eastAsia="SimSun"/>
        </w:rPr>
        <w:t>xpenses shall be paid in accordance with the Agreement.</w:t>
      </w:r>
    </w:p>
    <w:p w14:paraId="073CF251" w14:textId="77777777" w:rsidR="00885CA3" w:rsidRPr="009A2157" w:rsidRDefault="00885CA3">
      <w:pPr>
        <w:rPr>
          <w:b/>
        </w:rPr>
      </w:pPr>
    </w:p>
    <w:p w14:paraId="4828CF4A" w14:textId="77777777" w:rsidR="002477FB" w:rsidRPr="009A2157" w:rsidRDefault="0060515D">
      <w:pPr>
        <w:rPr>
          <w:b/>
        </w:rPr>
      </w:pPr>
      <w:r w:rsidRPr="009A2157">
        <w:rPr>
          <w:b/>
        </w:rPr>
        <w:t>IV.  Financial Control Information</w:t>
      </w:r>
    </w:p>
    <w:p w14:paraId="60A516C2" w14:textId="77777777" w:rsidR="00645BD4" w:rsidRPr="006F3E23" w:rsidRDefault="00645BD4">
      <w:pPr>
        <w:rPr>
          <w:sz w:val="18"/>
          <w:szCs w:val="18"/>
          <w:highlight w:val="yellow"/>
        </w:rPr>
      </w:pPr>
      <w:r w:rsidRPr="006F3E23">
        <w:rPr>
          <w:sz w:val="18"/>
          <w:szCs w:val="18"/>
          <w:highlight w:val="yellow"/>
        </w:rPr>
        <w:t>Manager</w:t>
      </w:r>
      <w:r w:rsidR="00531E26" w:rsidRPr="006F3E23">
        <w:rPr>
          <w:sz w:val="18"/>
          <w:szCs w:val="18"/>
          <w:highlight w:val="yellow"/>
        </w:rPr>
        <w:t>:</w:t>
      </w:r>
      <w:r w:rsidR="007C27D5" w:rsidRPr="006F3E23">
        <w:rPr>
          <w:sz w:val="18"/>
          <w:szCs w:val="18"/>
          <w:highlight w:val="yellow"/>
        </w:rPr>
        <w:t xml:space="preserve">  </w:t>
      </w:r>
      <w:r w:rsidR="008927E2">
        <w:rPr>
          <w:sz w:val="18"/>
          <w:szCs w:val="18"/>
          <w:highlight w:val="yellow"/>
        </w:rPr>
        <w:t>Mike Pinkerton</w:t>
      </w:r>
      <w:r w:rsidR="002558AC" w:rsidRPr="006F3E23">
        <w:rPr>
          <w:sz w:val="18"/>
          <w:szCs w:val="18"/>
          <w:highlight w:val="yellow"/>
        </w:rPr>
        <w:t xml:space="preserve"> </w:t>
      </w:r>
    </w:p>
    <w:p w14:paraId="3866F841" w14:textId="77777777" w:rsidR="002477FB" w:rsidRPr="006F3E23" w:rsidRDefault="002477FB">
      <w:pPr>
        <w:rPr>
          <w:sz w:val="18"/>
          <w:szCs w:val="18"/>
          <w:highlight w:val="yellow"/>
        </w:rPr>
      </w:pPr>
      <w:r w:rsidRPr="006F3E23">
        <w:rPr>
          <w:sz w:val="18"/>
          <w:szCs w:val="18"/>
          <w:highlight w:val="yellow"/>
        </w:rPr>
        <w:t>Sr. Manager:</w:t>
      </w:r>
      <w:r w:rsidR="007C27D5" w:rsidRPr="006F3E23">
        <w:rPr>
          <w:sz w:val="18"/>
          <w:szCs w:val="18"/>
          <w:highlight w:val="yellow"/>
        </w:rPr>
        <w:t xml:space="preserve">  </w:t>
      </w:r>
      <w:r w:rsidR="008927E2">
        <w:rPr>
          <w:sz w:val="18"/>
          <w:szCs w:val="18"/>
          <w:highlight w:val="yellow"/>
        </w:rPr>
        <w:t>Kiran Karkhanis</w:t>
      </w:r>
    </w:p>
    <w:p w14:paraId="614E9F0B" w14:textId="77777777" w:rsidR="002477FB" w:rsidRPr="006F3E23" w:rsidRDefault="002477FB">
      <w:pPr>
        <w:rPr>
          <w:sz w:val="18"/>
          <w:szCs w:val="18"/>
          <w:highlight w:val="yellow"/>
        </w:rPr>
      </w:pPr>
      <w:r w:rsidRPr="006F3E23">
        <w:rPr>
          <w:sz w:val="18"/>
          <w:szCs w:val="18"/>
          <w:highlight w:val="yellow"/>
        </w:rPr>
        <w:t>Cost Center:</w:t>
      </w:r>
      <w:r w:rsidR="007C27D5" w:rsidRPr="006F3E23">
        <w:rPr>
          <w:sz w:val="18"/>
          <w:szCs w:val="18"/>
          <w:highlight w:val="yellow"/>
        </w:rPr>
        <w:t xml:space="preserve">  </w:t>
      </w:r>
    </w:p>
    <w:p w14:paraId="20384323" w14:textId="77777777" w:rsidR="002477FB" w:rsidRPr="006F3E23" w:rsidRDefault="002477FB">
      <w:pPr>
        <w:rPr>
          <w:sz w:val="18"/>
          <w:szCs w:val="18"/>
          <w:highlight w:val="yellow"/>
        </w:rPr>
      </w:pPr>
      <w:r w:rsidRPr="006F3E23">
        <w:rPr>
          <w:sz w:val="18"/>
          <w:szCs w:val="18"/>
          <w:highlight w:val="yellow"/>
        </w:rPr>
        <w:t>Start Date:</w:t>
      </w:r>
      <w:r w:rsidR="007C27D5" w:rsidRPr="006F3E23">
        <w:rPr>
          <w:sz w:val="18"/>
          <w:szCs w:val="18"/>
          <w:highlight w:val="yellow"/>
        </w:rPr>
        <w:t xml:space="preserve">  </w:t>
      </w:r>
      <w:r w:rsidR="006F3E23">
        <w:rPr>
          <w:sz w:val="18"/>
          <w:szCs w:val="18"/>
          <w:highlight w:val="yellow"/>
        </w:rPr>
        <w:t>9</w:t>
      </w:r>
      <w:r w:rsidR="007C27D5" w:rsidRPr="006F3E23">
        <w:rPr>
          <w:sz w:val="18"/>
          <w:szCs w:val="18"/>
          <w:highlight w:val="yellow"/>
        </w:rPr>
        <w:t>/1</w:t>
      </w:r>
      <w:r w:rsidR="006F3E23">
        <w:rPr>
          <w:sz w:val="18"/>
          <w:szCs w:val="18"/>
          <w:highlight w:val="yellow"/>
        </w:rPr>
        <w:t>6</w:t>
      </w:r>
      <w:r w:rsidR="007C27D5" w:rsidRPr="006F3E23">
        <w:rPr>
          <w:sz w:val="18"/>
          <w:szCs w:val="18"/>
          <w:highlight w:val="yellow"/>
        </w:rPr>
        <w:t>/19</w:t>
      </w:r>
    </w:p>
    <w:p w14:paraId="29745CE6" w14:textId="77777777" w:rsidR="002477FB" w:rsidRPr="006F3E23" w:rsidRDefault="002477FB">
      <w:pPr>
        <w:rPr>
          <w:sz w:val="18"/>
          <w:szCs w:val="18"/>
          <w:highlight w:val="yellow"/>
        </w:rPr>
      </w:pPr>
      <w:r w:rsidRPr="006F3E23">
        <w:rPr>
          <w:sz w:val="18"/>
          <w:szCs w:val="18"/>
          <w:highlight w:val="yellow"/>
        </w:rPr>
        <w:t>End Date:</w:t>
      </w:r>
      <w:r w:rsidR="007C27D5" w:rsidRPr="006F3E23">
        <w:rPr>
          <w:sz w:val="18"/>
          <w:szCs w:val="18"/>
          <w:highlight w:val="yellow"/>
        </w:rPr>
        <w:t xml:space="preserve">  1</w:t>
      </w:r>
      <w:r w:rsidR="006F3E23">
        <w:rPr>
          <w:sz w:val="18"/>
          <w:szCs w:val="18"/>
          <w:highlight w:val="yellow"/>
        </w:rPr>
        <w:t>1</w:t>
      </w:r>
      <w:r w:rsidR="00207035" w:rsidRPr="006F3E23">
        <w:rPr>
          <w:sz w:val="18"/>
          <w:szCs w:val="18"/>
          <w:highlight w:val="yellow"/>
        </w:rPr>
        <w:t>/</w:t>
      </w:r>
      <w:r w:rsidR="006F3E23">
        <w:rPr>
          <w:sz w:val="18"/>
          <w:szCs w:val="18"/>
          <w:highlight w:val="yellow"/>
        </w:rPr>
        <w:t>15</w:t>
      </w:r>
      <w:r w:rsidR="007C27D5" w:rsidRPr="006F3E23">
        <w:rPr>
          <w:sz w:val="18"/>
          <w:szCs w:val="18"/>
          <w:highlight w:val="yellow"/>
        </w:rPr>
        <w:t>/</w:t>
      </w:r>
      <w:r w:rsidR="008B46E6">
        <w:rPr>
          <w:sz w:val="18"/>
          <w:szCs w:val="18"/>
          <w:highlight w:val="yellow"/>
        </w:rPr>
        <w:t>19</w:t>
      </w:r>
    </w:p>
    <w:p w14:paraId="701CAC75" w14:textId="77777777" w:rsidR="002477FB" w:rsidRPr="006F3E23" w:rsidRDefault="002477FB">
      <w:pPr>
        <w:rPr>
          <w:sz w:val="18"/>
          <w:szCs w:val="18"/>
          <w:highlight w:val="yellow"/>
        </w:rPr>
      </w:pPr>
      <w:r w:rsidRPr="006F3E23">
        <w:rPr>
          <w:sz w:val="18"/>
          <w:szCs w:val="18"/>
          <w:highlight w:val="yellow"/>
        </w:rPr>
        <w:t>Location:</w:t>
      </w:r>
      <w:r w:rsidR="006F3E23">
        <w:rPr>
          <w:sz w:val="18"/>
          <w:szCs w:val="18"/>
          <w:highlight w:val="yellow"/>
        </w:rPr>
        <w:t xml:space="preserve"> </w:t>
      </w:r>
      <w:r w:rsidR="00F757A4">
        <w:rPr>
          <w:sz w:val="18"/>
          <w:szCs w:val="18"/>
          <w:highlight w:val="yellow"/>
        </w:rPr>
        <w:t xml:space="preserve">  </w:t>
      </w:r>
      <w:r w:rsidR="0035669C" w:rsidRPr="006F3E23">
        <w:rPr>
          <w:sz w:val="18"/>
          <w:szCs w:val="18"/>
          <w:highlight w:val="yellow"/>
        </w:rPr>
        <w:t xml:space="preserve">India </w:t>
      </w:r>
    </w:p>
    <w:p w14:paraId="1710FA98" w14:textId="77777777" w:rsidR="00885CA3" w:rsidRPr="009A2157" w:rsidRDefault="00B03DA2">
      <w:pPr>
        <w:rPr>
          <w:sz w:val="18"/>
          <w:szCs w:val="18"/>
        </w:rPr>
      </w:pPr>
      <w:r w:rsidRPr="006F3E23">
        <w:rPr>
          <w:sz w:val="18"/>
          <w:szCs w:val="18"/>
          <w:highlight w:val="yellow"/>
        </w:rPr>
        <w:t>TFR</w:t>
      </w:r>
      <w:r w:rsidR="002477FB" w:rsidRPr="006F3E23">
        <w:rPr>
          <w:sz w:val="18"/>
          <w:szCs w:val="18"/>
          <w:highlight w:val="yellow"/>
        </w:rPr>
        <w:t xml:space="preserve"> #:</w:t>
      </w:r>
      <w:r w:rsidR="007C27D5" w:rsidRPr="009A2157">
        <w:rPr>
          <w:sz w:val="18"/>
          <w:szCs w:val="18"/>
        </w:rPr>
        <w:t xml:space="preserve">  </w:t>
      </w:r>
    </w:p>
    <w:p w14:paraId="016A56E4" w14:textId="77777777" w:rsidR="00420AAE" w:rsidRPr="009A2157" w:rsidRDefault="00420AAE">
      <w:pPr>
        <w:rPr>
          <w:b/>
        </w:rPr>
      </w:pPr>
    </w:p>
    <w:p w14:paraId="679408BF" w14:textId="77777777" w:rsidR="002477FB" w:rsidRPr="009A2157" w:rsidRDefault="0060515D">
      <w:pPr>
        <w:rPr>
          <w:b/>
        </w:rPr>
      </w:pPr>
      <w:r w:rsidRPr="009A2157">
        <w:rPr>
          <w:b/>
        </w:rPr>
        <w:t xml:space="preserve">V.  Change </w:t>
      </w:r>
      <w:r w:rsidR="00027F96" w:rsidRPr="009A2157">
        <w:rPr>
          <w:b/>
        </w:rPr>
        <w:t>c</w:t>
      </w:r>
      <w:r w:rsidRPr="009A2157">
        <w:rPr>
          <w:b/>
        </w:rPr>
        <w:t xml:space="preserve">ontrol </w:t>
      </w:r>
      <w:r w:rsidR="00027F96" w:rsidRPr="009A2157">
        <w:rPr>
          <w:b/>
        </w:rPr>
        <w:t>p</w:t>
      </w:r>
      <w:r w:rsidRPr="009A2157">
        <w:rPr>
          <w:b/>
        </w:rPr>
        <w:t>rocess</w:t>
      </w:r>
    </w:p>
    <w:p w14:paraId="35206FC4" w14:textId="77777777" w:rsidR="0060515D" w:rsidRPr="009A2157" w:rsidRDefault="0060515D" w:rsidP="0060515D">
      <w:pPr>
        <w:pStyle w:val="OutlineL1"/>
        <w:numPr>
          <w:ilvl w:val="0"/>
          <w:numId w:val="0"/>
        </w:numPr>
        <w:rPr>
          <w:rFonts w:ascii="Times New Roman" w:hAnsi="Times New Roman"/>
          <w:b w:val="0"/>
          <w:sz w:val="20"/>
        </w:rPr>
      </w:pPr>
      <w:r w:rsidRPr="009A2157">
        <w:rPr>
          <w:rFonts w:ascii="Times New Roman" w:hAnsi="Times New Roman"/>
          <w:b w:val="0"/>
          <w:sz w:val="20"/>
        </w:rPr>
        <w:lastRenderedPageBreak/>
        <w:br/>
      </w:r>
      <w:r w:rsidR="00531E26" w:rsidRPr="009A2157">
        <w:rPr>
          <w:rFonts w:ascii="Times New Roman" w:hAnsi="Times New Roman"/>
          <w:b w:val="0"/>
          <w:sz w:val="20"/>
        </w:rPr>
        <w:t xml:space="preserve">Should Morgan Stanley and </w:t>
      </w:r>
      <w:r w:rsidRPr="009A2157">
        <w:rPr>
          <w:rFonts w:ascii="Times New Roman" w:hAnsi="Times New Roman"/>
          <w:b w:val="0"/>
          <w:sz w:val="20"/>
        </w:rPr>
        <w:t xml:space="preserve">Consultant want to change any project timelines or services and Deliverables in connection with the Services performed hereunder, such change will be subject to the following </w:t>
      </w:r>
      <w:r w:rsidR="00E040CD" w:rsidRPr="009A2157">
        <w:rPr>
          <w:rFonts w:ascii="Times New Roman" w:hAnsi="Times New Roman"/>
          <w:b w:val="0"/>
          <w:sz w:val="20"/>
        </w:rPr>
        <w:t>c</w:t>
      </w:r>
      <w:r w:rsidRPr="009A2157">
        <w:rPr>
          <w:rFonts w:ascii="Times New Roman" w:hAnsi="Times New Roman"/>
          <w:b w:val="0"/>
          <w:sz w:val="20"/>
        </w:rPr>
        <w:t xml:space="preserve">hange </w:t>
      </w:r>
      <w:r w:rsidR="00E040CD" w:rsidRPr="009A2157">
        <w:rPr>
          <w:rFonts w:ascii="Times New Roman" w:hAnsi="Times New Roman"/>
          <w:b w:val="0"/>
          <w:sz w:val="20"/>
        </w:rPr>
        <w:t>c</w:t>
      </w:r>
      <w:r w:rsidRPr="009A2157">
        <w:rPr>
          <w:rFonts w:ascii="Times New Roman" w:hAnsi="Times New Roman"/>
          <w:b w:val="0"/>
          <w:sz w:val="20"/>
        </w:rPr>
        <w:t xml:space="preserve">ontrol </w:t>
      </w:r>
      <w:r w:rsidR="00E040CD" w:rsidRPr="009A2157">
        <w:rPr>
          <w:rFonts w:ascii="Times New Roman" w:hAnsi="Times New Roman"/>
          <w:b w:val="0"/>
          <w:sz w:val="20"/>
        </w:rPr>
        <w:t>p</w:t>
      </w:r>
      <w:r w:rsidRPr="009A2157">
        <w:rPr>
          <w:rFonts w:ascii="Times New Roman" w:hAnsi="Times New Roman"/>
          <w:b w:val="0"/>
          <w:sz w:val="20"/>
        </w:rPr>
        <w:t>rocess:</w:t>
      </w:r>
    </w:p>
    <w:p w14:paraId="386C721E" w14:textId="77777777" w:rsidR="0060515D" w:rsidRPr="009A2157" w:rsidRDefault="0060515D" w:rsidP="009E3A70">
      <w:pPr>
        <w:pStyle w:val="OutlineL1"/>
        <w:numPr>
          <w:ilvl w:val="0"/>
          <w:numId w:val="0"/>
        </w:numPr>
        <w:spacing w:after="0"/>
        <w:rPr>
          <w:rFonts w:ascii="Times New Roman" w:hAnsi="Times New Roman"/>
          <w:b w:val="0"/>
          <w:sz w:val="20"/>
        </w:rPr>
      </w:pPr>
      <w:r w:rsidRPr="009A2157">
        <w:rPr>
          <w:rFonts w:ascii="Times New Roman" w:hAnsi="Times New Roman"/>
          <w:b w:val="0"/>
          <w:sz w:val="20"/>
        </w:rPr>
        <w:t xml:space="preserve">A change in scope identified at any stage of the </w:t>
      </w:r>
      <w:r w:rsidR="00E040CD" w:rsidRPr="009A2157">
        <w:rPr>
          <w:rFonts w:ascii="Times New Roman" w:hAnsi="Times New Roman"/>
          <w:b w:val="0"/>
          <w:sz w:val="20"/>
        </w:rPr>
        <w:t>Services</w:t>
      </w:r>
      <w:r w:rsidRPr="009A2157">
        <w:rPr>
          <w:rFonts w:ascii="Times New Roman" w:hAnsi="Times New Roman"/>
          <w:b w:val="0"/>
          <w:sz w:val="20"/>
        </w:rPr>
        <w:t xml:space="preserve"> will be conveyed by Morgan Stanley to Consultant in the form of a change request document mutually agreed upon by the parties. The </w:t>
      </w:r>
      <w:r w:rsidR="00531E26" w:rsidRPr="009A2157">
        <w:rPr>
          <w:rFonts w:ascii="Times New Roman" w:hAnsi="Times New Roman"/>
          <w:b w:val="0"/>
          <w:sz w:val="20"/>
        </w:rPr>
        <w:t xml:space="preserve">change </w:t>
      </w:r>
      <w:r w:rsidRPr="009A2157">
        <w:rPr>
          <w:rFonts w:ascii="Times New Roman" w:hAnsi="Times New Roman"/>
          <w:b w:val="0"/>
          <w:sz w:val="20"/>
        </w:rPr>
        <w:t xml:space="preserve">request will then be assessed by Consultant to evaluate its impact on feasibility, time schedules and cost; provided, however, that a change request that does not, in the reasonable opinion of Consultant, result in material additional costs </w:t>
      </w:r>
      <w:r w:rsidR="008927E2" w:rsidRPr="009A2157">
        <w:rPr>
          <w:rFonts w:ascii="Times New Roman" w:hAnsi="Times New Roman"/>
          <w:b w:val="0"/>
          <w:sz w:val="20"/>
        </w:rPr>
        <w:t>to Consultant</w:t>
      </w:r>
      <w:r w:rsidR="009E3A70" w:rsidRPr="009A2157">
        <w:rPr>
          <w:rFonts w:ascii="Times New Roman" w:hAnsi="Times New Roman"/>
          <w:b w:val="0"/>
          <w:sz w:val="20"/>
        </w:rPr>
        <w:t>,</w:t>
      </w:r>
      <w:r w:rsidRPr="009A2157">
        <w:rPr>
          <w:rFonts w:ascii="Times New Roman" w:hAnsi="Times New Roman"/>
          <w:b w:val="0"/>
          <w:sz w:val="20"/>
        </w:rPr>
        <w:t xml:space="preserve">  </w:t>
      </w:r>
      <w:r w:rsidR="00531E26" w:rsidRPr="009A2157">
        <w:rPr>
          <w:rFonts w:ascii="Times New Roman" w:hAnsi="Times New Roman"/>
          <w:b w:val="0"/>
          <w:sz w:val="20"/>
        </w:rPr>
        <w:t xml:space="preserve">will not </w:t>
      </w:r>
      <w:r w:rsidRPr="009A2157">
        <w:rPr>
          <w:rFonts w:ascii="Times New Roman" w:hAnsi="Times New Roman"/>
          <w:b w:val="0"/>
          <w:sz w:val="20"/>
        </w:rPr>
        <w:t xml:space="preserve">require the procedures set forth above, and the Consultant will promptly comply with such change request. Consultant will present this assessment to Morgan Stanley for its approval as soon as practicable, and in no event later than ten (10) days of receiving Morgan Stanley’s request.  Consultant will incorporate the change as requested by Morgan Stanley after receiving Morgan Stanley’s approval.  </w:t>
      </w:r>
    </w:p>
    <w:p w14:paraId="3362C06A" w14:textId="77777777" w:rsidR="0060515D" w:rsidRPr="009A2157" w:rsidRDefault="0060515D">
      <w:pPr>
        <w:rPr>
          <w:b/>
        </w:rPr>
      </w:pPr>
    </w:p>
    <w:p w14:paraId="6E7C8257" w14:textId="77777777" w:rsidR="002477FB" w:rsidRPr="009A2157" w:rsidRDefault="0060515D" w:rsidP="00885CA3">
      <w:pPr>
        <w:pStyle w:val="OutlineL1"/>
        <w:numPr>
          <w:ilvl w:val="0"/>
          <w:numId w:val="0"/>
        </w:numPr>
        <w:rPr>
          <w:rFonts w:ascii="Times New Roman" w:hAnsi="Times New Roman"/>
          <w:sz w:val="20"/>
        </w:rPr>
      </w:pPr>
      <w:r w:rsidRPr="009A2157">
        <w:rPr>
          <w:rFonts w:ascii="Times New Roman" w:hAnsi="Times New Roman"/>
          <w:sz w:val="20"/>
        </w:rPr>
        <w:t xml:space="preserve">VI.  </w:t>
      </w:r>
      <w:r w:rsidR="002477FB" w:rsidRPr="009A2157">
        <w:rPr>
          <w:rFonts w:ascii="Times New Roman" w:hAnsi="Times New Roman"/>
          <w:sz w:val="20"/>
        </w:rPr>
        <w:t>Status Reports: (Frequency</w:t>
      </w:r>
      <w:r w:rsidR="008927E2" w:rsidRPr="009A2157">
        <w:rPr>
          <w:rFonts w:ascii="Times New Roman" w:hAnsi="Times New Roman"/>
          <w:sz w:val="20"/>
        </w:rPr>
        <w:t>):</w:t>
      </w:r>
      <w:r w:rsidR="0035669C" w:rsidRPr="009A2157">
        <w:rPr>
          <w:rFonts w:ascii="Times New Roman" w:hAnsi="Times New Roman"/>
          <w:sz w:val="20"/>
        </w:rPr>
        <w:t xml:space="preserve"> Weekly</w:t>
      </w:r>
    </w:p>
    <w:p w14:paraId="39A129A9" w14:textId="77777777" w:rsidR="002477FB" w:rsidRPr="009A2157" w:rsidRDefault="0060515D" w:rsidP="00885CA3">
      <w:pPr>
        <w:pStyle w:val="OutlineL1"/>
        <w:numPr>
          <w:ilvl w:val="0"/>
          <w:numId w:val="0"/>
        </w:numPr>
        <w:rPr>
          <w:rFonts w:ascii="Times New Roman" w:hAnsi="Times New Roman"/>
          <w:sz w:val="20"/>
        </w:rPr>
      </w:pPr>
      <w:r w:rsidRPr="009A2157">
        <w:rPr>
          <w:rFonts w:ascii="Times New Roman" w:hAnsi="Times New Roman"/>
          <w:sz w:val="20"/>
        </w:rPr>
        <w:t xml:space="preserve">VII.  </w:t>
      </w:r>
      <w:r w:rsidR="002477FB" w:rsidRPr="009A2157">
        <w:rPr>
          <w:rFonts w:ascii="Times New Roman" w:hAnsi="Times New Roman"/>
          <w:sz w:val="20"/>
        </w:rPr>
        <w:t>Authorized Morgan Stanley Employees</w:t>
      </w:r>
    </w:p>
    <w:p w14:paraId="76C7FB27" w14:textId="77777777" w:rsidR="002477FB" w:rsidRPr="009A2157" w:rsidRDefault="00E97321">
      <w:pPr>
        <w:pStyle w:val="BodyText"/>
      </w:pPr>
      <w:r w:rsidRPr="009A2157">
        <w:t xml:space="preserve">Consultant’s personnel </w:t>
      </w:r>
      <w:r w:rsidR="002477FB" w:rsidRPr="009A2157">
        <w:t>will accept direction only from the following Morgan Stanley employees or officers, or such other Morgan Stanley personnel, as they designate:</w:t>
      </w:r>
    </w:p>
    <w:p w14:paraId="70FB014C" w14:textId="77777777" w:rsidR="002477FB" w:rsidRPr="009A2157" w:rsidRDefault="008927E2">
      <w:pPr>
        <w:pStyle w:val="BodyTextFirstIndent"/>
      </w:pPr>
      <w:r>
        <w:lastRenderedPageBreak/>
        <w:t>Michael Pinkerton</w:t>
      </w:r>
    </w:p>
    <w:p w14:paraId="686DC3CF" w14:textId="77777777" w:rsidR="0060515D" w:rsidRPr="009A2157" w:rsidRDefault="0060515D" w:rsidP="00E040CD">
      <w:pPr>
        <w:pStyle w:val="BodyTextFirstIndent"/>
        <w:ind w:firstLine="0"/>
        <w:rPr>
          <w:b/>
        </w:rPr>
      </w:pPr>
      <w:r w:rsidRPr="009A2157">
        <w:rPr>
          <w:b/>
        </w:rPr>
        <w:t>VIII.  Notices</w:t>
      </w:r>
    </w:p>
    <w:tbl>
      <w:tblPr>
        <w:tblW w:w="0" w:type="auto"/>
        <w:tblInd w:w="228" w:type="dxa"/>
        <w:tblCellMar>
          <w:left w:w="0" w:type="dxa"/>
          <w:right w:w="0" w:type="dxa"/>
        </w:tblCellMar>
        <w:tblLook w:val="04A0" w:firstRow="1" w:lastRow="0" w:firstColumn="1" w:lastColumn="0" w:noHBand="0" w:noVBand="1"/>
      </w:tblPr>
      <w:tblGrid>
        <w:gridCol w:w="771"/>
        <w:gridCol w:w="2691"/>
        <w:gridCol w:w="3132"/>
        <w:gridCol w:w="300"/>
        <w:gridCol w:w="2988"/>
      </w:tblGrid>
      <w:tr w:rsidR="0060515D" w:rsidRPr="009A2157" w14:paraId="18F05F7A" w14:textId="77777777" w:rsidTr="003C698B">
        <w:trPr>
          <w:trHeight w:val="490"/>
        </w:trPr>
        <w:tc>
          <w:tcPr>
            <w:tcW w:w="3462" w:type="dxa"/>
            <w:gridSpan w:val="2"/>
            <w:tcBorders>
              <w:top w:val="nil"/>
              <w:left w:val="nil"/>
              <w:bottom w:val="nil"/>
              <w:right w:val="single" w:sz="8" w:space="0" w:color="000000"/>
            </w:tcBorders>
            <w:tcMar>
              <w:top w:w="0" w:type="dxa"/>
              <w:left w:w="108" w:type="dxa"/>
              <w:bottom w:w="0" w:type="dxa"/>
              <w:right w:w="108" w:type="dxa"/>
            </w:tcMar>
            <w:hideMark/>
          </w:tcPr>
          <w:p w14:paraId="55FDB823" w14:textId="77777777" w:rsidR="0060515D" w:rsidRPr="009A2157" w:rsidRDefault="0060515D" w:rsidP="003E457C">
            <w:pPr>
              <w:pStyle w:val="OutlineL1"/>
              <w:numPr>
                <w:ilvl w:val="0"/>
                <w:numId w:val="0"/>
              </w:numPr>
              <w:tabs>
                <w:tab w:val="left" w:pos="720"/>
              </w:tabs>
              <w:spacing w:after="0"/>
              <w:jc w:val="center"/>
              <w:rPr>
                <w:rFonts w:ascii="Times New Roman" w:hAnsi="Times New Roman"/>
                <w:b w:val="0"/>
                <w:iCs/>
                <w:sz w:val="18"/>
                <w:szCs w:val="18"/>
              </w:rPr>
            </w:pPr>
            <w:r w:rsidRPr="009A2157">
              <w:rPr>
                <w:rFonts w:ascii="Times New Roman" w:hAnsi="Times New Roman"/>
                <w:b w:val="0"/>
                <w:bCs/>
                <w:iCs/>
                <w:sz w:val="18"/>
                <w:szCs w:val="18"/>
              </w:rPr>
              <w:t>MS Sourcing Manager</w:t>
            </w:r>
          </w:p>
        </w:tc>
        <w:tc>
          <w:tcPr>
            <w:tcW w:w="2358" w:type="dxa"/>
            <w:tcBorders>
              <w:top w:val="nil"/>
              <w:left w:val="nil"/>
              <w:bottom w:val="nil"/>
              <w:right w:val="single" w:sz="8" w:space="0" w:color="auto"/>
            </w:tcBorders>
            <w:tcMar>
              <w:top w:w="0" w:type="dxa"/>
              <w:left w:w="108" w:type="dxa"/>
              <w:bottom w:w="0" w:type="dxa"/>
              <w:right w:w="108" w:type="dxa"/>
            </w:tcMar>
            <w:hideMark/>
          </w:tcPr>
          <w:p w14:paraId="018DEBB0" w14:textId="77777777" w:rsidR="0060515D" w:rsidRPr="009A2157" w:rsidRDefault="0060515D" w:rsidP="003E457C">
            <w:pPr>
              <w:pStyle w:val="OutlineL1"/>
              <w:numPr>
                <w:ilvl w:val="0"/>
                <w:numId w:val="0"/>
              </w:numPr>
              <w:tabs>
                <w:tab w:val="left" w:pos="720"/>
              </w:tabs>
              <w:spacing w:after="0"/>
              <w:jc w:val="center"/>
              <w:rPr>
                <w:rFonts w:ascii="Times New Roman" w:hAnsi="Times New Roman"/>
                <w:b w:val="0"/>
                <w:iCs/>
                <w:sz w:val="18"/>
                <w:szCs w:val="18"/>
              </w:rPr>
            </w:pPr>
            <w:r w:rsidRPr="009A2157">
              <w:rPr>
                <w:rFonts w:ascii="Times New Roman" w:hAnsi="Times New Roman"/>
                <w:b w:val="0"/>
                <w:bCs/>
                <w:iCs/>
                <w:sz w:val="18"/>
                <w:szCs w:val="18"/>
              </w:rPr>
              <w:t>MS Project Sponsor</w:t>
            </w:r>
          </w:p>
        </w:tc>
        <w:tc>
          <w:tcPr>
            <w:tcW w:w="3288" w:type="dxa"/>
            <w:gridSpan w:val="2"/>
            <w:tcMar>
              <w:top w:w="0" w:type="dxa"/>
              <w:left w:w="108" w:type="dxa"/>
              <w:bottom w:w="0" w:type="dxa"/>
              <w:right w:w="108" w:type="dxa"/>
            </w:tcMar>
            <w:hideMark/>
          </w:tcPr>
          <w:p w14:paraId="3C9771AA" w14:textId="77777777" w:rsidR="0060515D" w:rsidRPr="009A2157" w:rsidRDefault="0060515D" w:rsidP="003E457C">
            <w:pPr>
              <w:pStyle w:val="OutlineL1"/>
              <w:numPr>
                <w:ilvl w:val="0"/>
                <w:numId w:val="0"/>
              </w:numPr>
              <w:tabs>
                <w:tab w:val="left" w:pos="720"/>
              </w:tabs>
              <w:spacing w:after="0"/>
              <w:jc w:val="center"/>
              <w:rPr>
                <w:rFonts w:ascii="Times New Roman" w:hAnsi="Times New Roman"/>
                <w:b w:val="0"/>
                <w:iCs/>
                <w:sz w:val="18"/>
                <w:szCs w:val="18"/>
              </w:rPr>
            </w:pPr>
            <w:r w:rsidRPr="009A2157">
              <w:rPr>
                <w:rFonts w:ascii="Times New Roman" w:hAnsi="Times New Roman"/>
                <w:b w:val="0"/>
                <w:iCs/>
                <w:sz w:val="18"/>
                <w:szCs w:val="18"/>
              </w:rPr>
              <w:t>Consultant Representative</w:t>
            </w:r>
          </w:p>
        </w:tc>
      </w:tr>
      <w:tr w:rsidR="003C698B" w:rsidRPr="009A2157" w14:paraId="00400B40" w14:textId="77777777" w:rsidTr="003C698B">
        <w:trPr>
          <w:trHeight w:val="230"/>
        </w:trPr>
        <w:tc>
          <w:tcPr>
            <w:tcW w:w="3462" w:type="dxa"/>
            <w:gridSpan w:val="2"/>
            <w:tcBorders>
              <w:top w:val="nil"/>
              <w:left w:val="nil"/>
              <w:bottom w:val="nil"/>
              <w:right w:val="single" w:sz="8" w:space="0" w:color="000000"/>
            </w:tcBorders>
            <w:tcMar>
              <w:top w:w="0" w:type="dxa"/>
              <w:left w:w="108" w:type="dxa"/>
              <w:bottom w:w="0" w:type="dxa"/>
              <w:right w:w="108" w:type="dxa"/>
            </w:tcMar>
            <w:hideMark/>
          </w:tcPr>
          <w:p w14:paraId="588B8CA8" w14:textId="77777777" w:rsidR="003C698B" w:rsidRPr="009A2157" w:rsidRDefault="003C698B" w:rsidP="003C698B">
            <w:pPr>
              <w:autoSpaceDE w:val="0"/>
              <w:autoSpaceDN w:val="0"/>
              <w:adjustRightInd w:val="0"/>
              <w:jc w:val="center"/>
              <w:rPr>
                <w:rFonts w:ascii="Calibri" w:hAnsi="Calibri" w:cs="Calibri"/>
                <w:sz w:val="18"/>
                <w:szCs w:val="18"/>
              </w:rPr>
            </w:pPr>
            <w:r w:rsidRPr="009A2157">
              <w:rPr>
                <w:sz w:val="18"/>
                <w:szCs w:val="18"/>
              </w:rPr>
              <w:t>Poonam Kanojia</w:t>
            </w:r>
          </w:p>
        </w:tc>
        <w:tc>
          <w:tcPr>
            <w:tcW w:w="2358" w:type="dxa"/>
            <w:tcBorders>
              <w:top w:val="nil"/>
              <w:left w:val="nil"/>
              <w:bottom w:val="nil"/>
              <w:right w:val="single" w:sz="8" w:space="0" w:color="auto"/>
            </w:tcBorders>
            <w:tcMar>
              <w:top w:w="0" w:type="dxa"/>
              <w:left w:w="108" w:type="dxa"/>
              <w:bottom w:w="0" w:type="dxa"/>
              <w:right w:w="108" w:type="dxa"/>
            </w:tcMar>
          </w:tcPr>
          <w:p w14:paraId="7C9FF1DA" w14:textId="77777777" w:rsidR="003C698B" w:rsidRPr="003C698B" w:rsidRDefault="008927E2" w:rsidP="003C698B">
            <w:pPr>
              <w:pStyle w:val="OutlineL1"/>
              <w:numPr>
                <w:ilvl w:val="0"/>
                <w:numId w:val="0"/>
              </w:numPr>
              <w:tabs>
                <w:tab w:val="left" w:pos="720"/>
              </w:tabs>
              <w:spacing w:after="0"/>
              <w:jc w:val="center"/>
              <w:rPr>
                <w:rFonts w:ascii="Times New Roman" w:hAnsi="Times New Roman"/>
                <w:b w:val="0"/>
                <w:bCs/>
                <w:sz w:val="18"/>
                <w:szCs w:val="18"/>
              </w:rPr>
            </w:pPr>
            <w:r>
              <w:rPr>
                <w:rFonts w:ascii="Times New Roman" w:hAnsi="Times New Roman"/>
                <w:b w:val="0"/>
                <w:bCs/>
                <w:sz w:val="18"/>
                <w:szCs w:val="18"/>
              </w:rPr>
              <w:t>Mike Pinkerton</w:t>
            </w:r>
          </w:p>
        </w:tc>
        <w:tc>
          <w:tcPr>
            <w:tcW w:w="3288" w:type="dxa"/>
            <w:gridSpan w:val="2"/>
            <w:tcMar>
              <w:top w:w="0" w:type="dxa"/>
              <w:left w:w="108" w:type="dxa"/>
              <w:bottom w:w="0" w:type="dxa"/>
              <w:right w:w="108" w:type="dxa"/>
            </w:tcMar>
          </w:tcPr>
          <w:p w14:paraId="1F0E3CD2" w14:textId="77777777" w:rsidR="003C698B" w:rsidRPr="009A2157" w:rsidRDefault="003C698B" w:rsidP="003C698B">
            <w:pPr>
              <w:pStyle w:val="OutlineL1"/>
              <w:numPr>
                <w:ilvl w:val="0"/>
                <w:numId w:val="0"/>
              </w:numPr>
              <w:tabs>
                <w:tab w:val="left" w:pos="720"/>
              </w:tabs>
              <w:spacing w:after="0"/>
              <w:jc w:val="center"/>
              <w:rPr>
                <w:rFonts w:ascii="Times New Roman" w:hAnsi="Times New Roman"/>
                <w:b w:val="0"/>
                <w:bCs/>
                <w:sz w:val="18"/>
                <w:szCs w:val="18"/>
              </w:rPr>
            </w:pPr>
            <w:r w:rsidRPr="009A2157">
              <w:rPr>
                <w:rFonts w:ascii="Times New Roman" w:hAnsi="Times New Roman"/>
                <w:b w:val="0"/>
                <w:bCs/>
                <w:sz w:val="18"/>
                <w:szCs w:val="18"/>
              </w:rPr>
              <w:t>Arindam Chatterjee</w:t>
            </w:r>
          </w:p>
        </w:tc>
      </w:tr>
      <w:tr w:rsidR="003C698B" w:rsidRPr="009A2157" w14:paraId="094014D3" w14:textId="77777777" w:rsidTr="003C698B">
        <w:trPr>
          <w:trHeight w:val="225"/>
        </w:trPr>
        <w:tc>
          <w:tcPr>
            <w:tcW w:w="3462" w:type="dxa"/>
            <w:gridSpan w:val="2"/>
            <w:tcBorders>
              <w:top w:val="nil"/>
              <w:left w:val="nil"/>
              <w:bottom w:val="nil"/>
              <w:right w:val="single" w:sz="8" w:space="0" w:color="000000"/>
            </w:tcBorders>
            <w:tcMar>
              <w:top w:w="0" w:type="dxa"/>
              <w:left w:w="108" w:type="dxa"/>
              <w:bottom w:w="0" w:type="dxa"/>
              <w:right w:w="108" w:type="dxa"/>
            </w:tcMar>
            <w:hideMark/>
          </w:tcPr>
          <w:p w14:paraId="33FC4A40" w14:textId="77777777" w:rsidR="003C698B" w:rsidRPr="009A2157" w:rsidRDefault="003C698B" w:rsidP="003C698B">
            <w:pPr>
              <w:autoSpaceDE w:val="0"/>
              <w:autoSpaceDN w:val="0"/>
              <w:adjustRightInd w:val="0"/>
              <w:jc w:val="center"/>
              <w:rPr>
                <w:sz w:val="18"/>
                <w:szCs w:val="18"/>
              </w:rPr>
            </w:pPr>
            <w:r w:rsidRPr="009A2157">
              <w:rPr>
                <w:sz w:val="18"/>
                <w:szCs w:val="18"/>
              </w:rPr>
              <w:t>Morgan Stanley</w:t>
            </w:r>
          </w:p>
        </w:tc>
        <w:tc>
          <w:tcPr>
            <w:tcW w:w="2358" w:type="dxa"/>
            <w:tcBorders>
              <w:top w:val="nil"/>
              <w:left w:val="nil"/>
              <w:bottom w:val="nil"/>
              <w:right w:val="single" w:sz="8" w:space="0" w:color="auto"/>
            </w:tcBorders>
            <w:tcMar>
              <w:top w:w="0" w:type="dxa"/>
              <w:left w:w="108" w:type="dxa"/>
              <w:bottom w:w="0" w:type="dxa"/>
              <w:right w:w="108" w:type="dxa"/>
            </w:tcMar>
          </w:tcPr>
          <w:p w14:paraId="70B95556" w14:textId="77777777" w:rsidR="003C698B" w:rsidRPr="003C698B" w:rsidRDefault="003C698B" w:rsidP="003C698B">
            <w:pPr>
              <w:pStyle w:val="OutlineL1"/>
              <w:numPr>
                <w:ilvl w:val="0"/>
                <w:numId w:val="0"/>
              </w:numPr>
              <w:tabs>
                <w:tab w:val="left" w:pos="720"/>
              </w:tabs>
              <w:spacing w:after="0"/>
              <w:jc w:val="center"/>
              <w:rPr>
                <w:rFonts w:ascii="Times New Roman" w:hAnsi="Times New Roman"/>
                <w:b w:val="0"/>
                <w:bCs/>
                <w:sz w:val="18"/>
                <w:szCs w:val="18"/>
              </w:rPr>
            </w:pPr>
            <w:r w:rsidRPr="003C698B">
              <w:rPr>
                <w:rFonts w:ascii="Times New Roman" w:hAnsi="Times New Roman"/>
                <w:b w:val="0"/>
                <w:bCs/>
                <w:sz w:val="18"/>
                <w:szCs w:val="18"/>
              </w:rPr>
              <w:t xml:space="preserve">Morgan Stanley &amp; Co. LLC </w:t>
            </w:r>
          </w:p>
        </w:tc>
        <w:tc>
          <w:tcPr>
            <w:tcW w:w="3288" w:type="dxa"/>
            <w:gridSpan w:val="2"/>
            <w:tcMar>
              <w:top w:w="0" w:type="dxa"/>
              <w:left w:w="108" w:type="dxa"/>
              <w:bottom w:w="0" w:type="dxa"/>
              <w:right w:w="108" w:type="dxa"/>
            </w:tcMar>
          </w:tcPr>
          <w:p w14:paraId="110BB589" w14:textId="77777777" w:rsidR="003C698B" w:rsidRPr="009A2157" w:rsidRDefault="003C698B" w:rsidP="003C698B">
            <w:pPr>
              <w:pStyle w:val="OutlineL1"/>
              <w:numPr>
                <w:ilvl w:val="0"/>
                <w:numId w:val="0"/>
              </w:numPr>
              <w:tabs>
                <w:tab w:val="left" w:pos="720"/>
              </w:tabs>
              <w:spacing w:after="0"/>
              <w:jc w:val="center"/>
              <w:rPr>
                <w:rFonts w:ascii="Times New Roman" w:hAnsi="Times New Roman"/>
                <w:b w:val="0"/>
                <w:bCs/>
                <w:sz w:val="18"/>
                <w:szCs w:val="18"/>
              </w:rPr>
            </w:pPr>
            <w:r w:rsidRPr="009A2157">
              <w:rPr>
                <w:rFonts w:ascii="Times New Roman" w:hAnsi="Times New Roman"/>
                <w:b w:val="0"/>
                <w:bCs/>
                <w:sz w:val="18"/>
                <w:szCs w:val="18"/>
              </w:rPr>
              <w:t>Infosys Limited</w:t>
            </w:r>
          </w:p>
        </w:tc>
      </w:tr>
      <w:tr w:rsidR="003C698B" w:rsidRPr="009A2157" w14:paraId="06A35D57" w14:textId="77777777" w:rsidTr="003C698B">
        <w:trPr>
          <w:trHeight w:val="495"/>
        </w:trPr>
        <w:tc>
          <w:tcPr>
            <w:tcW w:w="3462" w:type="dxa"/>
            <w:gridSpan w:val="2"/>
            <w:tcBorders>
              <w:top w:val="nil"/>
              <w:left w:val="nil"/>
              <w:bottom w:val="nil"/>
              <w:right w:val="single" w:sz="8" w:space="0" w:color="000000"/>
            </w:tcBorders>
            <w:tcMar>
              <w:top w:w="0" w:type="dxa"/>
              <w:left w:w="108" w:type="dxa"/>
              <w:bottom w:w="0" w:type="dxa"/>
              <w:right w:w="108" w:type="dxa"/>
            </w:tcMar>
            <w:hideMark/>
          </w:tcPr>
          <w:p w14:paraId="7A6BA423" w14:textId="77777777" w:rsidR="003C698B" w:rsidRPr="009A2157" w:rsidRDefault="003C698B" w:rsidP="003C698B">
            <w:pPr>
              <w:autoSpaceDE w:val="0"/>
              <w:autoSpaceDN w:val="0"/>
              <w:adjustRightInd w:val="0"/>
              <w:jc w:val="center"/>
              <w:rPr>
                <w:sz w:val="18"/>
                <w:szCs w:val="18"/>
              </w:rPr>
            </w:pPr>
            <w:r w:rsidRPr="009A2157">
              <w:rPr>
                <w:sz w:val="18"/>
                <w:szCs w:val="18"/>
              </w:rPr>
              <w:t>Athena Bldg. No. 5, Sector 30</w:t>
            </w:r>
          </w:p>
          <w:p w14:paraId="0E84C97B" w14:textId="77777777" w:rsidR="003C698B" w:rsidRPr="009A2157" w:rsidRDefault="003C698B" w:rsidP="003C698B">
            <w:pPr>
              <w:autoSpaceDE w:val="0"/>
              <w:autoSpaceDN w:val="0"/>
              <w:adjustRightInd w:val="0"/>
              <w:jc w:val="center"/>
              <w:rPr>
                <w:sz w:val="18"/>
                <w:szCs w:val="18"/>
              </w:rPr>
            </w:pPr>
            <w:r w:rsidRPr="009A2157">
              <w:rPr>
                <w:sz w:val="18"/>
                <w:szCs w:val="18"/>
              </w:rPr>
              <w:t>Mindspace, Goregaon (West),Mumbai IN-MH 400 090, India</w:t>
            </w:r>
          </w:p>
        </w:tc>
        <w:tc>
          <w:tcPr>
            <w:tcW w:w="2358" w:type="dxa"/>
            <w:tcBorders>
              <w:top w:val="nil"/>
              <w:left w:val="nil"/>
              <w:bottom w:val="nil"/>
              <w:right w:val="single" w:sz="8" w:space="0" w:color="auto"/>
            </w:tcBorders>
            <w:tcMar>
              <w:top w:w="0" w:type="dxa"/>
              <w:left w:w="108" w:type="dxa"/>
              <w:bottom w:w="0" w:type="dxa"/>
              <w:right w:w="108" w:type="dxa"/>
            </w:tcMar>
          </w:tcPr>
          <w:p w14:paraId="1732236A" w14:textId="77777777" w:rsidR="008927E2" w:rsidRDefault="003C698B" w:rsidP="003C698B">
            <w:pPr>
              <w:pStyle w:val="OutlineL1"/>
              <w:numPr>
                <w:ilvl w:val="0"/>
                <w:numId w:val="0"/>
              </w:numPr>
              <w:tabs>
                <w:tab w:val="left" w:pos="720"/>
              </w:tabs>
              <w:spacing w:after="0"/>
              <w:jc w:val="center"/>
              <w:rPr>
                <w:rFonts w:ascii="Times New Roman" w:hAnsi="Times New Roman"/>
                <w:b w:val="0"/>
                <w:bCs/>
                <w:sz w:val="18"/>
                <w:szCs w:val="18"/>
              </w:rPr>
            </w:pPr>
            <w:r w:rsidRPr="003C698B">
              <w:rPr>
                <w:rFonts w:ascii="Times New Roman" w:hAnsi="Times New Roman"/>
                <w:b w:val="0"/>
                <w:bCs/>
                <w:sz w:val="18"/>
                <w:szCs w:val="18"/>
              </w:rPr>
              <w:t xml:space="preserve"> </w:t>
            </w:r>
            <w:r w:rsidR="008927E2">
              <w:rPr>
                <w:rFonts w:ascii="Times New Roman" w:hAnsi="Times New Roman"/>
                <w:b w:val="0"/>
                <w:bCs/>
                <w:sz w:val="18"/>
                <w:szCs w:val="18"/>
              </w:rPr>
              <w:t xml:space="preserve">1 </w:t>
            </w:r>
            <w:r w:rsidRPr="003C698B">
              <w:rPr>
                <w:rFonts w:ascii="Times New Roman" w:hAnsi="Times New Roman"/>
                <w:b w:val="0"/>
                <w:bCs/>
                <w:sz w:val="18"/>
                <w:szCs w:val="18"/>
              </w:rPr>
              <w:t>New York Plaza, 11th Floor</w:t>
            </w:r>
            <w:r w:rsidR="005A0630">
              <w:rPr>
                <w:rFonts w:ascii="Times New Roman" w:hAnsi="Times New Roman"/>
                <w:b w:val="0"/>
                <w:bCs/>
                <w:sz w:val="18"/>
                <w:szCs w:val="18"/>
              </w:rPr>
              <w:t xml:space="preserve"> </w:t>
            </w:r>
          </w:p>
          <w:p w14:paraId="79856808" w14:textId="77777777" w:rsidR="003C698B" w:rsidRPr="003C698B" w:rsidRDefault="005A0630" w:rsidP="003C698B">
            <w:pPr>
              <w:pStyle w:val="OutlineL1"/>
              <w:numPr>
                <w:ilvl w:val="0"/>
                <w:numId w:val="0"/>
              </w:numPr>
              <w:tabs>
                <w:tab w:val="left" w:pos="720"/>
              </w:tabs>
              <w:spacing w:after="0"/>
              <w:jc w:val="center"/>
              <w:rPr>
                <w:rFonts w:ascii="Times New Roman" w:hAnsi="Times New Roman"/>
                <w:b w:val="0"/>
                <w:bCs/>
                <w:sz w:val="18"/>
                <w:szCs w:val="18"/>
              </w:rPr>
            </w:pPr>
            <w:r>
              <w:rPr>
                <w:rFonts w:ascii="Times New Roman" w:hAnsi="Times New Roman"/>
                <w:b w:val="0"/>
                <w:bCs/>
                <w:sz w:val="18"/>
                <w:szCs w:val="18"/>
              </w:rPr>
              <w:t>New York, NY 10004</w:t>
            </w:r>
            <w:r w:rsidR="003C698B" w:rsidRPr="003C698B">
              <w:rPr>
                <w:rFonts w:ascii="Times New Roman" w:hAnsi="Times New Roman"/>
                <w:b w:val="0"/>
                <w:bCs/>
                <w:sz w:val="18"/>
                <w:szCs w:val="18"/>
              </w:rPr>
              <w:t xml:space="preserve"> </w:t>
            </w:r>
          </w:p>
        </w:tc>
        <w:tc>
          <w:tcPr>
            <w:tcW w:w="3288" w:type="dxa"/>
            <w:gridSpan w:val="2"/>
            <w:tcMar>
              <w:top w:w="0" w:type="dxa"/>
              <w:left w:w="108" w:type="dxa"/>
              <w:bottom w:w="0" w:type="dxa"/>
              <w:right w:w="108" w:type="dxa"/>
            </w:tcMar>
          </w:tcPr>
          <w:p w14:paraId="0DF4E289" w14:textId="77777777" w:rsidR="003C698B" w:rsidRPr="009A2157" w:rsidRDefault="003C698B" w:rsidP="003C698B">
            <w:pPr>
              <w:pStyle w:val="OutlineL1"/>
              <w:numPr>
                <w:ilvl w:val="0"/>
                <w:numId w:val="0"/>
              </w:numPr>
              <w:tabs>
                <w:tab w:val="left" w:pos="720"/>
              </w:tabs>
              <w:spacing w:after="0"/>
              <w:jc w:val="center"/>
              <w:rPr>
                <w:rFonts w:ascii="Times New Roman" w:hAnsi="Times New Roman"/>
                <w:b w:val="0"/>
                <w:bCs/>
                <w:sz w:val="18"/>
                <w:szCs w:val="18"/>
              </w:rPr>
            </w:pPr>
            <w:r w:rsidRPr="009A2157">
              <w:rPr>
                <w:rFonts w:ascii="Times New Roman" w:hAnsi="Times New Roman"/>
                <w:b w:val="0"/>
                <w:bCs/>
                <w:sz w:val="18"/>
                <w:szCs w:val="18"/>
              </w:rPr>
              <w:t>1 World Trade Center, 285 Fulton St A, New York, NY 10006</w:t>
            </w:r>
          </w:p>
        </w:tc>
      </w:tr>
      <w:tr w:rsidR="003C698B" w:rsidRPr="009A2157" w14:paraId="3E341BFC" w14:textId="77777777" w:rsidTr="003C698B">
        <w:trPr>
          <w:trHeight w:val="288"/>
        </w:trPr>
        <w:tc>
          <w:tcPr>
            <w:tcW w:w="3462" w:type="dxa"/>
            <w:gridSpan w:val="2"/>
            <w:tcBorders>
              <w:top w:val="nil"/>
              <w:left w:val="nil"/>
              <w:bottom w:val="nil"/>
              <w:right w:val="single" w:sz="8" w:space="0" w:color="000000"/>
            </w:tcBorders>
            <w:tcMar>
              <w:top w:w="0" w:type="dxa"/>
              <w:left w:w="108" w:type="dxa"/>
              <w:bottom w:w="0" w:type="dxa"/>
              <w:right w:w="108" w:type="dxa"/>
            </w:tcMar>
            <w:hideMark/>
          </w:tcPr>
          <w:p w14:paraId="44409597" w14:textId="77777777" w:rsidR="003C698B" w:rsidRPr="009A2157" w:rsidRDefault="003C698B" w:rsidP="003C698B">
            <w:pPr>
              <w:autoSpaceDE w:val="0"/>
              <w:autoSpaceDN w:val="0"/>
              <w:adjustRightInd w:val="0"/>
              <w:jc w:val="center"/>
              <w:rPr>
                <w:rFonts w:ascii="Calibri" w:hAnsi="Calibri" w:cs="Calibri"/>
                <w:sz w:val="18"/>
                <w:szCs w:val="18"/>
              </w:rPr>
            </w:pPr>
            <w:r w:rsidRPr="009A2157">
              <w:rPr>
                <w:sz w:val="18"/>
                <w:szCs w:val="18"/>
              </w:rPr>
              <w:t>+91 22-6641-0025</w:t>
            </w:r>
          </w:p>
        </w:tc>
        <w:tc>
          <w:tcPr>
            <w:tcW w:w="2358" w:type="dxa"/>
            <w:tcBorders>
              <w:top w:val="nil"/>
              <w:left w:val="nil"/>
              <w:bottom w:val="nil"/>
              <w:right w:val="single" w:sz="8" w:space="0" w:color="auto"/>
            </w:tcBorders>
            <w:tcMar>
              <w:top w:w="0" w:type="dxa"/>
              <w:left w:w="108" w:type="dxa"/>
              <w:bottom w:w="0" w:type="dxa"/>
              <w:right w:w="108" w:type="dxa"/>
            </w:tcMar>
          </w:tcPr>
          <w:p w14:paraId="7CB7AA87" w14:textId="77777777" w:rsidR="003C698B" w:rsidRPr="003C698B" w:rsidRDefault="008927E2" w:rsidP="003C698B">
            <w:pPr>
              <w:pStyle w:val="OutlineL1"/>
              <w:numPr>
                <w:ilvl w:val="0"/>
                <w:numId w:val="0"/>
              </w:numPr>
              <w:tabs>
                <w:tab w:val="left" w:pos="720"/>
              </w:tabs>
              <w:spacing w:after="0"/>
              <w:jc w:val="center"/>
              <w:rPr>
                <w:rFonts w:ascii="Times New Roman" w:hAnsi="Times New Roman"/>
                <w:b w:val="0"/>
                <w:bCs/>
                <w:sz w:val="18"/>
                <w:szCs w:val="18"/>
              </w:rPr>
            </w:pPr>
            <w:r>
              <w:rPr>
                <w:rFonts w:ascii="Times New Roman" w:hAnsi="Times New Roman"/>
                <w:b w:val="0"/>
                <w:bCs/>
                <w:sz w:val="18"/>
                <w:szCs w:val="18"/>
              </w:rPr>
              <w:t>Michael.Pinkerton</w:t>
            </w:r>
            <w:r w:rsidR="005A0630">
              <w:rPr>
                <w:rFonts w:ascii="Times New Roman" w:hAnsi="Times New Roman"/>
                <w:b w:val="0"/>
                <w:bCs/>
                <w:sz w:val="18"/>
                <w:szCs w:val="18"/>
              </w:rPr>
              <w:t>@morganstanley.com</w:t>
            </w:r>
          </w:p>
        </w:tc>
        <w:tc>
          <w:tcPr>
            <w:tcW w:w="3288" w:type="dxa"/>
            <w:gridSpan w:val="2"/>
            <w:tcMar>
              <w:top w:w="0" w:type="dxa"/>
              <w:left w:w="108" w:type="dxa"/>
              <w:bottom w:w="0" w:type="dxa"/>
              <w:right w:w="108" w:type="dxa"/>
            </w:tcMar>
          </w:tcPr>
          <w:p w14:paraId="2D15F3BB" w14:textId="77777777" w:rsidR="003C698B" w:rsidRPr="009A2157" w:rsidRDefault="003C698B" w:rsidP="003C698B">
            <w:pPr>
              <w:pStyle w:val="OutlineL1"/>
              <w:numPr>
                <w:ilvl w:val="0"/>
                <w:numId w:val="0"/>
              </w:numPr>
              <w:tabs>
                <w:tab w:val="left" w:pos="720"/>
              </w:tabs>
              <w:spacing w:after="0"/>
              <w:jc w:val="center"/>
              <w:rPr>
                <w:rFonts w:ascii="Times New Roman" w:hAnsi="Times New Roman"/>
                <w:b w:val="0"/>
                <w:bCs/>
                <w:sz w:val="18"/>
                <w:szCs w:val="18"/>
              </w:rPr>
            </w:pPr>
            <w:r w:rsidRPr="009A2157">
              <w:rPr>
                <w:rFonts w:ascii="Times New Roman" w:hAnsi="Times New Roman"/>
                <w:b w:val="0"/>
                <w:bCs/>
                <w:sz w:val="18"/>
                <w:szCs w:val="18"/>
              </w:rPr>
              <w:t>510-365-9630</w:t>
            </w:r>
          </w:p>
        </w:tc>
      </w:tr>
      <w:tr w:rsidR="003C698B" w:rsidRPr="009A2157" w14:paraId="75CB5B27" w14:textId="77777777" w:rsidTr="003C698B">
        <w:trPr>
          <w:trHeight w:val="444"/>
        </w:trPr>
        <w:tc>
          <w:tcPr>
            <w:tcW w:w="3462" w:type="dxa"/>
            <w:gridSpan w:val="2"/>
            <w:tcBorders>
              <w:top w:val="nil"/>
              <w:left w:val="nil"/>
              <w:bottom w:val="nil"/>
              <w:right w:val="single" w:sz="8" w:space="0" w:color="000000"/>
            </w:tcBorders>
            <w:tcMar>
              <w:top w:w="0" w:type="dxa"/>
              <w:left w:w="108" w:type="dxa"/>
              <w:bottom w:w="0" w:type="dxa"/>
              <w:right w:w="108" w:type="dxa"/>
            </w:tcMar>
            <w:hideMark/>
          </w:tcPr>
          <w:p w14:paraId="70225E39" w14:textId="77777777" w:rsidR="003C698B" w:rsidRPr="009A2157" w:rsidRDefault="003C698B" w:rsidP="003C698B">
            <w:pPr>
              <w:autoSpaceDE w:val="0"/>
              <w:autoSpaceDN w:val="0"/>
              <w:adjustRightInd w:val="0"/>
              <w:spacing w:after="240"/>
              <w:jc w:val="center"/>
              <w:rPr>
                <w:rFonts w:ascii="Calibri" w:hAnsi="Calibri" w:cs="Calibri"/>
                <w:sz w:val="18"/>
                <w:szCs w:val="18"/>
              </w:rPr>
            </w:pPr>
            <w:r w:rsidRPr="009A2157">
              <w:rPr>
                <w:rFonts w:ascii="Calibri" w:hAnsi="Calibri" w:cs="Calibri"/>
                <w:sz w:val="18"/>
                <w:szCs w:val="18"/>
              </w:rPr>
              <w:t>Poonam.kanojia@morganstanley.com</w:t>
            </w:r>
          </w:p>
        </w:tc>
        <w:tc>
          <w:tcPr>
            <w:tcW w:w="2358" w:type="dxa"/>
            <w:tcBorders>
              <w:top w:val="nil"/>
              <w:left w:val="nil"/>
              <w:bottom w:val="nil"/>
              <w:right w:val="single" w:sz="8" w:space="0" w:color="auto"/>
            </w:tcBorders>
            <w:tcMar>
              <w:top w:w="0" w:type="dxa"/>
              <w:left w:w="108" w:type="dxa"/>
              <w:bottom w:w="0" w:type="dxa"/>
              <w:right w:w="108" w:type="dxa"/>
            </w:tcMar>
          </w:tcPr>
          <w:p w14:paraId="71859C14" w14:textId="77777777" w:rsidR="003C698B" w:rsidRPr="003C698B" w:rsidRDefault="003C698B" w:rsidP="003C698B">
            <w:pPr>
              <w:pStyle w:val="OutlineL1"/>
              <w:numPr>
                <w:ilvl w:val="0"/>
                <w:numId w:val="0"/>
              </w:numPr>
              <w:tabs>
                <w:tab w:val="left" w:pos="720"/>
              </w:tabs>
              <w:spacing w:after="0"/>
              <w:jc w:val="center"/>
              <w:rPr>
                <w:rFonts w:ascii="Times New Roman" w:hAnsi="Times New Roman"/>
                <w:b w:val="0"/>
                <w:bCs/>
                <w:sz w:val="18"/>
                <w:szCs w:val="18"/>
              </w:rPr>
            </w:pPr>
            <w:r w:rsidRPr="003C698B">
              <w:rPr>
                <w:rFonts w:ascii="Times New Roman" w:hAnsi="Times New Roman"/>
                <w:b w:val="0"/>
                <w:bCs/>
                <w:sz w:val="18"/>
                <w:szCs w:val="18"/>
              </w:rPr>
              <w:t>+1 212 276-</w:t>
            </w:r>
            <w:r w:rsidR="008927E2">
              <w:rPr>
                <w:rFonts w:ascii="Times New Roman" w:hAnsi="Times New Roman"/>
                <w:b w:val="0"/>
                <w:bCs/>
                <w:sz w:val="18"/>
                <w:szCs w:val="18"/>
              </w:rPr>
              <w:t>1800</w:t>
            </w:r>
          </w:p>
        </w:tc>
        <w:tc>
          <w:tcPr>
            <w:tcW w:w="3288" w:type="dxa"/>
            <w:gridSpan w:val="2"/>
            <w:tcMar>
              <w:top w:w="0" w:type="dxa"/>
              <w:left w:w="108" w:type="dxa"/>
              <w:bottom w:w="0" w:type="dxa"/>
              <w:right w:w="108" w:type="dxa"/>
            </w:tcMar>
          </w:tcPr>
          <w:p w14:paraId="2DC19058" w14:textId="77777777" w:rsidR="003C698B" w:rsidRPr="009A2157" w:rsidRDefault="003C698B" w:rsidP="003C698B">
            <w:pPr>
              <w:pStyle w:val="OutlineL1"/>
              <w:numPr>
                <w:ilvl w:val="0"/>
                <w:numId w:val="0"/>
              </w:numPr>
              <w:tabs>
                <w:tab w:val="left" w:pos="720"/>
              </w:tabs>
              <w:spacing w:after="0"/>
              <w:jc w:val="center"/>
              <w:rPr>
                <w:rFonts w:ascii="Times New Roman" w:hAnsi="Times New Roman"/>
                <w:b w:val="0"/>
                <w:bCs/>
                <w:sz w:val="18"/>
                <w:szCs w:val="18"/>
              </w:rPr>
            </w:pPr>
            <w:r w:rsidRPr="009A2157">
              <w:rPr>
                <w:rFonts w:ascii="Times New Roman" w:hAnsi="Times New Roman"/>
                <w:b w:val="0"/>
                <w:bCs/>
                <w:sz w:val="18"/>
                <w:szCs w:val="18"/>
              </w:rPr>
              <w:t>arindam.chatterjee@infosys.com</w:t>
            </w:r>
          </w:p>
        </w:tc>
      </w:tr>
      <w:tr w:rsidR="009E3A70" w:rsidRPr="009A2157" w14:paraId="4130556F" w14:textId="77777777" w:rsidTr="009A2157">
        <w:tblPrEx>
          <w:tblCellMar>
            <w:left w:w="108" w:type="dxa"/>
            <w:right w:w="108" w:type="dxa"/>
          </w:tblCellMar>
          <w:tblLook w:val="0000" w:firstRow="0" w:lastRow="0" w:firstColumn="0" w:lastColumn="0" w:noHBand="0" w:noVBand="0"/>
        </w:tblPrEx>
        <w:trPr>
          <w:gridBefore w:val="1"/>
          <w:gridAfter w:val="1"/>
          <w:wBefore w:w="771" w:type="dxa"/>
          <w:wAfter w:w="2988" w:type="dxa"/>
        </w:trPr>
        <w:tc>
          <w:tcPr>
            <w:tcW w:w="5349" w:type="dxa"/>
            <w:gridSpan w:val="3"/>
          </w:tcPr>
          <w:p w14:paraId="1574E98C" w14:textId="77777777" w:rsidR="009E3A70" w:rsidRPr="009A2157" w:rsidRDefault="009E3A70" w:rsidP="009E3A70">
            <w:pPr>
              <w:jc w:val="both"/>
              <w:rPr>
                <w:sz w:val="18"/>
                <w:szCs w:val="18"/>
              </w:rPr>
            </w:pPr>
            <w:r w:rsidRPr="009A2157">
              <w:rPr>
                <w:sz w:val="18"/>
                <w:szCs w:val="18"/>
              </w:rPr>
              <w:t>Morgan Stanley</w:t>
            </w:r>
          </w:p>
        </w:tc>
      </w:tr>
      <w:tr w:rsidR="009E3A70" w:rsidRPr="009A2157" w14:paraId="1D2A0E57" w14:textId="77777777" w:rsidTr="009A2157">
        <w:tblPrEx>
          <w:tblCellMar>
            <w:left w:w="108" w:type="dxa"/>
            <w:right w:w="108" w:type="dxa"/>
          </w:tblCellMar>
          <w:tblLook w:val="0000" w:firstRow="0" w:lastRow="0" w:firstColumn="0" w:lastColumn="0" w:noHBand="0" w:noVBand="0"/>
        </w:tblPrEx>
        <w:trPr>
          <w:gridBefore w:val="1"/>
          <w:gridAfter w:val="1"/>
          <w:wBefore w:w="771" w:type="dxa"/>
          <w:wAfter w:w="2988" w:type="dxa"/>
        </w:trPr>
        <w:tc>
          <w:tcPr>
            <w:tcW w:w="5349" w:type="dxa"/>
            <w:gridSpan w:val="3"/>
          </w:tcPr>
          <w:p w14:paraId="764A584A" w14:textId="77777777" w:rsidR="009E3A70" w:rsidRPr="009A2157" w:rsidRDefault="009E3A70" w:rsidP="009E3A70">
            <w:pPr>
              <w:jc w:val="both"/>
              <w:rPr>
                <w:sz w:val="18"/>
                <w:szCs w:val="18"/>
              </w:rPr>
            </w:pPr>
            <w:r w:rsidRPr="009A2157">
              <w:rPr>
                <w:sz w:val="18"/>
                <w:szCs w:val="18"/>
              </w:rPr>
              <w:t>Attn: CMS Admins</w:t>
            </w:r>
          </w:p>
        </w:tc>
      </w:tr>
      <w:tr w:rsidR="009E3A70" w:rsidRPr="009A2157" w14:paraId="29AA601D" w14:textId="77777777" w:rsidTr="009A2157">
        <w:tblPrEx>
          <w:tblCellMar>
            <w:left w:w="108" w:type="dxa"/>
            <w:right w:w="108" w:type="dxa"/>
          </w:tblCellMar>
          <w:tblLook w:val="0000" w:firstRow="0" w:lastRow="0" w:firstColumn="0" w:lastColumn="0" w:noHBand="0" w:noVBand="0"/>
        </w:tblPrEx>
        <w:trPr>
          <w:gridBefore w:val="1"/>
          <w:gridAfter w:val="1"/>
          <w:wBefore w:w="771" w:type="dxa"/>
          <w:wAfter w:w="2988" w:type="dxa"/>
        </w:trPr>
        <w:tc>
          <w:tcPr>
            <w:tcW w:w="5349" w:type="dxa"/>
            <w:gridSpan w:val="3"/>
          </w:tcPr>
          <w:p w14:paraId="7174D208" w14:textId="77777777" w:rsidR="009E3A70" w:rsidRPr="009A2157" w:rsidRDefault="009E3A70" w:rsidP="009E3A70">
            <w:pPr>
              <w:jc w:val="both"/>
              <w:rPr>
                <w:sz w:val="18"/>
                <w:szCs w:val="18"/>
              </w:rPr>
            </w:pPr>
            <w:r w:rsidRPr="009A2157">
              <w:rPr>
                <w:sz w:val="18"/>
                <w:szCs w:val="18"/>
              </w:rPr>
              <w:t>1585 Broadway, 24</w:t>
            </w:r>
            <w:r w:rsidRPr="009A2157">
              <w:rPr>
                <w:sz w:val="18"/>
                <w:szCs w:val="18"/>
                <w:vertAlign w:val="superscript"/>
              </w:rPr>
              <w:t>th</w:t>
            </w:r>
            <w:r w:rsidRPr="009A2157">
              <w:rPr>
                <w:sz w:val="18"/>
                <w:szCs w:val="18"/>
              </w:rPr>
              <w:t xml:space="preserve"> Floor</w:t>
            </w:r>
          </w:p>
        </w:tc>
      </w:tr>
      <w:tr w:rsidR="009E3A70" w:rsidRPr="009A2157" w14:paraId="1A80602D" w14:textId="77777777" w:rsidTr="009A2157">
        <w:tblPrEx>
          <w:tblCellMar>
            <w:left w:w="108" w:type="dxa"/>
            <w:right w:w="108" w:type="dxa"/>
          </w:tblCellMar>
          <w:tblLook w:val="0000" w:firstRow="0" w:lastRow="0" w:firstColumn="0" w:lastColumn="0" w:noHBand="0" w:noVBand="0"/>
        </w:tblPrEx>
        <w:trPr>
          <w:gridBefore w:val="1"/>
          <w:gridAfter w:val="1"/>
          <w:wBefore w:w="771" w:type="dxa"/>
          <w:wAfter w:w="2988" w:type="dxa"/>
        </w:trPr>
        <w:tc>
          <w:tcPr>
            <w:tcW w:w="5349" w:type="dxa"/>
            <w:gridSpan w:val="3"/>
          </w:tcPr>
          <w:p w14:paraId="0835FEE6" w14:textId="77777777" w:rsidR="009E3A70" w:rsidRPr="009A2157" w:rsidRDefault="009E3A70" w:rsidP="009E3A70">
            <w:pPr>
              <w:jc w:val="both"/>
              <w:rPr>
                <w:sz w:val="18"/>
                <w:szCs w:val="18"/>
              </w:rPr>
            </w:pPr>
            <w:r w:rsidRPr="009A2157">
              <w:rPr>
                <w:sz w:val="18"/>
                <w:szCs w:val="18"/>
              </w:rPr>
              <w:t>New York, NY 10036</w:t>
            </w:r>
          </w:p>
        </w:tc>
      </w:tr>
      <w:tr w:rsidR="009E3A70" w:rsidRPr="009A2157" w14:paraId="093522C2" w14:textId="77777777" w:rsidTr="009A2157">
        <w:tblPrEx>
          <w:tblCellMar>
            <w:left w:w="108" w:type="dxa"/>
            <w:right w:w="108" w:type="dxa"/>
          </w:tblCellMar>
          <w:tblLook w:val="0000" w:firstRow="0" w:lastRow="0" w:firstColumn="0" w:lastColumn="0" w:noHBand="0" w:noVBand="0"/>
        </w:tblPrEx>
        <w:trPr>
          <w:gridBefore w:val="1"/>
          <w:gridAfter w:val="1"/>
          <w:wBefore w:w="771" w:type="dxa"/>
          <w:wAfter w:w="2988" w:type="dxa"/>
        </w:trPr>
        <w:tc>
          <w:tcPr>
            <w:tcW w:w="5349" w:type="dxa"/>
            <w:gridSpan w:val="3"/>
          </w:tcPr>
          <w:p w14:paraId="49F64EAD" w14:textId="77777777" w:rsidR="009E3A70" w:rsidRPr="009A2157" w:rsidRDefault="009E3A70" w:rsidP="009E3A70">
            <w:pPr>
              <w:jc w:val="both"/>
              <w:rPr>
                <w:sz w:val="18"/>
                <w:szCs w:val="18"/>
              </w:rPr>
            </w:pPr>
            <w:r w:rsidRPr="009A2157">
              <w:rPr>
                <w:sz w:val="18"/>
                <w:szCs w:val="18"/>
              </w:rPr>
              <w:t xml:space="preserve">Email: </w:t>
            </w:r>
            <w:hyperlink r:id="rId7" w:history="1">
              <w:r w:rsidRPr="009A2157">
                <w:rPr>
                  <w:color w:val="0000FF"/>
                  <w:sz w:val="18"/>
                  <w:szCs w:val="18"/>
                  <w:u w:val="single"/>
                </w:rPr>
                <w:t>CMSAdmins@morganstanley.com</w:t>
              </w:r>
            </w:hyperlink>
            <w:r w:rsidRPr="009A2157">
              <w:rPr>
                <w:sz w:val="18"/>
                <w:szCs w:val="18"/>
              </w:rPr>
              <w:t xml:space="preserve">, and </w:t>
            </w:r>
          </w:p>
        </w:tc>
      </w:tr>
      <w:tr w:rsidR="009E3A70" w:rsidRPr="009A2157" w14:paraId="024D8436" w14:textId="77777777" w:rsidTr="009A2157">
        <w:tblPrEx>
          <w:tblCellMar>
            <w:left w:w="108" w:type="dxa"/>
            <w:right w:w="108" w:type="dxa"/>
          </w:tblCellMar>
          <w:tblLook w:val="0000" w:firstRow="0" w:lastRow="0" w:firstColumn="0" w:lastColumn="0" w:noHBand="0" w:noVBand="0"/>
        </w:tblPrEx>
        <w:trPr>
          <w:gridBefore w:val="1"/>
          <w:gridAfter w:val="1"/>
          <w:wBefore w:w="771" w:type="dxa"/>
          <w:wAfter w:w="2988" w:type="dxa"/>
        </w:trPr>
        <w:tc>
          <w:tcPr>
            <w:tcW w:w="5349" w:type="dxa"/>
            <w:gridSpan w:val="3"/>
          </w:tcPr>
          <w:p w14:paraId="56833322" w14:textId="77777777" w:rsidR="009E3A70" w:rsidRPr="009A2157" w:rsidRDefault="000A012E" w:rsidP="009E3A70">
            <w:pPr>
              <w:jc w:val="both"/>
              <w:rPr>
                <w:sz w:val="18"/>
                <w:szCs w:val="18"/>
              </w:rPr>
            </w:pPr>
            <w:hyperlink r:id="rId8" w:history="1">
              <w:r w:rsidR="009E3A70" w:rsidRPr="009A2157">
                <w:rPr>
                  <w:color w:val="0000FF"/>
                  <w:sz w:val="18"/>
                  <w:szCs w:val="18"/>
                  <w:u w:val="single"/>
                </w:rPr>
                <w:t>IT_Sourcing_Leadership@morganstanley.com</w:t>
              </w:r>
            </w:hyperlink>
            <w:r w:rsidR="009E3A70" w:rsidRPr="009A2157" w:rsidDel="00AB2E17">
              <w:rPr>
                <w:sz w:val="18"/>
                <w:szCs w:val="18"/>
              </w:rPr>
              <w:t xml:space="preserve"> </w:t>
            </w:r>
          </w:p>
        </w:tc>
      </w:tr>
    </w:tbl>
    <w:p w14:paraId="72D5AB75" w14:textId="77777777" w:rsidR="0060515D" w:rsidRPr="009A2157" w:rsidRDefault="0060515D">
      <w:pPr>
        <w:pStyle w:val="BodyTextFirstIndent"/>
      </w:pPr>
    </w:p>
    <w:p w14:paraId="0A1FAF48" w14:textId="77777777" w:rsidR="002477FB" w:rsidRPr="009A2157" w:rsidRDefault="009E3A70" w:rsidP="00885CA3">
      <w:pPr>
        <w:pStyle w:val="OutlineL1"/>
        <w:numPr>
          <w:ilvl w:val="0"/>
          <w:numId w:val="0"/>
        </w:numPr>
        <w:rPr>
          <w:rFonts w:ascii="Times New Roman" w:hAnsi="Times New Roman"/>
          <w:sz w:val="20"/>
        </w:rPr>
      </w:pPr>
      <w:r w:rsidRPr="009A2157">
        <w:rPr>
          <w:rFonts w:ascii="Times New Roman" w:hAnsi="Times New Roman"/>
          <w:sz w:val="20"/>
        </w:rPr>
        <w:t>IX</w:t>
      </w:r>
      <w:r w:rsidR="0060515D" w:rsidRPr="009A2157">
        <w:rPr>
          <w:rFonts w:ascii="Times New Roman" w:hAnsi="Times New Roman"/>
          <w:sz w:val="20"/>
        </w:rPr>
        <w:t xml:space="preserve">.  </w:t>
      </w:r>
      <w:r w:rsidR="002477FB" w:rsidRPr="009A2157">
        <w:rPr>
          <w:rFonts w:ascii="Times New Roman" w:hAnsi="Times New Roman"/>
          <w:sz w:val="20"/>
        </w:rPr>
        <w:t>Insurance Certifications</w:t>
      </w:r>
    </w:p>
    <w:p w14:paraId="7C940670" w14:textId="77777777" w:rsidR="002B1F93" w:rsidRPr="009A2157" w:rsidRDefault="002477FB" w:rsidP="002B1F93">
      <w:pPr>
        <w:pStyle w:val="BodyText"/>
      </w:pPr>
      <w:r w:rsidRPr="009A2157">
        <w:t xml:space="preserve">Insurance certificates required under Section 13.2 of the Agreement are to be delivered to Morgan Stanley </w:t>
      </w:r>
      <w:r w:rsidR="002B1F93" w:rsidRPr="009A2157">
        <w:t xml:space="preserve">via email @ </w:t>
      </w:r>
      <w:hyperlink r:id="rId9" w:history="1">
        <w:r w:rsidR="002B1F93" w:rsidRPr="009A2157">
          <w:rPr>
            <w:rStyle w:val="Hyperlink"/>
            <w:u w:val="single"/>
          </w:rPr>
          <w:t>CMSAdmins@morganstanley.com</w:t>
        </w:r>
      </w:hyperlink>
      <w:r w:rsidR="002B1F93" w:rsidRPr="009A2157">
        <w:t>, and annually thereafter, and at least thirty (30) days prior to any expiration of each insurance policy.</w:t>
      </w:r>
    </w:p>
    <w:p w14:paraId="55C7FA1C" w14:textId="77777777" w:rsidR="009E3A70" w:rsidRPr="009A2157" w:rsidRDefault="009E3A70" w:rsidP="009E3A70">
      <w:pPr>
        <w:ind w:left="720" w:hanging="720"/>
        <w:jc w:val="both"/>
        <w:rPr>
          <w:b/>
        </w:rPr>
      </w:pPr>
      <w:r w:rsidRPr="009A2157">
        <w:rPr>
          <w:b/>
        </w:rPr>
        <w:t>XI. Location of Services</w:t>
      </w:r>
    </w:p>
    <w:p w14:paraId="73D2F516" w14:textId="77777777" w:rsidR="009E3A70" w:rsidRPr="009A2157" w:rsidRDefault="009E3A70" w:rsidP="009E3A70">
      <w:pPr>
        <w:ind w:left="720"/>
        <w:jc w:val="both"/>
      </w:pPr>
    </w:p>
    <w:p w14:paraId="7F1142ED" w14:textId="77777777" w:rsidR="009367BA" w:rsidRPr="009A2157" w:rsidRDefault="009E3A70" w:rsidP="007213B9">
      <w:pPr>
        <w:tabs>
          <w:tab w:val="left" w:pos="360"/>
        </w:tabs>
        <w:ind w:left="360"/>
        <w:jc w:val="both"/>
      </w:pPr>
      <w:r w:rsidRPr="009A2157">
        <w:t xml:space="preserve">Check if the Services under this Task Order will be provided in a jurisdiction other than the Primary Jurisdiction, which is </w:t>
      </w:r>
    </w:p>
    <w:p w14:paraId="54417AB4" w14:textId="77777777" w:rsidR="009E3A70" w:rsidRPr="009A2157" w:rsidRDefault="009E3A70" w:rsidP="007213B9">
      <w:pPr>
        <w:tabs>
          <w:tab w:val="left" w:pos="360"/>
        </w:tabs>
        <w:ind w:left="360"/>
        <w:jc w:val="both"/>
      </w:pPr>
      <w:r w:rsidRPr="009A2157">
        <w:t>[</w:t>
      </w:r>
      <w:r w:rsidR="006A11D5" w:rsidRPr="009A2157">
        <w:t>NY]</w:t>
      </w:r>
      <w:r w:rsidRPr="009A2157">
        <w:t xml:space="preserve"> </w:t>
      </w:r>
      <w:r w:rsidRPr="009A2157">
        <w:rPr>
          <w:b/>
          <w:bCs/>
        </w:rPr>
        <w:t>[Identify primary jurisdiction under the Agreement]</w:t>
      </w:r>
      <w:r w:rsidRPr="009A2157">
        <w:t xml:space="preserve"> </w:t>
      </w:r>
    </w:p>
    <w:p w14:paraId="6F0D27ED" w14:textId="77777777" w:rsidR="002B1F93" w:rsidRPr="009A2157" w:rsidRDefault="002B1F93">
      <w:pPr>
        <w:pStyle w:val="BodyText"/>
        <w:rPr>
          <w:b/>
        </w:rPr>
      </w:pPr>
    </w:p>
    <w:p w14:paraId="66C19573" w14:textId="77777777" w:rsidR="002477FB" w:rsidRPr="009A2157" w:rsidRDefault="002477FB">
      <w:pPr>
        <w:pStyle w:val="BodyText"/>
        <w:rPr>
          <w:b/>
        </w:rPr>
      </w:pPr>
      <w:r w:rsidRPr="009A2157">
        <w:rPr>
          <w:b/>
        </w:rPr>
        <w:lastRenderedPageBreak/>
        <w:t>IN WITNESS WHEREOF, the parties have caused this Task Order to be executed by their duly authorized representatives.</w:t>
      </w:r>
    </w:p>
    <w:p w14:paraId="2B8F3B6A" w14:textId="77777777" w:rsidR="002477FB" w:rsidRPr="009A2157" w:rsidRDefault="002477FB"/>
    <w:p w14:paraId="30E714CB" w14:textId="77777777" w:rsidR="002477FB" w:rsidRPr="009A2157" w:rsidRDefault="00FE6C5D">
      <w:r>
        <w:rPr>
          <w:b/>
        </w:rPr>
        <w:t xml:space="preserve">INFOSYS LIMITED </w:t>
      </w:r>
      <w:r w:rsidR="009A2157">
        <w:rPr>
          <w:b/>
        </w:rPr>
        <w:tab/>
      </w:r>
      <w:r w:rsidR="002477FB" w:rsidRPr="009A2157">
        <w:t xml:space="preserve"> </w:t>
      </w:r>
      <w:r w:rsidR="002477FB" w:rsidRPr="009A2157">
        <w:tab/>
      </w:r>
      <w:r w:rsidR="002477FB" w:rsidRPr="009A2157">
        <w:tab/>
      </w:r>
      <w:r w:rsidR="002477FB" w:rsidRPr="009A2157">
        <w:tab/>
      </w:r>
      <w:r w:rsidR="002477FB" w:rsidRPr="009A2157">
        <w:tab/>
      </w:r>
      <w:r w:rsidR="002477FB" w:rsidRPr="009A2157">
        <w:rPr>
          <w:b/>
        </w:rPr>
        <w:t xml:space="preserve">MORGAN STANLEY </w:t>
      </w:r>
      <w:r w:rsidR="00E01EF9" w:rsidRPr="009A2157">
        <w:rPr>
          <w:b/>
        </w:rPr>
        <w:t>SERVICES GROUP INC.</w:t>
      </w:r>
    </w:p>
    <w:p w14:paraId="2C158DEF" w14:textId="77777777" w:rsidR="002477FB" w:rsidRPr="009A2157" w:rsidRDefault="002477FB">
      <w:pPr>
        <w:rPr>
          <w:u w:val="single"/>
        </w:rPr>
      </w:pPr>
    </w:p>
    <w:p w14:paraId="51F2C9AA" w14:textId="77777777" w:rsidR="002477FB" w:rsidRPr="009A2157" w:rsidRDefault="002477FB">
      <w:pPr>
        <w:rPr>
          <w:u w:val="single"/>
        </w:rPr>
      </w:pPr>
      <w:r w:rsidRPr="009A2157">
        <w:t>By:</w:t>
      </w:r>
      <w:r w:rsidRPr="009A2157">
        <w:tab/>
      </w:r>
      <w:r w:rsidRPr="009A2157">
        <w:tab/>
      </w:r>
      <w:r w:rsidRPr="009A2157">
        <w:tab/>
      </w:r>
      <w:r w:rsidR="009A2157">
        <w:tab/>
      </w:r>
      <w:r w:rsidR="003C698B">
        <w:tab/>
      </w:r>
      <w:r w:rsidR="003C698B">
        <w:tab/>
      </w:r>
      <w:r w:rsidR="003C698B">
        <w:tab/>
      </w:r>
      <w:r w:rsidRPr="009A2157">
        <w:t>By:</w:t>
      </w:r>
    </w:p>
    <w:p w14:paraId="6A2F4F4E" w14:textId="77777777" w:rsidR="002477FB" w:rsidRPr="009A2157" w:rsidRDefault="002477FB"/>
    <w:p w14:paraId="3402474B" w14:textId="77777777" w:rsidR="002477FB" w:rsidRPr="009A2157" w:rsidRDefault="002477FB">
      <w:r w:rsidRPr="009A2157">
        <w:t>Name:</w:t>
      </w:r>
      <w:r w:rsidRPr="009A2157">
        <w:tab/>
      </w:r>
      <w:r w:rsidRPr="009A2157">
        <w:tab/>
      </w:r>
      <w:r w:rsidR="00305DED">
        <w:t>Arindam Chatterjee</w:t>
      </w:r>
      <w:r w:rsidRPr="009A2157">
        <w:tab/>
      </w:r>
      <w:r w:rsidRPr="009A2157">
        <w:tab/>
      </w:r>
      <w:r w:rsidR="009A2157">
        <w:tab/>
      </w:r>
      <w:r w:rsidRPr="009A2157">
        <w:t>Name:</w:t>
      </w:r>
    </w:p>
    <w:p w14:paraId="5675C78F" w14:textId="77777777" w:rsidR="002477FB" w:rsidRPr="009A2157" w:rsidRDefault="002477FB"/>
    <w:p w14:paraId="7F75A571" w14:textId="77777777" w:rsidR="002477FB" w:rsidRPr="009A2157" w:rsidRDefault="002477FB">
      <w:r w:rsidRPr="009A2157">
        <w:t>Title:</w:t>
      </w:r>
      <w:r w:rsidRPr="009A2157">
        <w:tab/>
      </w:r>
      <w:r w:rsidRPr="009A2157">
        <w:tab/>
      </w:r>
      <w:r w:rsidR="00305DED">
        <w:t>Senior Director</w:t>
      </w:r>
      <w:r w:rsidRPr="009A2157">
        <w:tab/>
      </w:r>
      <w:r w:rsidRPr="009A2157">
        <w:tab/>
      </w:r>
      <w:r w:rsidRPr="009A2157">
        <w:tab/>
      </w:r>
      <w:r w:rsidR="009A2157">
        <w:tab/>
      </w:r>
      <w:r w:rsidRPr="009A2157">
        <w:t>Title:</w:t>
      </w:r>
    </w:p>
    <w:p w14:paraId="5F58E0DA" w14:textId="77777777" w:rsidR="002477FB" w:rsidRPr="009A2157" w:rsidRDefault="002477FB"/>
    <w:p w14:paraId="6FB6EE53" w14:textId="77777777" w:rsidR="002477FB" w:rsidRPr="009A2157" w:rsidRDefault="002477FB">
      <w:r w:rsidRPr="009A2157">
        <w:t>Date:</w:t>
      </w:r>
      <w:r w:rsidRPr="009A2157">
        <w:tab/>
      </w:r>
      <w:r w:rsidRPr="009A2157">
        <w:tab/>
      </w:r>
      <w:r w:rsidRPr="009A2157">
        <w:tab/>
      </w:r>
      <w:r w:rsidRPr="009A2157">
        <w:tab/>
      </w:r>
      <w:r w:rsidRPr="009A2157">
        <w:tab/>
      </w:r>
      <w:r w:rsidR="009A2157">
        <w:tab/>
      </w:r>
      <w:r w:rsidR="003C698B">
        <w:tab/>
      </w:r>
      <w:r w:rsidRPr="009A2157">
        <w:t>Date:</w:t>
      </w:r>
    </w:p>
    <w:sectPr w:rsidR="002477FB" w:rsidRPr="009A2157" w:rsidSect="00235616">
      <w:footerReference w:type="default" r:id="rId10"/>
      <w:footerReference w:type="first" r:id="rId11"/>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3B14B" w14:textId="77777777" w:rsidR="00071C44" w:rsidRDefault="00071C44">
      <w:r>
        <w:separator/>
      </w:r>
    </w:p>
  </w:endnote>
  <w:endnote w:type="continuationSeparator" w:id="0">
    <w:p w14:paraId="5CEFF470" w14:textId="77777777" w:rsidR="00071C44" w:rsidRDefault="0007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2E6DE" w14:textId="570B261C" w:rsidR="002477FB" w:rsidRPr="00DB1DB6" w:rsidRDefault="002477FB">
    <w:pPr>
      <w:pStyle w:val="Footer"/>
      <w:jc w:val="center"/>
      <w:rPr>
        <w:sz w:val="20"/>
      </w:rPr>
    </w:pPr>
    <w:r w:rsidRPr="00DB1DB6">
      <w:rPr>
        <w:sz w:val="20"/>
      </w:rPr>
      <w:t xml:space="preserve">Page </w:t>
    </w:r>
    <w:r w:rsidRPr="00DB1DB6">
      <w:rPr>
        <w:rStyle w:val="PageNumber"/>
        <w:sz w:val="20"/>
      </w:rPr>
      <w:fldChar w:fldCharType="begin"/>
    </w:r>
    <w:r w:rsidRPr="00DB1DB6">
      <w:rPr>
        <w:rStyle w:val="PageNumber"/>
        <w:sz w:val="20"/>
      </w:rPr>
      <w:instrText xml:space="preserve"> PAGE </w:instrText>
    </w:r>
    <w:r w:rsidRPr="00DB1DB6">
      <w:rPr>
        <w:rStyle w:val="PageNumber"/>
        <w:sz w:val="20"/>
      </w:rPr>
      <w:fldChar w:fldCharType="separate"/>
    </w:r>
    <w:r w:rsidR="000A012E">
      <w:rPr>
        <w:rStyle w:val="PageNumber"/>
        <w:noProof/>
        <w:sz w:val="20"/>
      </w:rPr>
      <w:t>1</w:t>
    </w:r>
    <w:r w:rsidRPr="00DB1DB6">
      <w:rPr>
        <w:rStyle w:val="PageNumbe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04F1" w14:textId="77777777" w:rsidR="002477FB" w:rsidRDefault="002477FB">
    <w:pPr>
      <w:pStyle w:val="Footer"/>
      <w:tabs>
        <w:tab w:val="clear" w:pos="4680"/>
        <w:tab w:val="clear" w:pos="9360"/>
      </w:tabs>
      <w:jc w:val="cen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6FB8086" w14:textId="77777777" w:rsidR="002477FB" w:rsidRDefault="002477FB">
    <w:pPr>
      <w:pStyle w:val="Footer"/>
      <w:tabs>
        <w:tab w:val="clear" w:pos="4680"/>
        <w:tab w:val="clear" w:pos="9360"/>
      </w:tabs>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9BC19" w14:textId="77777777" w:rsidR="00071C44" w:rsidRDefault="00071C44">
      <w:r>
        <w:separator/>
      </w:r>
    </w:p>
  </w:footnote>
  <w:footnote w:type="continuationSeparator" w:id="0">
    <w:p w14:paraId="1F236E16" w14:textId="77777777" w:rsidR="00071C44" w:rsidRDefault="00071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36C6"/>
    <w:multiLevelType w:val="hybridMultilevel"/>
    <w:tmpl w:val="0F32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23839"/>
    <w:multiLevelType w:val="multilevel"/>
    <w:tmpl w:val="645A41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4AF3EA6"/>
    <w:multiLevelType w:val="hybridMultilevel"/>
    <w:tmpl w:val="325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94E4F"/>
    <w:multiLevelType w:val="singleLevel"/>
    <w:tmpl w:val="C9A8AFD2"/>
    <w:lvl w:ilvl="0">
      <w:numFmt w:val="bullet"/>
      <w:lvlText w:val=""/>
      <w:lvlJc w:val="left"/>
      <w:pPr>
        <w:tabs>
          <w:tab w:val="num" w:pos="720"/>
        </w:tabs>
        <w:ind w:left="720" w:hanging="720"/>
      </w:pPr>
      <w:rPr>
        <w:rFonts w:ascii="Symbol" w:hAnsi="Symbol" w:hint="default"/>
      </w:rPr>
    </w:lvl>
  </w:abstractNum>
  <w:abstractNum w:abstractNumId="4" w15:restartNumberingAfterBreak="0">
    <w:nsid w:val="184B2C5B"/>
    <w:multiLevelType w:val="hybridMultilevel"/>
    <w:tmpl w:val="882446B2"/>
    <w:lvl w:ilvl="0" w:tplc="F3D0328C">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D381E"/>
    <w:multiLevelType w:val="hybridMultilevel"/>
    <w:tmpl w:val="2046A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71B6C"/>
    <w:multiLevelType w:val="hybridMultilevel"/>
    <w:tmpl w:val="A4F4ACBE"/>
    <w:lvl w:ilvl="0" w:tplc="1D10306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24145B"/>
    <w:multiLevelType w:val="hybridMultilevel"/>
    <w:tmpl w:val="4372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A4293"/>
    <w:multiLevelType w:val="hybridMultilevel"/>
    <w:tmpl w:val="946A1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29732F"/>
    <w:multiLevelType w:val="hybridMultilevel"/>
    <w:tmpl w:val="3764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91813"/>
    <w:multiLevelType w:val="multilevel"/>
    <w:tmpl w:val="80A0EF74"/>
    <w:name w:val="Outline"/>
    <w:lvl w:ilvl="0">
      <w:start w:val="1"/>
      <w:numFmt w:val="upperRoman"/>
      <w:pStyle w:val="OutlineL1"/>
      <w:lvlText w:val="%1."/>
      <w:lvlJc w:val="left"/>
      <w:pPr>
        <w:tabs>
          <w:tab w:val="num" w:pos="720"/>
        </w:tabs>
        <w:ind w:left="720" w:hanging="720"/>
      </w:pPr>
      <w:rPr>
        <w:rFonts w:ascii="Times New Roman Bold" w:hAnsi="Times New Roman Bold" w:hint="default"/>
        <w:b/>
        <w:i w:val="0"/>
        <w:caps/>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lineL2"/>
      <w:suff w:val="space"/>
      <w:lvlText w:val="%2."/>
      <w:lvlJc w:val="left"/>
      <w:pPr>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lineL3"/>
      <w:lvlText w:val="%3."/>
      <w:lvlJc w:val="left"/>
      <w:pPr>
        <w:tabs>
          <w:tab w:val="num" w:pos="1080"/>
        </w:tabs>
        <w:ind w:left="1080" w:hanging="3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line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Outline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line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Outline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OutlineL8"/>
      <w:lvlText w:val="%8)"/>
      <w:lvlJc w:val="left"/>
      <w:pPr>
        <w:tabs>
          <w:tab w:val="num" w:pos="5760"/>
        </w:tabs>
        <w:ind w:left="0" w:firstLine="50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OutlineL9"/>
      <w:lvlText w:val="%9)"/>
      <w:lvlJc w:val="left"/>
      <w:pPr>
        <w:tabs>
          <w:tab w:val="num" w:pos="6480"/>
        </w:tabs>
        <w:ind w:left="0" w:firstLine="57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468F0E01"/>
    <w:multiLevelType w:val="hybridMultilevel"/>
    <w:tmpl w:val="33D62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2020C2"/>
    <w:multiLevelType w:val="hybridMultilevel"/>
    <w:tmpl w:val="C4EE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9753F"/>
    <w:multiLevelType w:val="hybridMultilevel"/>
    <w:tmpl w:val="D638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F4B2A"/>
    <w:multiLevelType w:val="singleLevel"/>
    <w:tmpl w:val="B26EB55E"/>
    <w:lvl w:ilvl="0">
      <w:start w:val="5"/>
      <w:numFmt w:val="bullet"/>
      <w:lvlText w:val=""/>
      <w:lvlJc w:val="left"/>
      <w:pPr>
        <w:tabs>
          <w:tab w:val="num" w:pos="720"/>
        </w:tabs>
        <w:ind w:left="720" w:hanging="720"/>
      </w:pPr>
      <w:rPr>
        <w:rFonts w:ascii="Symbol" w:hAnsi="Symbol" w:hint="default"/>
      </w:rPr>
    </w:lvl>
  </w:abstractNum>
  <w:num w:numId="1">
    <w:abstractNumId w:val="10"/>
  </w:num>
  <w:num w:numId="2">
    <w:abstractNumId w:val="14"/>
  </w:num>
  <w:num w:numId="3">
    <w:abstractNumId w:val="3"/>
  </w:num>
  <w:num w:numId="4">
    <w:abstractNumId w:val="1"/>
  </w:num>
  <w:num w:numId="5">
    <w:abstractNumId w:val="4"/>
  </w:num>
  <w:num w:numId="6">
    <w:abstractNumId w:val="10"/>
  </w:num>
  <w:num w:numId="7">
    <w:abstractNumId w:val="13"/>
  </w:num>
  <w:num w:numId="8">
    <w:abstractNumId w:val="0"/>
  </w:num>
  <w:num w:numId="9">
    <w:abstractNumId w:val="10"/>
  </w:num>
  <w:num w:numId="10">
    <w:abstractNumId w:val="10"/>
  </w:num>
  <w:num w:numId="11">
    <w:abstractNumId w:val="12"/>
  </w:num>
  <w:num w:numId="12">
    <w:abstractNumId w:val="9"/>
  </w:num>
  <w:num w:numId="13">
    <w:abstractNumId w:val="7"/>
  </w:num>
  <w:num w:numId="14">
    <w:abstractNumId w:val="11"/>
  </w:num>
  <w:num w:numId="15">
    <w:abstractNumId w:val="8"/>
  </w:num>
  <w:num w:numId="16">
    <w:abstractNumId w:val="6"/>
  </w:num>
  <w:num w:numId="17">
    <w:abstractNumId w:val="2"/>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84"/>
    <w:rsid w:val="00027F96"/>
    <w:rsid w:val="00071C44"/>
    <w:rsid w:val="000940E9"/>
    <w:rsid w:val="000A012E"/>
    <w:rsid w:val="000A3C47"/>
    <w:rsid w:val="000C3477"/>
    <w:rsid w:val="000D5427"/>
    <w:rsid w:val="000D7ECF"/>
    <w:rsid w:val="000E2F12"/>
    <w:rsid w:val="000E30AC"/>
    <w:rsid w:val="000F2A44"/>
    <w:rsid w:val="001123B1"/>
    <w:rsid w:val="0011448B"/>
    <w:rsid w:val="001177B4"/>
    <w:rsid w:val="00127007"/>
    <w:rsid w:val="0018410C"/>
    <w:rsid w:val="00186FD4"/>
    <w:rsid w:val="00187586"/>
    <w:rsid w:val="00195676"/>
    <w:rsid w:val="001B2415"/>
    <w:rsid w:val="001C6D0E"/>
    <w:rsid w:val="001E21E3"/>
    <w:rsid w:val="00206708"/>
    <w:rsid w:val="00207035"/>
    <w:rsid w:val="00235616"/>
    <w:rsid w:val="0024284C"/>
    <w:rsid w:val="00243FA0"/>
    <w:rsid w:val="002477FB"/>
    <w:rsid w:val="00252917"/>
    <w:rsid w:val="002558AC"/>
    <w:rsid w:val="00295078"/>
    <w:rsid w:val="002A32E2"/>
    <w:rsid w:val="002B1F93"/>
    <w:rsid w:val="002C6B67"/>
    <w:rsid w:val="002D2131"/>
    <w:rsid w:val="002D3CA3"/>
    <w:rsid w:val="002D66D0"/>
    <w:rsid w:val="002D7451"/>
    <w:rsid w:val="002E3CCA"/>
    <w:rsid w:val="002F7336"/>
    <w:rsid w:val="00305DED"/>
    <w:rsid w:val="0031015A"/>
    <w:rsid w:val="0035669C"/>
    <w:rsid w:val="003733D3"/>
    <w:rsid w:val="00381900"/>
    <w:rsid w:val="00390E7B"/>
    <w:rsid w:val="00394694"/>
    <w:rsid w:val="003958A4"/>
    <w:rsid w:val="003B109F"/>
    <w:rsid w:val="003C3F3E"/>
    <w:rsid w:val="003C698B"/>
    <w:rsid w:val="003E457C"/>
    <w:rsid w:val="00414EF4"/>
    <w:rsid w:val="00420AAE"/>
    <w:rsid w:val="0042712E"/>
    <w:rsid w:val="00441B69"/>
    <w:rsid w:val="004429B6"/>
    <w:rsid w:val="00495A35"/>
    <w:rsid w:val="004A4CA5"/>
    <w:rsid w:val="004F7641"/>
    <w:rsid w:val="005004DE"/>
    <w:rsid w:val="005011DC"/>
    <w:rsid w:val="0050432B"/>
    <w:rsid w:val="00531E26"/>
    <w:rsid w:val="0053221C"/>
    <w:rsid w:val="0054298D"/>
    <w:rsid w:val="00581F50"/>
    <w:rsid w:val="005A0630"/>
    <w:rsid w:val="005A41E2"/>
    <w:rsid w:val="0060515D"/>
    <w:rsid w:val="00606AD3"/>
    <w:rsid w:val="00620D4B"/>
    <w:rsid w:val="00630763"/>
    <w:rsid w:val="00635559"/>
    <w:rsid w:val="006443F5"/>
    <w:rsid w:val="00645BD4"/>
    <w:rsid w:val="006617B6"/>
    <w:rsid w:val="006A11D5"/>
    <w:rsid w:val="006C0EDD"/>
    <w:rsid w:val="006F3E23"/>
    <w:rsid w:val="00716404"/>
    <w:rsid w:val="0072134F"/>
    <w:rsid w:val="007213B9"/>
    <w:rsid w:val="007258B6"/>
    <w:rsid w:val="0073599C"/>
    <w:rsid w:val="00765EB1"/>
    <w:rsid w:val="00782681"/>
    <w:rsid w:val="00793147"/>
    <w:rsid w:val="007A0723"/>
    <w:rsid w:val="007C27D5"/>
    <w:rsid w:val="007E7B16"/>
    <w:rsid w:val="0080479D"/>
    <w:rsid w:val="00853D3E"/>
    <w:rsid w:val="0086429B"/>
    <w:rsid w:val="00885CA3"/>
    <w:rsid w:val="008927E2"/>
    <w:rsid w:val="008A51EE"/>
    <w:rsid w:val="008B46E6"/>
    <w:rsid w:val="008C26C0"/>
    <w:rsid w:val="008D4722"/>
    <w:rsid w:val="008E52BC"/>
    <w:rsid w:val="00922F7E"/>
    <w:rsid w:val="009367BA"/>
    <w:rsid w:val="00942249"/>
    <w:rsid w:val="00942F8B"/>
    <w:rsid w:val="009523E3"/>
    <w:rsid w:val="00952F3C"/>
    <w:rsid w:val="00964264"/>
    <w:rsid w:val="00971DC6"/>
    <w:rsid w:val="00976DB6"/>
    <w:rsid w:val="0098615B"/>
    <w:rsid w:val="009864D5"/>
    <w:rsid w:val="00990B1F"/>
    <w:rsid w:val="009A2157"/>
    <w:rsid w:val="009D0692"/>
    <w:rsid w:val="009D3749"/>
    <w:rsid w:val="009E3A70"/>
    <w:rsid w:val="009F6689"/>
    <w:rsid w:val="00A0367F"/>
    <w:rsid w:val="00A074B7"/>
    <w:rsid w:val="00A12553"/>
    <w:rsid w:val="00A330E5"/>
    <w:rsid w:val="00A52040"/>
    <w:rsid w:val="00A61ECC"/>
    <w:rsid w:val="00A80BC8"/>
    <w:rsid w:val="00AB2AA7"/>
    <w:rsid w:val="00AC12F7"/>
    <w:rsid w:val="00AC7C84"/>
    <w:rsid w:val="00B03714"/>
    <w:rsid w:val="00B03DA2"/>
    <w:rsid w:val="00B1190E"/>
    <w:rsid w:val="00B11A75"/>
    <w:rsid w:val="00B65F6B"/>
    <w:rsid w:val="00BA74D5"/>
    <w:rsid w:val="00BB6DD8"/>
    <w:rsid w:val="00C15CA8"/>
    <w:rsid w:val="00C16134"/>
    <w:rsid w:val="00C24CD9"/>
    <w:rsid w:val="00C32A90"/>
    <w:rsid w:val="00C91450"/>
    <w:rsid w:val="00CA7314"/>
    <w:rsid w:val="00CC0205"/>
    <w:rsid w:val="00D1049C"/>
    <w:rsid w:val="00D1336C"/>
    <w:rsid w:val="00D36816"/>
    <w:rsid w:val="00D44C05"/>
    <w:rsid w:val="00D51303"/>
    <w:rsid w:val="00D52871"/>
    <w:rsid w:val="00D812F7"/>
    <w:rsid w:val="00DA722F"/>
    <w:rsid w:val="00DB1DB6"/>
    <w:rsid w:val="00DD0238"/>
    <w:rsid w:val="00DF5A57"/>
    <w:rsid w:val="00E01EF9"/>
    <w:rsid w:val="00E040CD"/>
    <w:rsid w:val="00E50964"/>
    <w:rsid w:val="00E700EA"/>
    <w:rsid w:val="00E72863"/>
    <w:rsid w:val="00E73E73"/>
    <w:rsid w:val="00E76042"/>
    <w:rsid w:val="00E97321"/>
    <w:rsid w:val="00EA7543"/>
    <w:rsid w:val="00EB02F5"/>
    <w:rsid w:val="00ED36D9"/>
    <w:rsid w:val="00ED570B"/>
    <w:rsid w:val="00EE1284"/>
    <w:rsid w:val="00EF5D00"/>
    <w:rsid w:val="00F03EE3"/>
    <w:rsid w:val="00F531F4"/>
    <w:rsid w:val="00F757A4"/>
    <w:rsid w:val="00F97B67"/>
    <w:rsid w:val="00FE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7C5557"/>
  <w15:docId w15:val="{4846A5C8-9822-418A-974B-656C43D1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pPr>
      <w:spacing w:after="240"/>
      <w:jc w:val="both"/>
    </w:pPr>
  </w:style>
  <w:style w:type="paragraph" w:styleId="Footer">
    <w:name w:val="footer"/>
    <w:basedOn w:val="Normal"/>
    <w:pPr>
      <w:tabs>
        <w:tab w:val="center" w:pos="4680"/>
        <w:tab w:val="right" w:pos="9360"/>
      </w:tabs>
      <w:jc w:val="both"/>
    </w:pPr>
    <w:rPr>
      <w:sz w:val="22"/>
    </w:rPr>
  </w:style>
  <w:style w:type="paragraph" w:customStyle="1" w:styleId="NumContinue">
    <w:name w:val="Num Continue"/>
    <w:basedOn w:val="BodyText"/>
    <w:pPr>
      <w:tabs>
        <w:tab w:val="left" w:pos="1080"/>
      </w:tabs>
      <w:ind w:left="1080" w:hanging="1080"/>
      <w:jc w:val="left"/>
      <w:outlineLvl w:val="0"/>
    </w:pPr>
  </w:style>
  <w:style w:type="paragraph" w:styleId="Title">
    <w:name w:val="Title"/>
    <w:aliases w:val="t"/>
    <w:basedOn w:val="Normal"/>
    <w:qFormat/>
    <w:pPr>
      <w:keepNext/>
      <w:spacing w:after="360"/>
      <w:jc w:val="center"/>
      <w:outlineLvl w:val="0"/>
    </w:pPr>
    <w:rPr>
      <w:rFonts w:ascii="Times New Roman Bold" w:hAnsi="Times New Roman Bold"/>
      <w:b/>
      <w:caps/>
    </w:rPr>
  </w:style>
  <w:style w:type="paragraph" w:styleId="BodyTextFirstIndent">
    <w:name w:val="Body Text First Indent"/>
    <w:basedOn w:val="BodyText"/>
    <w:pPr>
      <w:ind w:firstLine="720"/>
    </w:pPr>
  </w:style>
  <w:style w:type="character" w:styleId="PageNumber">
    <w:name w:val="page number"/>
    <w:basedOn w:val="DefaultParagraphFont"/>
  </w:style>
  <w:style w:type="paragraph" w:customStyle="1" w:styleId="OutlineL1">
    <w:name w:val="Outline_L1"/>
    <w:basedOn w:val="Normal"/>
    <w:next w:val="NumContinue"/>
    <w:pPr>
      <w:keepNext/>
      <w:numPr>
        <w:numId w:val="1"/>
      </w:numPr>
      <w:spacing w:after="240"/>
      <w:outlineLvl w:val="0"/>
    </w:pPr>
    <w:rPr>
      <w:rFonts w:ascii="Times New Roman Bold" w:hAnsi="Times New Roman Bold"/>
      <w:b/>
      <w:sz w:val="22"/>
    </w:rPr>
  </w:style>
  <w:style w:type="paragraph" w:customStyle="1" w:styleId="OutlineL2">
    <w:name w:val="Outline_L2"/>
    <w:basedOn w:val="OutlineL1"/>
    <w:next w:val="NumContinue"/>
    <w:pPr>
      <w:numPr>
        <w:ilvl w:val="1"/>
      </w:numPr>
      <w:tabs>
        <w:tab w:val="num" w:pos="360"/>
      </w:tabs>
      <w:outlineLvl w:val="1"/>
    </w:pPr>
    <w:rPr>
      <w:rFonts w:ascii="Times New Roman" w:hAnsi="Times New Roman"/>
      <w:b w:val="0"/>
    </w:rPr>
  </w:style>
  <w:style w:type="paragraph" w:customStyle="1" w:styleId="OutlineL3">
    <w:name w:val="Outline_L3"/>
    <w:basedOn w:val="OutlineL2"/>
    <w:next w:val="NumContinue"/>
    <w:pPr>
      <w:numPr>
        <w:ilvl w:val="2"/>
      </w:numPr>
      <w:tabs>
        <w:tab w:val="clear" w:pos="1080"/>
        <w:tab w:val="num" w:pos="360"/>
      </w:tabs>
      <w:outlineLvl w:val="2"/>
    </w:pPr>
  </w:style>
  <w:style w:type="paragraph" w:customStyle="1" w:styleId="OutlineL4">
    <w:name w:val="Outline_L4"/>
    <w:basedOn w:val="OutlineL3"/>
    <w:next w:val="NumContinue"/>
    <w:pPr>
      <w:numPr>
        <w:ilvl w:val="3"/>
      </w:numPr>
      <w:tabs>
        <w:tab w:val="clear" w:pos="2880"/>
        <w:tab w:val="num" w:pos="360"/>
      </w:tabs>
      <w:outlineLvl w:val="3"/>
    </w:pPr>
  </w:style>
  <w:style w:type="paragraph" w:customStyle="1" w:styleId="OutlineL5">
    <w:name w:val="Outline_L5"/>
    <w:basedOn w:val="OutlineL4"/>
    <w:next w:val="NumContinue"/>
    <w:pPr>
      <w:numPr>
        <w:ilvl w:val="4"/>
      </w:numPr>
      <w:tabs>
        <w:tab w:val="clear" w:pos="3600"/>
        <w:tab w:val="num" w:pos="360"/>
      </w:tabs>
      <w:outlineLvl w:val="4"/>
    </w:pPr>
  </w:style>
  <w:style w:type="paragraph" w:customStyle="1" w:styleId="OutlineL6">
    <w:name w:val="Outline_L6"/>
    <w:basedOn w:val="OutlineL5"/>
    <w:next w:val="NumContinue"/>
    <w:pPr>
      <w:numPr>
        <w:ilvl w:val="5"/>
      </w:numPr>
      <w:tabs>
        <w:tab w:val="clear" w:pos="4320"/>
        <w:tab w:val="num" w:pos="360"/>
      </w:tabs>
      <w:outlineLvl w:val="5"/>
    </w:pPr>
  </w:style>
  <w:style w:type="paragraph" w:customStyle="1" w:styleId="OutlineL7">
    <w:name w:val="Outline_L7"/>
    <w:basedOn w:val="OutlineL6"/>
    <w:next w:val="NumContinue"/>
    <w:pPr>
      <w:numPr>
        <w:ilvl w:val="6"/>
      </w:numPr>
      <w:tabs>
        <w:tab w:val="clear" w:pos="5040"/>
        <w:tab w:val="num" w:pos="360"/>
      </w:tabs>
      <w:outlineLvl w:val="6"/>
    </w:pPr>
  </w:style>
  <w:style w:type="paragraph" w:customStyle="1" w:styleId="OutlineL8">
    <w:name w:val="Outline_L8"/>
    <w:basedOn w:val="OutlineL7"/>
    <w:next w:val="NumContinue"/>
    <w:pPr>
      <w:numPr>
        <w:ilvl w:val="7"/>
      </w:numPr>
      <w:tabs>
        <w:tab w:val="clear" w:pos="5760"/>
        <w:tab w:val="num" w:pos="360"/>
      </w:tabs>
      <w:outlineLvl w:val="7"/>
    </w:pPr>
  </w:style>
  <w:style w:type="paragraph" w:customStyle="1" w:styleId="OutlineL9">
    <w:name w:val="Outline_L9"/>
    <w:basedOn w:val="OutlineL8"/>
    <w:next w:val="NumContinue"/>
    <w:pPr>
      <w:numPr>
        <w:ilvl w:val="8"/>
      </w:numPr>
      <w:tabs>
        <w:tab w:val="clear" w:pos="6480"/>
        <w:tab w:val="num" w:pos="360"/>
      </w:tabs>
      <w:outlineLvl w:val="8"/>
    </w:pPr>
  </w:style>
  <w:style w:type="paragraph" w:customStyle="1" w:styleId="BlockText2">
    <w:name w:val="Block Text 2"/>
    <w:aliases w:val="bl2"/>
    <w:basedOn w:val="Normal"/>
    <w:pPr>
      <w:widowControl w:val="0"/>
      <w:spacing w:after="240"/>
      <w:ind w:left="1440" w:right="720"/>
      <w:jc w:val="both"/>
    </w:pPr>
    <w:rPr>
      <w:snapToGrid w:val="0"/>
      <w:sz w:val="24"/>
    </w:rPr>
  </w:style>
  <w:style w:type="paragraph" w:styleId="Header">
    <w:name w:val="header"/>
    <w:basedOn w:val="Normal"/>
    <w:pPr>
      <w:tabs>
        <w:tab w:val="center" w:pos="4320"/>
        <w:tab w:val="right" w:pos="8640"/>
      </w:tabs>
    </w:pPr>
  </w:style>
  <w:style w:type="character" w:styleId="Hyperlink">
    <w:name w:val="Hyperlink"/>
    <w:unhideWhenUsed/>
    <w:rsid w:val="002B1F93"/>
    <w:rPr>
      <w:rFonts w:ascii="Times New Roman" w:hAnsi="Times New Roman" w:cs="Times New Roman" w:hint="default"/>
      <w:color w:val="0000FF"/>
      <w:sz w:val="20"/>
    </w:rPr>
  </w:style>
  <w:style w:type="character" w:customStyle="1" w:styleId="BodyTextChar">
    <w:name w:val="Body Text Char"/>
    <w:aliases w:val="bt Char"/>
    <w:link w:val="BodyText"/>
    <w:locked/>
    <w:rsid w:val="002B1F93"/>
  </w:style>
  <w:style w:type="paragraph" w:styleId="BalloonText">
    <w:name w:val="Balloon Text"/>
    <w:basedOn w:val="Normal"/>
    <w:link w:val="BalloonTextChar"/>
    <w:rsid w:val="000E30AC"/>
    <w:rPr>
      <w:rFonts w:ascii="Tahoma" w:hAnsi="Tahoma" w:cs="Tahoma"/>
      <w:sz w:val="16"/>
      <w:szCs w:val="16"/>
    </w:rPr>
  </w:style>
  <w:style w:type="character" w:customStyle="1" w:styleId="BalloonTextChar">
    <w:name w:val="Balloon Text Char"/>
    <w:link w:val="BalloonText"/>
    <w:rsid w:val="000E30AC"/>
    <w:rPr>
      <w:rFonts w:ascii="Tahoma" w:hAnsi="Tahoma" w:cs="Tahoma"/>
      <w:sz w:val="16"/>
      <w:szCs w:val="16"/>
    </w:rPr>
  </w:style>
  <w:style w:type="character" w:styleId="CommentReference">
    <w:name w:val="annotation reference"/>
    <w:rsid w:val="00D812F7"/>
    <w:rPr>
      <w:sz w:val="16"/>
      <w:szCs w:val="16"/>
    </w:rPr>
  </w:style>
  <w:style w:type="paragraph" w:styleId="CommentText">
    <w:name w:val="annotation text"/>
    <w:basedOn w:val="Normal"/>
    <w:link w:val="CommentTextChar"/>
    <w:rsid w:val="00D812F7"/>
  </w:style>
  <w:style w:type="character" w:customStyle="1" w:styleId="CommentTextChar">
    <w:name w:val="Comment Text Char"/>
    <w:basedOn w:val="DefaultParagraphFont"/>
    <w:link w:val="CommentText"/>
    <w:rsid w:val="00D812F7"/>
  </w:style>
  <w:style w:type="paragraph" w:styleId="CommentSubject">
    <w:name w:val="annotation subject"/>
    <w:basedOn w:val="CommentText"/>
    <w:next w:val="CommentText"/>
    <w:link w:val="CommentSubjectChar"/>
    <w:rsid w:val="00D812F7"/>
    <w:rPr>
      <w:b/>
      <w:bCs/>
    </w:rPr>
  </w:style>
  <w:style w:type="character" w:customStyle="1" w:styleId="CommentSubjectChar">
    <w:name w:val="Comment Subject Char"/>
    <w:link w:val="CommentSubject"/>
    <w:rsid w:val="00D812F7"/>
    <w:rPr>
      <w:b/>
      <w:bCs/>
    </w:rPr>
  </w:style>
  <w:style w:type="character" w:customStyle="1" w:styleId="ListParagraphChar">
    <w:name w:val="List Paragraph Char"/>
    <w:link w:val="ListParagraph"/>
    <w:uiPriority w:val="34"/>
    <w:locked/>
    <w:rsid w:val="00187586"/>
    <w:rPr>
      <w:rFonts w:ascii="Calibri" w:hAnsi="Calibri"/>
      <w:sz w:val="22"/>
      <w:szCs w:val="22"/>
    </w:rPr>
  </w:style>
  <w:style w:type="paragraph" w:styleId="ListParagraph">
    <w:name w:val="List Paragraph"/>
    <w:basedOn w:val="Normal"/>
    <w:link w:val="ListParagraphChar"/>
    <w:uiPriority w:val="34"/>
    <w:qFormat/>
    <w:rsid w:val="00187586"/>
    <w:pPr>
      <w:spacing w:after="200" w:line="276" w:lineRule="auto"/>
      <w:ind w:left="720"/>
      <w:contextualSpacing/>
    </w:pPr>
    <w:rPr>
      <w:rFonts w:ascii="Calibri" w:hAnsi="Calibri"/>
      <w:sz w:val="22"/>
      <w:szCs w:val="22"/>
    </w:rPr>
  </w:style>
  <w:style w:type="paragraph" w:customStyle="1" w:styleId="Default">
    <w:name w:val="Default"/>
    <w:rsid w:val="00420AAE"/>
    <w:pPr>
      <w:autoSpaceDE w:val="0"/>
      <w:autoSpaceDN w:val="0"/>
      <w:adjustRightInd w:val="0"/>
    </w:pPr>
    <w:rPr>
      <w:color w:val="000000"/>
      <w:sz w:val="24"/>
      <w:szCs w:val="24"/>
    </w:rPr>
  </w:style>
  <w:style w:type="paragraph" w:styleId="PlainText">
    <w:name w:val="Plain Text"/>
    <w:basedOn w:val="Normal"/>
    <w:link w:val="PlainTextChar"/>
    <w:uiPriority w:val="99"/>
    <w:semiHidden/>
    <w:unhideWhenUsed/>
    <w:rsid w:val="007E7B1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7E7B16"/>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3298">
      <w:bodyDiv w:val="1"/>
      <w:marLeft w:val="0"/>
      <w:marRight w:val="0"/>
      <w:marTop w:val="0"/>
      <w:marBottom w:val="0"/>
      <w:divBdr>
        <w:top w:val="none" w:sz="0" w:space="0" w:color="auto"/>
        <w:left w:val="none" w:sz="0" w:space="0" w:color="auto"/>
        <w:bottom w:val="none" w:sz="0" w:space="0" w:color="auto"/>
        <w:right w:val="none" w:sz="0" w:space="0" w:color="auto"/>
      </w:divBdr>
    </w:div>
    <w:div w:id="57678145">
      <w:bodyDiv w:val="1"/>
      <w:marLeft w:val="0"/>
      <w:marRight w:val="0"/>
      <w:marTop w:val="0"/>
      <w:marBottom w:val="0"/>
      <w:divBdr>
        <w:top w:val="none" w:sz="0" w:space="0" w:color="auto"/>
        <w:left w:val="none" w:sz="0" w:space="0" w:color="auto"/>
        <w:bottom w:val="none" w:sz="0" w:space="0" w:color="auto"/>
        <w:right w:val="none" w:sz="0" w:space="0" w:color="auto"/>
      </w:divBdr>
    </w:div>
    <w:div w:id="109328053">
      <w:bodyDiv w:val="1"/>
      <w:marLeft w:val="0"/>
      <w:marRight w:val="0"/>
      <w:marTop w:val="0"/>
      <w:marBottom w:val="0"/>
      <w:divBdr>
        <w:top w:val="none" w:sz="0" w:space="0" w:color="auto"/>
        <w:left w:val="none" w:sz="0" w:space="0" w:color="auto"/>
        <w:bottom w:val="none" w:sz="0" w:space="0" w:color="auto"/>
        <w:right w:val="none" w:sz="0" w:space="0" w:color="auto"/>
      </w:divBdr>
    </w:div>
    <w:div w:id="198400476">
      <w:bodyDiv w:val="1"/>
      <w:marLeft w:val="0"/>
      <w:marRight w:val="0"/>
      <w:marTop w:val="0"/>
      <w:marBottom w:val="0"/>
      <w:divBdr>
        <w:top w:val="none" w:sz="0" w:space="0" w:color="auto"/>
        <w:left w:val="none" w:sz="0" w:space="0" w:color="auto"/>
        <w:bottom w:val="none" w:sz="0" w:space="0" w:color="auto"/>
        <w:right w:val="none" w:sz="0" w:space="0" w:color="auto"/>
      </w:divBdr>
    </w:div>
    <w:div w:id="287005357">
      <w:bodyDiv w:val="1"/>
      <w:marLeft w:val="0"/>
      <w:marRight w:val="0"/>
      <w:marTop w:val="0"/>
      <w:marBottom w:val="0"/>
      <w:divBdr>
        <w:top w:val="none" w:sz="0" w:space="0" w:color="auto"/>
        <w:left w:val="none" w:sz="0" w:space="0" w:color="auto"/>
        <w:bottom w:val="none" w:sz="0" w:space="0" w:color="auto"/>
        <w:right w:val="none" w:sz="0" w:space="0" w:color="auto"/>
      </w:divBdr>
    </w:div>
    <w:div w:id="352535751">
      <w:bodyDiv w:val="1"/>
      <w:marLeft w:val="0"/>
      <w:marRight w:val="0"/>
      <w:marTop w:val="0"/>
      <w:marBottom w:val="0"/>
      <w:divBdr>
        <w:top w:val="none" w:sz="0" w:space="0" w:color="auto"/>
        <w:left w:val="none" w:sz="0" w:space="0" w:color="auto"/>
        <w:bottom w:val="none" w:sz="0" w:space="0" w:color="auto"/>
        <w:right w:val="none" w:sz="0" w:space="0" w:color="auto"/>
      </w:divBdr>
    </w:div>
    <w:div w:id="625429176">
      <w:bodyDiv w:val="1"/>
      <w:marLeft w:val="0"/>
      <w:marRight w:val="0"/>
      <w:marTop w:val="0"/>
      <w:marBottom w:val="0"/>
      <w:divBdr>
        <w:top w:val="none" w:sz="0" w:space="0" w:color="auto"/>
        <w:left w:val="none" w:sz="0" w:space="0" w:color="auto"/>
        <w:bottom w:val="none" w:sz="0" w:space="0" w:color="auto"/>
        <w:right w:val="none" w:sz="0" w:space="0" w:color="auto"/>
      </w:divBdr>
    </w:div>
    <w:div w:id="648679255">
      <w:bodyDiv w:val="1"/>
      <w:marLeft w:val="0"/>
      <w:marRight w:val="0"/>
      <w:marTop w:val="0"/>
      <w:marBottom w:val="0"/>
      <w:divBdr>
        <w:top w:val="none" w:sz="0" w:space="0" w:color="auto"/>
        <w:left w:val="none" w:sz="0" w:space="0" w:color="auto"/>
        <w:bottom w:val="none" w:sz="0" w:space="0" w:color="auto"/>
        <w:right w:val="none" w:sz="0" w:space="0" w:color="auto"/>
      </w:divBdr>
    </w:div>
    <w:div w:id="873422740">
      <w:bodyDiv w:val="1"/>
      <w:marLeft w:val="0"/>
      <w:marRight w:val="0"/>
      <w:marTop w:val="0"/>
      <w:marBottom w:val="0"/>
      <w:divBdr>
        <w:top w:val="none" w:sz="0" w:space="0" w:color="auto"/>
        <w:left w:val="none" w:sz="0" w:space="0" w:color="auto"/>
        <w:bottom w:val="none" w:sz="0" w:space="0" w:color="auto"/>
        <w:right w:val="none" w:sz="0" w:space="0" w:color="auto"/>
      </w:divBdr>
    </w:div>
    <w:div w:id="1118260329">
      <w:bodyDiv w:val="1"/>
      <w:marLeft w:val="0"/>
      <w:marRight w:val="0"/>
      <w:marTop w:val="0"/>
      <w:marBottom w:val="0"/>
      <w:divBdr>
        <w:top w:val="none" w:sz="0" w:space="0" w:color="auto"/>
        <w:left w:val="none" w:sz="0" w:space="0" w:color="auto"/>
        <w:bottom w:val="none" w:sz="0" w:space="0" w:color="auto"/>
        <w:right w:val="none" w:sz="0" w:space="0" w:color="auto"/>
      </w:divBdr>
    </w:div>
    <w:div w:id="1174761030">
      <w:bodyDiv w:val="1"/>
      <w:marLeft w:val="0"/>
      <w:marRight w:val="0"/>
      <w:marTop w:val="0"/>
      <w:marBottom w:val="0"/>
      <w:divBdr>
        <w:top w:val="none" w:sz="0" w:space="0" w:color="auto"/>
        <w:left w:val="none" w:sz="0" w:space="0" w:color="auto"/>
        <w:bottom w:val="none" w:sz="0" w:space="0" w:color="auto"/>
        <w:right w:val="none" w:sz="0" w:space="0" w:color="auto"/>
      </w:divBdr>
    </w:div>
    <w:div w:id="1614826257">
      <w:bodyDiv w:val="1"/>
      <w:marLeft w:val="0"/>
      <w:marRight w:val="0"/>
      <w:marTop w:val="0"/>
      <w:marBottom w:val="0"/>
      <w:divBdr>
        <w:top w:val="none" w:sz="0" w:space="0" w:color="auto"/>
        <w:left w:val="none" w:sz="0" w:space="0" w:color="auto"/>
        <w:bottom w:val="none" w:sz="0" w:space="0" w:color="auto"/>
        <w:right w:val="none" w:sz="0" w:space="0" w:color="auto"/>
      </w:divBdr>
    </w:div>
    <w:div w:id="1849952197">
      <w:bodyDiv w:val="1"/>
      <w:marLeft w:val="0"/>
      <w:marRight w:val="0"/>
      <w:marTop w:val="0"/>
      <w:marBottom w:val="0"/>
      <w:divBdr>
        <w:top w:val="none" w:sz="0" w:space="0" w:color="auto"/>
        <w:left w:val="none" w:sz="0" w:space="0" w:color="auto"/>
        <w:bottom w:val="none" w:sz="0" w:space="0" w:color="auto"/>
        <w:right w:val="none" w:sz="0" w:space="0" w:color="auto"/>
      </w:divBdr>
    </w:div>
    <w:div w:id="1976715659">
      <w:bodyDiv w:val="1"/>
      <w:marLeft w:val="0"/>
      <w:marRight w:val="0"/>
      <w:marTop w:val="0"/>
      <w:marBottom w:val="0"/>
      <w:divBdr>
        <w:top w:val="none" w:sz="0" w:space="0" w:color="auto"/>
        <w:left w:val="none" w:sz="0" w:space="0" w:color="auto"/>
        <w:bottom w:val="none" w:sz="0" w:space="0" w:color="auto"/>
        <w:right w:val="none" w:sz="0" w:space="0" w:color="auto"/>
      </w:divBdr>
    </w:div>
    <w:div w:id="20491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_Sourcing_Leadership@morganstanle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MSAdmins@morganstanle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MSAdmins@morganstan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1585</Words>
  <Characters>9212</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TASK ORDER</vt:lpstr>
    </vt:vector>
  </TitlesOfParts>
  <Company>Morgan Stanley</Company>
  <LinksUpToDate>false</LinksUpToDate>
  <CharactersWithSpaces>10776</CharactersWithSpaces>
  <SharedDoc>false</SharedDoc>
  <HLinks>
    <vt:vector size="18" baseType="variant">
      <vt:variant>
        <vt:i4>8061021</vt:i4>
      </vt:variant>
      <vt:variant>
        <vt:i4>6</vt:i4>
      </vt:variant>
      <vt:variant>
        <vt:i4>0</vt:i4>
      </vt:variant>
      <vt:variant>
        <vt:i4>5</vt:i4>
      </vt:variant>
      <vt:variant>
        <vt:lpwstr>mailto:CMSAdmins@morganstanley.com</vt:lpwstr>
      </vt:variant>
      <vt:variant>
        <vt:lpwstr/>
      </vt:variant>
      <vt:variant>
        <vt:i4>2949147</vt:i4>
      </vt:variant>
      <vt:variant>
        <vt:i4>3</vt:i4>
      </vt:variant>
      <vt:variant>
        <vt:i4>0</vt:i4>
      </vt:variant>
      <vt:variant>
        <vt:i4>5</vt:i4>
      </vt:variant>
      <vt:variant>
        <vt:lpwstr>mailto:IT_Sourcing_Leadership@morganstanley.com</vt:lpwstr>
      </vt:variant>
      <vt:variant>
        <vt:lpwstr/>
      </vt:variant>
      <vt:variant>
        <vt:i4>8061021</vt:i4>
      </vt:variant>
      <vt:variant>
        <vt:i4>0</vt:i4>
      </vt:variant>
      <vt:variant>
        <vt:i4>0</vt:i4>
      </vt:variant>
      <vt:variant>
        <vt:i4>5</vt:i4>
      </vt:variant>
      <vt:variant>
        <vt:lpwstr>mailto:CMSAdmins@morganstanley.com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ORDER</dc:title>
  <dc:creator>bompeym</dc:creator>
  <cp:lastModifiedBy>Madesh Ramamoorthy</cp:lastModifiedBy>
  <cp:revision>2</cp:revision>
  <cp:lastPrinted>2019-08-13T17:53:00Z</cp:lastPrinted>
  <dcterms:created xsi:type="dcterms:W3CDTF">2019-08-16T11:25:00Z</dcterms:created>
  <dcterms:modified xsi:type="dcterms:W3CDTF">2019-08-16T11:25:00Z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arindam.chatterjee@ad.infosys.com</vt:lpwstr>
  </property>
  <property fmtid="{D5CDD505-2E9C-101B-9397-08002B2CF9AE}" pid="5" name="MSIP_Label_be4b3411-284d-4d31-bd4f-bc13ef7f1fd6_SetDate">
    <vt:lpwstr>2018-11-11T16:33:25.8141323Z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arindam.chatterjee@ad.infosys.com</vt:lpwstr>
  </property>
  <property fmtid="{D5CDD505-2E9C-101B-9397-08002B2CF9AE}" pid="12" name="MSIP_Label_a0819fa7-4367-4500-ba88-dd630d977609_SetDate">
    <vt:lpwstr>2018-11-11T16:33:25.8141323Z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