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Program Manager  |  Certified SAFe® 6 Scrum Master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v8jwz2sh18o3jdpan0bwl">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pdd6cvkylnarqslcgsb2m">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Agile Release Trains on AI-enabled platforms and restart stalled programmes.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modernisation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every planning cycle on Manulife's release train, with under 5% sprint variance and zero critical security issues.</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AWD</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Manulife</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 and zero critical security issues.</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security by moving 15 core services to AKS and 7 microservices to Gradle, and hardening the Apigee API gateway with JWT and OAuth 2.0.</w:t>
      </w:r>
    </w:p>
    <w:p>
      <w:pPr>
        <w:pStyle w:val="ListParagraph"/>
        <w:numPr>
          <w:ilvl w:val="0"/>
          <w:numId w:val="2"/>
        </w:numPr>
        <w:spacing w:after="30" w:line="252"/>
        <w:jc w:val="both"/>
      </w:pPr>
      <w:r>
        <w:rPr>
          <w:rFonts w:ascii="Calibri" w:cs="Calibri" w:eastAsia="Calibri" w:hAnsi="Calibri"/>
          <w:color w:val="2B3A4F"/>
          <w:sz w:val="20"/>
          <w:szCs w:val="20"/>
        </w:rPr>
        <w:t xml:space="preserve">Lead end-to-end governance for Manulife's Core API, Customer Engagement and Compliance AI products, reporting progress and roadmap decisions to executive leadership.</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workflow platform modernisation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programme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Took all 5 modernisation initiatives live across 20+ business divisions by guiding teams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Upgraded the AWD workflow system for the first time since 2019, finishing most of the work by Q2 2023, within a year of taking over.</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Reached 20M+ Allstate and 400K Encompass Insurance policyholders with customer communications by deploying 750+ document templates.</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w:t>
      </w:r>
    </w:p>
    <w:p>
      <w:pPr>
        <w:pStyle w:val="ListParagraph"/>
        <w:numPr>
          <w:ilvl w:val="0"/>
          <w:numId w:val="2"/>
        </w:numPr>
        <w:spacing w:after="30" w:line="252"/>
        <w:jc w:val="both"/>
      </w:pPr>
      <w:r>
        <w:rPr>
          <w:rFonts w:ascii="Calibri" w:cs="Calibri" w:eastAsia="Calibri" w:hAnsi="Calibri"/>
          <w:color w:val="2B3A4F"/>
          <w:sz w:val="20"/>
          <w:szCs w:val="20"/>
        </w:rPr>
        <w:t xml:space="preserve">Cut programme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pStyle w:val="ListParagraph"/>
        <w:numPr>
          <w:ilvl w:val="0"/>
          <w:numId w:val="2"/>
        </w:numPr>
        <w:spacing w:after="30" w:line="252"/>
        <w:jc w:val="both"/>
      </w:pPr>
      <w:r>
        <w:rPr>
          <w:rFonts w:ascii="Calibri" w:cs="Calibri" w:eastAsia="Calibri" w:hAnsi="Calibri"/>
          <w:color w:val="2B3A4F"/>
          <w:sz w:val="20"/>
          <w:szCs w:val="20"/>
        </w:rPr>
        <w:t xml:space="preserve">Shortened project schedules 35% by mentoring onsite and offshore engineers and running sprint retrospectives.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saving $300K a year, and decreased post-implementation defects 25% with automated pre-flight QA checklists.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and automated competitive reporting in the Order Management System, saving 25 hours of manual work a week.</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in payment discrepancies and adding over $100K a month to collections.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SAFe® 6 Product Owner / Product Manager (POPM)  •  ITIL® Foundation (EXIN)</w:t>
      </w:r>
    </w:p>
    <w:p>
      <w:pPr>
        <w:pStyle w:val="ListParagraph"/>
        <w:numPr>
          <w:ilvl w:val="0"/>
          <w:numId w:val="2"/>
        </w:numPr>
        <w:spacing w:after="30" w:line="252"/>
        <w:jc w:val="both"/>
      </w:pPr>
      <w:r>
        <w:rPr>
          <w:rFonts w:ascii="Calibri" w:cs="Calibri" w:eastAsia="Calibri" w:hAnsi="Calibri"/>
          <w:color w:val="2B3A4F"/>
          <w:sz w:val="20"/>
          <w:szCs w:val="20"/>
        </w:rPr>
        <w:t xml:space="preserve">Microsoft Certified Trainer (since 2020)  •  Azure AI Engineer Associate  •  Azure Administrator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CI/CD Associate  •  Certified Jenkins Engineer  •  PagerDuty Incident Management  •  80+ in total, listed on madhanirulandi.com</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RECOGNITION, SPEAKING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set up cloud accounts and tools on four projects: MAPLE, the Urban League Heat Pump Accelerator, the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8jwz2sh18o3jdpan0bwl" Type="http://schemas.openxmlformats.org/officeDocument/2006/relationships/hyperlink" Target="https://www.linkedin.com/in/madhanirulandi" TargetMode="External"/><Relationship Id="rIdpdd6cvkylnarqslcgsb2m"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2026-10-19T13:27:48.924Z</dcterms:created>
  <dcterms:modified xsi:type="dcterms:W3CDTF">2026-10-19T13:27:48.924Z</dcterms:modified>
</cp:coreProperties>
</file>

<file path=docProps/custom.xml><?xml version="1.0" encoding="utf-8"?>
<Properties xmlns="http://schemas.openxmlformats.org/officeDocument/2006/custom-properties" xmlns:vt="http://schemas.openxmlformats.org/officeDocument/2006/docPropsVTypes"/>
</file>