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v1.0 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08-Aug-2026 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Team Leader 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 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Project Sponsor 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Initial Project Charter </w:t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v1.1 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Future Updates</w:t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v1.2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Future Updates</w:t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Name: UNAI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Feature: Complete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Prepared By: Madhan Kumar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11-Aug-2026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UNAI Flow is a web-based AI-powered social media automation system that enables users to create content once and distribute customized versions across Instagram, Twitter/X, and WhatsApp Community.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follows a client-server architecture consisting of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React frontend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Python/FastAPI backend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Supabase services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 Customization Engine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Publishing Orchestrator</w:t>
            </w:r>
            <w:r w:rsidDel="00000000" w:rsidR="00000000" w:rsidRPr="00000000">
              <w:rPr>
                <w:rtl w:val="0"/>
              </w:rPr>
              <w:t xml:space="preserve">, and platform-specific adapters.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frontend communicates with the backend through secure HTTPS REST APIs, while the backend communicates with Supabase, Claude/Anthropic services, and external social media APIs. Platform access tokens are maintained on the server side and are not exposed to the frontend.</w:t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2. TECHNOLOGY STACK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1500"/>
        <w:gridCol w:w="3000"/>
        <w:tblGridChange w:id="0">
          <w:tblGrid>
            <w:gridCol w:w="2000"/>
            <w:gridCol w:w="2500"/>
            <w:gridCol w:w="15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3. SYSTEM COMPONENTS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3000"/>
        <w:tblGridChange w:id="0">
          <w:tblGrid>
            <w:gridCol w:w="2500"/>
            <w:gridCol w:w="35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4. DATA MODEL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5. API SPECIFICATIONS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100"/>
        <w:gridCol w:w="2700"/>
        <w:gridCol w:w="3000"/>
        <w:tblGridChange w:id="0">
          <w:tblGrid>
            <w:gridCol w:w="2200"/>
            <w:gridCol w:w="1100"/>
            <w:gridCol w:w="27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Request /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6. SECURITY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color w:val="595959"/>
        <w:sz w:val="18"/>
        <w:szCs w:val="18"/>
      </w:rPr>
      <w:pict>
        <v:shape id="WordPictureWatermark1" style="position:absolute;width:225.13779527559052pt;height:148.258740157480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g6JUM5Hq2RDNQkxL8LcNWyQMg==">CgMxLjA4AHIhMUdVenVGNTJMUGJmQkJnblp5alJUc1lCR0ltT2xiOERq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