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1B431E"/>
          <w:sz w:val="60"/>
        </w:rPr>
        <w:t>AgriVision</w:t>
      </w:r>
    </w:p>
    <w:p>
      <w:pPr>
        <w:spacing w:after="320"/>
      </w:pPr>
      <w:r>
        <w:rPr>
          <w:rFonts w:ascii="Calibri" w:hAnsi="Calibri"/>
          <w:color w:val="547808"/>
          <w:sz w:val="26"/>
        </w:rPr>
        <w:t>AI-Driven Crop Disease Prediction &amp; Precision Agronomy Advisory Platform</w:t>
        <w:br/>
        <w:t>Complete Product Specifications, System Architecture &amp; Operational Workflow Manual</w:t>
      </w:r>
    </w:p>
    <w:tbl>
      <w:tblPr>
        <w:tblW w:type="auto" w:w="0"/>
        <w:jc w:val="center"/>
        <w:tblLayout w:type="fixed"/>
        <w:tblLook w:firstColumn="1" w:firstRow="1" w:lastColumn="0" w:lastRow="0" w:noHBand="0" w:noVBand="1" w:val="04A0"/>
      </w:tblPr>
      <w:tblGrid>
        <w:gridCol w:w="4680"/>
        <w:gridCol w:w="4680"/>
      </w:tblGrid>
      <w:tr>
        <w:tc>
          <w:tcPr>
            <w:tcW w:type="dxa" w:w="2880"/>
            <w:shd w:val="clear" w:color="auto" w:fill="2D5A27"/>
            <w:tcMar>
              <w:top w:w="120" w:type="dxa"/>
              <w:bottom w:w="120" w:type="dxa"/>
              <w:left w:w="140" w:type="dxa"/>
              <w:right w:w="140" w:type="dxa"/>
            </w:tcMar>
          </w:tcPr>
          <w:p>
            <w:pPr>
              <w:jc w:val="left"/>
            </w:pPr>
            <w:r>
              <w:rPr>
                <w:rFonts w:ascii="Calibri" w:hAnsi="Calibri"/>
                <w:b/>
                <w:color w:val="FFFFFF"/>
                <w:sz w:val="20"/>
              </w:rPr>
              <w:t>Product Name</w:t>
            </w:r>
          </w:p>
        </w:tc>
        <w:tc>
          <w:tcPr>
            <w:tcW w:type="dxa" w:w="6480"/>
            <w:shd w:val="clear" w:color="auto" w:fill="2D5A27"/>
            <w:tcMar>
              <w:top w:w="120" w:type="dxa"/>
              <w:bottom w:w="120" w:type="dxa"/>
              <w:left w:w="140" w:type="dxa"/>
              <w:right w:w="140" w:type="dxa"/>
            </w:tcMar>
          </w:tcPr>
          <w:p>
            <w:pPr>
              <w:jc w:val="left"/>
            </w:pPr>
            <w:r>
              <w:rPr>
                <w:rFonts w:ascii="Calibri" w:hAnsi="Calibri"/>
                <w:b/>
                <w:color w:val="FFFFFF"/>
                <w:sz w:val="20"/>
              </w:rPr>
              <w:t>AgriVision (Full Stack Precision Ag-Platform)</w:t>
            </w:r>
          </w:p>
        </w:tc>
      </w:tr>
      <w:tr>
        <w:tc>
          <w:tcPr>
            <w:tcW w:type="dxa" w:w="2880"/>
            <w:shd w:val="clear" w:color="auto" w:fill="FFFFFF"/>
            <w:tcMar>
              <w:top w:w="100" w:type="dxa"/>
              <w:bottom w:w="100" w:type="dxa"/>
              <w:left w:w="140" w:type="dxa"/>
              <w:right w:w="140" w:type="dxa"/>
            </w:tcMar>
          </w:tcPr>
          <w:p>
            <w:r>
              <w:rPr>
                <w:rFonts w:ascii="Calibri" w:hAnsi="Calibri"/>
                <w:color w:val="22272E"/>
                <w:sz w:val="19"/>
              </w:rPr>
              <w:t>System Architecture</w:t>
            </w:r>
          </w:p>
        </w:tc>
        <w:tc>
          <w:tcPr>
            <w:tcW w:type="dxa" w:w="6480"/>
            <w:shd w:val="clear" w:color="auto" w:fill="FFFFFF"/>
            <w:tcMar>
              <w:top w:w="100" w:type="dxa"/>
              <w:bottom w:w="100" w:type="dxa"/>
              <w:left w:w="140" w:type="dxa"/>
              <w:right w:w="140" w:type="dxa"/>
            </w:tcMar>
          </w:tcPr>
          <w:p>
            <w:r>
              <w:rPr>
                <w:rFonts w:ascii="Calibri" w:hAnsi="Calibri"/>
                <w:color w:val="22272E"/>
                <w:sz w:val="19"/>
              </w:rPr>
              <w:t>MERN Stack + PyTorch ResNet-50 Deep Learning Microservice</w:t>
            </w:r>
          </w:p>
        </w:tc>
      </w:tr>
      <w:tr>
        <w:tc>
          <w:tcPr>
            <w:tcW w:type="dxa" w:w="2880"/>
            <w:shd w:val="clear" w:color="auto" w:fill="F9FAF8"/>
            <w:tcMar>
              <w:top w:w="100" w:type="dxa"/>
              <w:bottom w:w="100" w:type="dxa"/>
              <w:left w:w="140" w:type="dxa"/>
              <w:right w:w="140" w:type="dxa"/>
            </w:tcMar>
          </w:tcPr>
          <w:p>
            <w:r>
              <w:rPr>
                <w:rFonts w:ascii="Calibri" w:hAnsi="Calibri"/>
                <w:color w:val="22272E"/>
                <w:sz w:val="19"/>
              </w:rPr>
              <w:t>Author / Maintainer</w:t>
            </w:r>
          </w:p>
        </w:tc>
        <w:tc>
          <w:tcPr>
            <w:tcW w:type="dxa" w:w="6480"/>
            <w:shd w:val="clear" w:color="auto" w:fill="F9FAF8"/>
            <w:tcMar>
              <w:top w:w="100" w:type="dxa"/>
              <w:bottom w:w="100" w:type="dxa"/>
              <w:left w:w="140" w:type="dxa"/>
              <w:right w:w="140" w:type="dxa"/>
            </w:tcMar>
          </w:tcPr>
          <w:p>
            <w:r>
              <w:rPr>
                <w:rFonts w:ascii="Calibri" w:hAnsi="Calibri"/>
                <w:color w:val="22272E"/>
                <w:sz w:val="19"/>
              </w:rPr>
              <w:t>Madhan07-01 (madhan58178@gmail.com)</w:t>
            </w:r>
          </w:p>
        </w:tc>
      </w:tr>
      <w:tr>
        <w:tc>
          <w:tcPr>
            <w:tcW w:type="dxa" w:w="2880"/>
            <w:shd w:val="clear" w:color="auto" w:fill="FFFFFF"/>
            <w:tcMar>
              <w:top w:w="100" w:type="dxa"/>
              <w:bottom w:w="100" w:type="dxa"/>
              <w:left w:w="140" w:type="dxa"/>
              <w:right w:w="140" w:type="dxa"/>
            </w:tcMar>
          </w:tcPr>
          <w:p>
            <w:r>
              <w:rPr>
                <w:rFonts w:ascii="Calibri" w:hAnsi="Calibri"/>
                <w:color w:val="22272E"/>
                <w:sz w:val="19"/>
              </w:rPr>
              <w:t>Repository</w:t>
            </w:r>
          </w:p>
        </w:tc>
        <w:tc>
          <w:tcPr>
            <w:tcW w:type="dxa" w:w="6480"/>
            <w:shd w:val="clear" w:color="auto" w:fill="FFFFFF"/>
            <w:tcMar>
              <w:top w:w="100" w:type="dxa"/>
              <w:bottom w:w="100" w:type="dxa"/>
              <w:left w:w="140" w:type="dxa"/>
              <w:right w:w="140" w:type="dxa"/>
            </w:tcMar>
          </w:tcPr>
          <w:p>
            <w:r>
              <w:rPr>
                <w:rFonts w:ascii="Calibri" w:hAnsi="Calibri"/>
                <w:color w:val="22272E"/>
                <w:sz w:val="19"/>
              </w:rPr>
              <w:t>https://github.com/Madhan07-01/crop-disease-prediction.git</w:t>
            </w:r>
          </w:p>
        </w:tc>
      </w:tr>
    </w:tbl>
    <w:p>
      <w:r>
        <w:br w:type="page"/>
      </w:r>
    </w:p>
    <w:p>
      <w:pPr>
        <w:pStyle w:val="Heading1"/>
        <w:spacing w:before="360" w:after="120"/>
      </w:pPr>
      <w:r>
        <w:rPr>
          <w:rFonts w:ascii="Calibri" w:hAnsi="Calibri"/>
          <w:b/>
          <w:color w:val="1B431E"/>
          <w:sz w:val="36"/>
        </w:rPr>
        <w:t>Table of Contents</w:t>
      </w:r>
    </w:p>
    <w:p>
      <w:pPr>
        <w:pStyle w:val="ListBullet"/>
        <w:spacing w:after="60" w:line="276" w:lineRule="auto"/>
      </w:pPr>
      <w:r>
        <w:rPr>
          <w:rFonts w:ascii="Calibri" w:hAnsi="Calibri"/>
          <w:color w:val="22272E"/>
          <w:sz w:val="21"/>
        </w:rPr>
        <w:t>1. Executive Summary &amp; Product Vision</w:t>
      </w:r>
    </w:p>
    <w:p>
      <w:pPr>
        <w:pStyle w:val="ListBullet"/>
        <w:spacing w:after="60" w:line="276" w:lineRule="auto"/>
      </w:pPr>
      <w:r>
        <w:rPr>
          <w:rFonts w:ascii="Calibri" w:hAnsi="Calibri"/>
          <w:color w:val="22272E"/>
          <w:sz w:val="21"/>
        </w:rPr>
        <w:t>2. Product Capabilities &amp; Key Feature Matrix</w:t>
      </w:r>
    </w:p>
    <w:p>
      <w:pPr>
        <w:pStyle w:val="ListBullet"/>
        <w:spacing w:after="60" w:line="276" w:lineRule="auto"/>
      </w:pPr>
      <w:r>
        <w:rPr>
          <w:rFonts w:ascii="Calibri" w:hAnsi="Calibri"/>
          <w:color w:val="22272E"/>
          <w:sz w:val="21"/>
        </w:rPr>
        <w:t>3. System Architecture &amp; Component Interactions</w:t>
      </w:r>
    </w:p>
    <w:p>
      <w:pPr>
        <w:pStyle w:val="ListBullet"/>
        <w:spacing w:after="60" w:line="276" w:lineRule="auto"/>
      </w:pPr>
      <w:r>
        <w:rPr>
          <w:rFonts w:ascii="Calibri" w:hAnsi="Calibri"/>
          <w:color w:val="22272E"/>
          <w:sz w:val="21"/>
        </w:rPr>
        <w:t>4. End-to-End Operational Workflows</w:t>
      </w:r>
    </w:p>
    <w:p>
      <w:pPr>
        <w:pStyle w:val="ListBullet"/>
        <w:spacing w:after="60" w:line="276" w:lineRule="auto"/>
      </w:pPr>
      <w:r>
        <w:rPr>
          <w:rFonts w:ascii="Calibri" w:hAnsi="Calibri"/>
          <w:color w:val="22272E"/>
          <w:sz w:val="21"/>
        </w:rPr>
        <w:t>5. Deep Learning AI Microservice (ResNet-50 Pipeline)</w:t>
      </w:r>
    </w:p>
    <w:p>
      <w:pPr>
        <w:pStyle w:val="ListBullet"/>
        <w:spacing w:after="60" w:line="276" w:lineRule="auto"/>
      </w:pPr>
      <w:r>
        <w:rPr>
          <w:rFonts w:ascii="Calibri" w:hAnsi="Calibri"/>
          <w:color w:val="22272E"/>
          <w:sz w:val="21"/>
        </w:rPr>
        <w:t>6. Microclimate Integration &amp; Disease Risk Index Engine</w:t>
      </w:r>
    </w:p>
    <w:p>
      <w:pPr>
        <w:pStyle w:val="ListBullet"/>
        <w:spacing w:after="60" w:line="276" w:lineRule="auto"/>
      </w:pPr>
      <w:r>
        <w:rPr>
          <w:rFonts w:ascii="Calibri" w:hAnsi="Calibri"/>
          <w:color w:val="22272E"/>
          <w:sz w:val="21"/>
        </w:rPr>
        <w:t>7. Agronomic Recommendation &amp; Dilution Calculator</w:t>
      </w:r>
    </w:p>
    <w:p>
      <w:pPr>
        <w:pStyle w:val="ListBullet"/>
        <w:spacing w:after="60" w:line="276" w:lineRule="auto"/>
      </w:pPr>
      <w:r>
        <w:rPr>
          <w:rFonts w:ascii="Calibri" w:hAnsi="Calibri"/>
          <w:color w:val="22272E"/>
          <w:sz w:val="21"/>
        </w:rPr>
        <w:t>8. Role-Based Access Control &amp; User Workspaces</w:t>
      </w:r>
    </w:p>
    <w:p>
      <w:pPr>
        <w:pStyle w:val="ListBullet"/>
        <w:spacing w:after="60" w:line="276" w:lineRule="auto"/>
      </w:pPr>
      <w:r>
        <w:rPr>
          <w:rFonts w:ascii="Calibri" w:hAnsi="Calibri"/>
          <w:color w:val="22272E"/>
          <w:sz w:val="21"/>
        </w:rPr>
        <w:t>9. MongoDB Database Schemas &amp; Data Model Specifications</w:t>
      </w:r>
    </w:p>
    <w:p>
      <w:pPr>
        <w:pStyle w:val="ListBullet"/>
        <w:spacing w:after="60" w:line="276" w:lineRule="auto"/>
      </w:pPr>
      <w:r>
        <w:rPr>
          <w:rFonts w:ascii="Calibri" w:hAnsi="Calibri"/>
          <w:color w:val="22272E"/>
          <w:sz w:val="21"/>
        </w:rPr>
        <w:t>10. REST API Specification &amp; Integration Contracts</w:t>
      </w:r>
    </w:p>
    <w:p>
      <w:pPr>
        <w:pStyle w:val="ListBullet"/>
        <w:spacing w:after="60" w:line="276" w:lineRule="auto"/>
      </w:pPr>
      <w:r>
        <w:rPr>
          <w:rFonts w:ascii="Calibri" w:hAnsi="Calibri"/>
          <w:color w:val="22272E"/>
          <w:sz w:val="21"/>
        </w:rPr>
        <w:t>11. Unified Modeling Language (UML) Diagrams</w:t>
      </w:r>
    </w:p>
    <w:p>
      <w:pPr>
        <w:pStyle w:val="ListBullet"/>
        <w:spacing w:after="60" w:line="276" w:lineRule="auto"/>
      </w:pPr>
      <w:r>
        <w:rPr>
          <w:rFonts w:ascii="Calibri" w:hAnsi="Calibri"/>
          <w:color w:val="22272E"/>
          <w:sz w:val="21"/>
        </w:rPr>
        <w:t>12. Security, Privacy &amp; Compliance Architecture</w:t>
      </w:r>
    </w:p>
    <w:p>
      <w:pPr>
        <w:pStyle w:val="ListBullet"/>
        <w:spacing w:after="60" w:line="276" w:lineRule="auto"/>
      </w:pPr>
      <w:r>
        <w:rPr>
          <w:rFonts w:ascii="Calibri" w:hAnsi="Calibri"/>
          <w:color w:val="22272E"/>
          <w:sz w:val="21"/>
        </w:rPr>
        <w:t>13. Setup, Deployment &amp; Production Runbook</w:t>
      </w:r>
    </w:p>
    <w:p>
      <w:pPr>
        <w:spacing w:after="240"/>
      </w:pPr>
    </w:p>
    <w:p>
      <w:pPr>
        <w:pStyle w:val="Heading1"/>
        <w:spacing w:before="360" w:after="120"/>
      </w:pPr>
      <w:r>
        <w:rPr>
          <w:rFonts w:ascii="Calibri" w:hAnsi="Calibri"/>
          <w:b/>
          <w:color w:val="1B431E"/>
          <w:sz w:val="36"/>
        </w:rPr>
        <w:t>1. Executive Summary &amp; Product Vision</w:t>
      </w:r>
    </w:p>
    <w:p>
      <w:pPr>
        <w:spacing w:after="120" w:line="276" w:lineRule="auto"/>
      </w:pPr>
      <w:r>
        <w:rPr>
          <w:rFonts w:ascii="Calibri" w:hAnsi="Calibri"/>
          <w:i w:val="0"/>
          <w:color w:val="22272E"/>
          <w:sz w:val="21"/>
        </w:rPr>
        <w:t>Global agriculture experiences an estimated 20% to 40% annual yield loss caused by plant pests and foliar pathogen infections. For smallholder and commercial farmers, traditional diagnosis relies upon sporadic physical visits by agricultural extension officers, leading to critical diagnosis delays, indiscriminate chemical application, ground-water contamination, and severe economic distress.</w:t>
      </w:r>
    </w:p>
    <w:p>
      <w:pPr>
        <w:spacing w:after="120" w:line="276" w:lineRule="auto"/>
      </w:pPr>
      <w:r>
        <w:rPr>
          <w:rFonts w:ascii="Calibri" w:hAnsi="Calibri"/>
          <w:b/>
          <w:color w:val="1B431E"/>
          <w:sz w:val="21"/>
        </w:rPr>
        <w:t xml:space="preserve">Core Mission: </w:t>
      </w:r>
      <w:r>
        <w:rPr>
          <w:rFonts w:ascii="Calibri" w:hAnsi="Calibri"/>
          <w:i w:val="0"/>
          <w:color w:val="22272E"/>
          <w:sz w:val="21"/>
        </w:rPr>
        <w:t>AgriVision addresses this systemic bottleneck by delivering a decentralized, mobile-accessible, and highly intelligent precision agriculture platform. By synthesizing computer vision diagnostics (ResNet-50 CNN), live hyper-local weather intelligence (Open-Meteo API), and structured agronomic protocols, the application bridges the gap between field-level detection and immediate remedial action.</w:t>
      </w:r>
    </w:p>
    <w:tbl>
      <w:tblPr>
        <w:tblW w:type="auto" w:w="0"/>
        <w:jc w:val="center"/>
        <w:tblLayout w:type="fixed"/>
        <w:tblLook w:firstColumn="1" w:firstRow="1" w:lastColumn="0" w:lastRow="0" w:noHBand="0" w:noVBand="1" w:val="04A0"/>
      </w:tblPr>
      <w:tblGrid>
        <w:gridCol w:w="9360"/>
      </w:tblGrid>
      <w:tr>
        <w:tc>
          <w:tcPr>
            <w:tcW w:type="dxa" w:w="9360"/>
            <w:shd w:val="clear" w:color="auto" w:fill="EBF3E8"/>
            <w:tcMar>
              <w:top w:w="140" w:type="dxa"/>
              <w:bottom w:w="140" w:type="dxa"/>
              <w:left w:w="200" w:type="dxa"/>
              <w:right w:w="200" w:type="dxa"/>
            </w:tcMar>
          </w:tcPr>
          <w:p>
            <w:pPr>
              <w:spacing w:after="40"/>
            </w:pPr>
            <w:r>
              <w:rPr>
                <w:rFonts w:ascii="Calibri" w:hAnsi="Calibri"/>
                <w:b/>
                <w:color w:val="1B431E"/>
                <w:sz w:val="20"/>
              </w:rPr>
              <w:t xml:space="preserve">📌 PRODUCT PHILOSOPHY: </w:t>
            </w:r>
            <w:r>
              <w:rPr>
                <w:rFonts w:ascii="Calibri" w:hAnsi="Calibri"/>
                <w:color w:val="22272E"/>
                <w:sz w:val="19"/>
              </w:rPr>
              <w:t>AgriVision is architected around the 'Actionable Intelligence' principle. Predicting a pathogen label alone is insufficient; farmers require immediate organic and chemical dilution steps, localized spray windows based on precipitation/wind speeds, and an escalation channel to certified agronomists.</w:t>
            </w:r>
          </w:p>
        </w:tc>
      </w:tr>
    </w:tbl>
    <w:p>
      <w:pPr>
        <w:spacing w:after="120"/>
      </w:pPr>
    </w:p>
    <w:p>
      <w:pPr>
        <w:pStyle w:val="Heading1"/>
        <w:spacing w:before="360" w:after="120"/>
      </w:pPr>
      <w:r>
        <w:rPr>
          <w:rFonts w:ascii="Calibri" w:hAnsi="Calibri"/>
          <w:b/>
          <w:color w:val="1B431E"/>
          <w:sz w:val="36"/>
        </w:rPr>
        <w:t>2. Product Capabilities &amp; Key Feature Matrix</w:t>
      </w:r>
    </w:p>
    <w:tbl>
      <w:tblPr>
        <w:tblW w:type="auto" w:w="0"/>
        <w:jc w:val="center"/>
        <w:tblLayout w:type="fixed"/>
        <w:tblLook w:firstColumn="1" w:firstRow="1" w:lastColumn="0" w:lastRow="0" w:noHBand="0" w:noVBand="1" w:val="04A0"/>
      </w:tblPr>
      <w:tblGrid>
        <w:gridCol w:w="3120"/>
        <w:gridCol w:w="3120"/>
        <w:gridCol w:w="3120"/>
      </w:tblGrid>
      <w:tr>
        <w:tc>
          <w:tcPr>
            <w:tcW w:type="dxa" w:w="2880"/>
            <w:shd w:val="clear" w:color="auto" w:fill="1B431E"/>
            <w:tcMar>
              <w:top w:w="120" w:type="dxa"/>
              <w:bottom w:w="120" w:type="dxa"/>
              <w:left w:w="140" w:type="dxa"/>
              <w:right w:w="140" w:type="dxa"/>
            </w:tcMar>
          </w:tcPr>
          <w:p>
            <w:pPr>
              <w:jc w:val="left"/>
            </w:pPr>
            <w:r>
              <w:rPr>
                <w:rFonts w:ascii="Calibri" w:hAnsi="Calibri"/>
                <w:b/>
                <w:color w:val="FFFFFF"/>
                <w:sz w:val="20"/>
              </w:rPr>
              <w:t>Feature Module</w:t>
            </w:r>
          </w:p>
        </w:tc>
        <w:tc>
          <w:tcPr>
            <w:tcW w:type="dxa" w:w="2592"/>
            <w:shd w:val="clear" w:color="auto" w:fill="1B431E"/>
            <w:tcMar>
              <w:top w:w="120" w:type="dxa"/>
              <w:bottom w:w="120" w:type="dxa"/>
              <w:left w:w="140" w:type="dxa"/>
              <w:right w:w="140" w:type="dxa"/>
            </w:tcMar>
          </w:tcPr>
          <w:p>
            <w:pPr>
              <w:jc w:val="left"/>
            </w:pPr>
            <w:r>
              <w:rPr>
                <w:rFonts w:ascii="Calibri" w:hAnsi="Calibri"/>
                <w:b/>
                <w:color w:val="FFFFFF"/>
                <w:sz w:val="20"/>
              </w:rPr>
              <w:t>Target Persona</w:t>
            </w:r>
          </w:p>
        </w:tc>
        <w:tc>
          <w:tcPr>
            <w:tcW w:type="dxa" w:w="3888"/>
            <w:shd w:val="clear" w:color="auto" w:fill="1B431E"/>
            <w:tcMar>
              <w:top w:w="120" w:type="dxa"/>
              <w:bottom w:w="120" w:type="dxa"/>
              <w:left w:w="140" w:type="dxa"/>
              <w:right w:w="140" w:type="dxa"/>
            </w:tcMar>
          </w:tcPr>
          <w:p>
            <w:pPr>
              <w:jc w:val="left"/>
            </w:pPr>
            <w:r>
              <w:rPr>
                <w:rFonts w:ascii="Calibri" w:hAnsi="Calibri"/>
                <w:b/>
                <w:color w:val="FFFFFF"/>
                <w:sz w:val="20"/>
              </w:rPr>
              <w:t>Business / Agronomic Value</w:t>
            </w:r>
          </w:p>
        </w:tc>
      </w:tr>
      <w:tr>
        <w:tc>
          <w:tcPr>
            <w:tcW w:type="dxa" w:w="2880"/>
            <w:shd w:val="clear" w:color="auto" w:fill="FFFFFF"/>
            <w:tcMar>
              <w:top w:w="100" w:type="dxa"/>
              <w:bottom w:w="100" w:type="dxa"/>
              <w:left w:w="140" w:type="dxa"/>
              <w:right w:w="140" w:type="dxa"/>
            </w:tcMar>
          </w:tcPr>
          <w:p>
            <w:r>
              <w:rPr>
                <w:rFonts w:ascii="Calibri" w:hAnsi="Calibri"/>
                <w:color w:val="22272E"/>
                <w:sz w:val="19"/>
              </w:rPr>
              <w:t>AI Foliar Scanner</w:t>
            </w:r>
          </w:p>
        </w:tc>
        <w:tc>
          <w:tcPr>
            <w:tcW w:type="dxa" w:w="2592"/>
            <w:shd w:val="clear" w:color="auto" w:fill="FFFFFF"/>
            <w:tcMar>
              <w:top w:w="100" w:type="dxa"/>
              <w:bottom w:w="100" w:type="dxa"/>
              <w:left w:w="140" w:type="dxa"/>
              <w:right w:w="140" w:type="dxa"/>
            </w:tcMar>
          </w:tcPr>
          <w:p>
            <w:r>
              <w:rPr>
                <w:rFonts w:ascii="Calibri" w:hAnsi="Calibri"/>
                <w:color w:val="22272E"/>
                <w:sz w:val="19"/>
              </w:rPr>
              <w:t>Farmer / Field Officer</w:t>
            </w:r>
          </w:p>
        </w:tc>
        <w:tc>
          <w:tcPr>
            <w:tcW w:type="dxa" w:w="3888"/>
            <w:shd w:val="clear" w:color="auto" w:fill="FFFFFF"/>
            <w:tcMar>
              <w:top w:w="100" w:type="dxa"/>
              <w:bottom w:w="100" w:type="dxa"/>
              <w:left w:w="140" w:type="dxa"/>
              <w:right w:w="140" w:type="dxa"/>
            </w:tcMar>
          </w:tcPr>
          <w:p>
            <w:r>
              <w:rPr>
                <w:rFonts w:ascii="Calibri" w:hAnsi="Calibri"/>
                <w:color w:val="22272E"/>
                <w:sz w:val="19"/>
              </w:rPr>
              <w:t>Instant pathogen identification across 38 crop condition classes with confidence score in &lt; 3s.</w:t>
            </w:r>
          </w:p>
        </w:tc>
      </w:tr>
      <w:tr>
        <w:tc>
          <w:tcPr>
            <w:tcW w:type="dxa" w:w="2880"/>
            <w:shd w:val="clear" w:color="auto" w:fill="F4F6F4"/>
            <w:tcMar>
              <w:top w:w="100" w:type="dxa"/>
              <w:bottom w:w="100" w:type="dxa"/>
              <w:left w:w="140" w:type="dxa"/>
              <w:right w:w="140" w:type="dxa"/>
            </w:tcMar>
          </w:tcPr>
          <w:p>
            <w:r>
              <w:rPr>
                <w:rFonts w:ascii="Calibri" w:hAnsi="Calibri"/>
                <w:color w:val="22272E"/>
                <w:sz w:val="19"/>
              </w:rPr>
              <w:t>Multi-Modal Camera Intake</w:t>
            </w:r>
          </w:p>
        </w:tc>
        <w:tc>
          <w:tcPr>
            <w:tcW w:type="dxa" w:w="2592"/>
            <w:shd w:val="clear" w:color="auto" w:fill="F4F6F4"/>
            <w:tcMar>
              <w:top w:w="100" w:type="dxa"/>
              <w:bottom w:w="100" w:type="dxa"/>
              <w:left w:w="140" w:type="dxa"/>
              <w:right w:w="140" w:type="dxa"/>
            </w:tcMar>
          </w:tcPr>
          <w:p>
            <w:r>
              <w:rPr>
                <w:rFonts w:ascii="Calibri" w:hAnsi="Calibri"/>
                <w:color w:val="22272E"/>
                <w:sz w:val="19"/>
              </w:rPr>
              <w:t>Mobile / Tablet Users</w:t>
            </w:r>
          </w:p>
        </w:tc>
        <w:tc>
          <w:tcPr>
            <w:tcW w:type="dxa" w:w="3888"/>
            <w:shd w:val="clear" w:color="auto" w:fill="F4F6F4"/>
            <w:tcMar>
              <w:top w:w="100" w:type="dxa"/>
              <w:bottom w:w="100" w:type="dxa"/>
              <w:left w:w="140" w:type="dxa"/>
              <w:right w:w="140" w:type="dxa"/>
            </w:tcMar>
          </w:tcPr>
          <w:p>
            <w:r>
              <w:rPr>
                <w:rFonts w:ascii="Calibri" w:hAnsi="Calibri"/>
                <w:color w:val="22272E"/>
                <w:sz w:val="19"/>
              </w:rPr>
              <w:t>Native rear camera triggering (capture='environment') and desktop WebRTC live viewfinder.</w:t>
            </w:r>
          </w:p>
        </w:tc>
      </w:tr>
      <w:tr>
        <w:tc>
          <w:tcPr>
            <w:tcW w:type="dxa" w:w="2880"/>
            <w:shd w:val="clear" w:color="auto" w:fill="FFFFFF"/>
            <w:tcMar>
              <w:top w:w="100" w:type="dxa"/>
              <w:bottom w:w="100" w:type="dxa"/>
              <w:left w:w="140" w:type="dxa"/>
              <w:right w:w="140" w:type="dxa"/>
            </w:tcMar>
          </w:tcPr>
          <w:p>
            <w:r>
              <w:rPr>
                <w:rFonts w:ascii="Calibri" w:hAnsi="Calibri"/>
                <w:color w:val="22272E"/>
                <w:sz w:val="19"/>
              </w:rPr>
              <w:t>Microclimate Weather &amp; Risk</w:t>
            </w:r>
          </w:p>
        </w:tc>
        <w:tc>
          <w:tcPr>
            <w:tcW w:type="dxa" w:w="2592"/>
            <w:shd w:val="clear" w:color="auto" w:fill="FFFFFF"/>
            <w:tcMar>
              <w:top w:w="100" w:type="dxa"/>
              <w:bottom w:w="100" w:type="dxa"/>
              <w:left w:w="140" w:type="dxa"/>
              <w:right w:w="140" w:type="dxa"/>
            </w:tcMar>
          </w:tcPr>
          <w:p>
            <w:r>
              <w:rPr>
                <w:rFonts w:ascii="Calibri" w:hAnsi="Calibri"/>
                <w:color w:val="22272E"/>
                <w:sz w:val="19"/>
              </w:rPr>
              <w:t>All Personas</w:t>
            </w:r>
          </w:p>
        </w:tc>
        <w:tc>
          <w:tcPr>
            <w:tcW w:type="dxa" w:w="3888"/>
            <w:shd w:val="clear" w:color="auto" w:fill="FFFFFF"/>
            <w:tcMar>
              <w:top w:w="100" w:type="dxa"/>
              <w:bottom w:w="100" w:type="dxa"/>
              <w:left w:w="140" w:type="dxa"/>
              <w:right w:w="140" w:type="dxa"/>
            </w:tcMar>
          </w:tcPr>
          <w:p>
            <w:r>
              <w:rPr>
                <w:rFonts w:ascii="Calibri" w:hAnsi="Calibri"/>
                <w:color w:val="22272E"/>
                <w:sz w:val="19"/>
              </w:rPr>
              <w:t>Live temperature, humidity, precipitation forecast, and automated fungal spore risk score.</w:t>
            </w:r>
          </w:p>
        </w:tc>
      </w:tr>
      <w:tr>
        <w:tc>
          <w:tcPr>
            <w:tcW w:type="dxa" w:w="2880"/>
            <w:shd w:val="clear" w:color="auto" w:fill="F4F6F4"/>
            <w:tcMar>
              <w:top w:w="100" w:type="dxa"/>
              <w:bottom w:w="100" w:type="dxa"/>
              <w:left w:w="140" w:type="dxa"/>
              <w:right w:w="140" w:type="dxa"/>
            </w:tcMar>
          </w:tcPr>
          <w:p>
            <w:r>
              <w:rPr>
                <w:rFonts w:ascii="Calibri" w:hAnsi="Calibri"/>
                <w:color w:val="22272E"/>
                <w:sz w:val="19"/>
              </w:rPr>
              <w:t>Treatment &amp; Dilution Calculator</w:t>
            </w:r>
          </w:p>
        </w:tc>
        <w:tc>
          <w:tcPr>
            <w:tcW w:type="dxa" w:w="2592"/>
            <w:shd w:val="clear" w:color="auto" w:fill="F4F6F4"/>
            <w:tcMar>
              <w:top w:w="100" w:type="dxa"/>
              <w:bottom w:w="100" w:type="dxa"/>
              <w:left w:w="140" w:type="dxa"/>
              <w:right w:w="140" w:type="dxa"/>
            </w:tcMar>
          </w:tcPr>
          <w:p>
            <w:r>
              <w:rPr>
                <w:rFonts w:ascii="Calibri" w:hAnsi="Calibri"/>
                <w:color w:val="22272E"/>
                <w:sz w:val="19"/>
              </w:rPr>
              <w:t>Farmer / Extension Team</w:t>
            </w:r>
          </w:p>
        </w:tc>
        <w:tc>
          <w:tcPr>
            <w:tcW w:type="dxa" w:w="3888"/>
            <w:shd w:val="clear" w:color="auto" w:fill="F4F6F4"/>
            <w:tcMar>
              <w:top w:w="100" w:type="dxa"/>
              <w:bottom w:w="100" w:type="dxa"/>
              <w:left w:w="140" w:type="dxa"/>
              <w:right w:w="140" w:type="dxa"/>
            </w:tcMar>
          </w:tcPr>
          <w:p>
            <w:r>
              <w:rPr>
                <w:rFonts w:ascii="Calibri" w:hAnsi="Calibri"/>
                <w:color w:val="22272E"/>
                <w:sz w:val="19"/>
              </w:rPr>
              <w:t>Precision chemical and bio-agent dilution ratios tailored to farm plot acreage and tank volume.</w:t>
            </w:r>
          </w:p>
        </w:tc>
      </w:tr>
      <w:tr>
        <w:tc>
          <w:tcPr>
            <w:tcW w:type="dxa" w:w="2880"/>
            <w:shd w:val="clear" w:color="auto" w:fill="FFFFFF"/>
            <w:tcMar>
              <w:top w:w="100" w:type="dxa"/>
              <w:bottom w:w="100" w:type="dxa"/>
              <w:left w:w="140" w:type="dxa"/>
              <w:right w:w="140" w:type="dxa"/>
            </w:tcMar>
          </w:tcPr>
          <w:p>
            <w:r>
              <w:rPr>
                <w:rFonts w:ascii="Calibri" w:hAnsi="Calibri"/>
                <w:color w:val="22272E"/>
                <w:sz w:val="19"/>
              </w:rPr>
              <w:t>Role Workspaces (RBAC)</w:t>
            </w:r>
          </w:p>
        </w:tc>
        <w:tc>
          <w:tcPr>
            <w:tcW w:type="dxa" w:w="2592"/>
            <w:shd w:val="clear" w:color="auto" w:fill="FFFFFF"/>
            <w:tcMar>
              <w:top w:w="100" w:type="dxa"/>
              <w:bottom w:w="100" w:type="dxa"/>
              <w:left w:w="140" w:type="dxa"/>
              <w:right w:w="140" w:type="dxa"/>
            </w:tcMar>
          </w:tcPr>
          <w:p>
            <w:r>
              <w:rPr>
                <w:rFonts w:ascii="Calibri" w:hAnsi="Calibri"/>
                <w:color w:val="22272E"/>
                <w:sz w:val="19"/>
              </w:rPr>
              <w:t>Farmer, Officer, Admin</w:t>
            </w:r>
          </w:p>
        </w:tc>
        <w:tc>
          <w:tcPr>
            <w:tcW w:type="dxa" w:w="3888"/>
            <w:shd w:val="clear" w:color="auto" w:fill="FFFFFF"/>
            <w:tcMar>
              <w:top w:w="100" w:type="dxa"/>
              <w:bottom w:w="100" w:type="dxa"/>
              <w:left w:w="140" w:type="dxa"/>
              <w:right w:w="140" w:type="dxa"/>
            </w:tcMar>
          </w:tcPr>
          <w:p>
            <w:r>
              <w:rPr>
                <w:rFonts w:ascii="Calibri" w:hAnsi="Calibri"/>
                <w:color w:val="22272E"/>
                <w:sz w:val="19"/>
              </w:rPr>
              <w:t>Segregated portals for self-service diagnostics, field inspections, and regional outbreak surveillance.</w:t>
            </w:r>
          </w:p>
        </w:tc>
      </w:tr>
      <w:tr>
        <w:tc>
          <w:tcPr>
            <w:tcW w:type="dxa" w:w="2880"/>
            <w:shd w:val="clear" w:color="auto" w:fill="F4F6F4"/>
            <w:tcMar>
              <w:top w:w="100" w:type="dxa"/>
              <w:bottom w:w="100" w:type="dxa"/>
              <w:left w:w="140" w:type="dxa"/>
              <w:right w:w="140" w:type="dxa"/>
            </w:tcMar>
          </w:tcPr>
          <w:p>
            <w:r>
              <w:rPr>
                <w:rFonts w:ascii="Calibri" w:hAnsi="Calibri"/>
                <w:color w:val="22272E"/>
                <w:sz w:val="19"/>
              </w:rPr>
              <w:t>PDF Report &amp; Export</w:t>
            </w:r>
          </w:p>
        </w:tc>
        <w:tc>
          <w:tcPr>
            <w:tcW w:type="dxa" w:w="2592"/>
            <w:shd w:val="clear" w:color="auto" w:fill="F4F6F4"/>
            <w:tcMar>
              <w:top w:w="100" w:type="dxa"/>
              <w:bottom w:w="100" w:type="dxa"/>
              <w:left w:w="140" w:type="dxa"/>
              <w:right w:w="140" w:type="dxa"/>
            </w:tcMar>
          </w:tcPr>
          <w:p>
            <w:r>
              <w:rPr>
                <w:rFonts w:ascii="Calibri" w:hAnsi="Calibri"/>
                <w:color w:val="22272E"/>
                <w:sz w:val="19"/>
              </w:rPr>
              <w:t>Farmer / Bank / Insurer</w:t>
            </w:r>
          </w:p>
        </w:tc>
        <w:tc>
          <w:tcPr>
            <w:tcW w:type="dxa" w:w="3888"/>
            <w:shd w:val="clear" w:color="auto" w:fill="F4F6F4"/>
            <w:tcMar>
              <w:top w:w="100" w:type="dxa"/>
              <w:bottom w:w="100" w:type="dxa"/>
              <w:left w:w="140" w:type="dxa"/>
              <w:right w:w="140" w:type="dxa"/>
            </w:tcMar>
          </w:tcPr>
          <w:p>
            <w:r>
              <w:rPr>
                <w:rFonts w:ascii="Calibri" w:hAnsi="Calibri"/>
                <w:color w:val="22272E"/>
                <w:sz w:val="19"/>
              </w:rPr>
              <w:t>Exportable official diagnostic records supporting insurance claim verification and treatment audits.</w:t>
            </w:r>
          </w:p>
        </w:tc>
      </w:tr>
    </w:tbl>
    <w:p>
      <w:pPr>
        <w:pStyle w:val="Heading1"/>
        <w:spacing w:before="360" w:after="120"/>
      </w:pPr>
      <w:r>
        <w:rPr>
          <w:rFonts w:ascii="Calibri" w:hAnsi="Calibri"/>
          <w:b/>
          <w:color w:val="1B431E"/>
          <w:sz w:val="36"/>
        </w:rPr>
        <w:t>3. System Architecture &amp; Component Interactions</w:t>
      </w:r>
    </w:p>
    <w:p>
      <w:pPr>
        <w:spacing w:after="120" w:line="276" w:lineRule="auto"/>
      </w:pPr>
      <w:r>
        <w:rPr>
          <w:rFonts w:ascii="Calibri" w:hAnsi="Calibri"/>
          <w:i w:val="0"/>
          <w:color w:val="22272E"/>
          <w:sz w:val="21"/>
        </w:rPr>
        <w:t>AgriVision utilizes an enterprise-grade decoupled microservice architecture designed to prevent CPU-intensive AI inference from blocking user interface interactions and database operations. The stack consists of four distinct operational tiers:</w:t>
      </w:r>
    </w:p>
    <w:p>
      <w:pPr>
        <w:pStyle w:val="ListBullet"/>
        <w:spacing w:after="60" w:line="276" w:lineRule="auto"/>
      </w:pPr>
      <w:r>
        <w:rPr>
          <w:rFonts w:ascii="Calibri" w:hAnsi="Calibri"/>
          <w:b/>
          <w:color w:val="1B431E"/>
          <w:sz w:val="21"/>
        </w:rPr>
        <w:t xml:space="preserve">1. Client Tier (Frontend): </w:t>
      </w:r>
      <w:r>
        <w:rPr>
          <w:rFonts w:ascii="Calibri" w:hAnsi="Calibri"/>
          <w:color w:val="22272E"/>
          <w:sz w:val="21"/>
        </w:rPr>
        <w:t>Single Page Application (SPA) built with React 18, Vite, and Tailwind CSS. Provides instant UI reactivity, offline fallback caching, interactive Leaf Cam viewfinder, and role-routed workspaces.</w:t>
      </w:r>
    </w:p>
    <w:p>
      <w:pPr>
        <w:pStyle w:val="ListBullet"/>
        <w:spacing w:after="60" w:line="276" w:lineRule="auto"/>
      </w:pPr>
      <w:r>
        <w:rPr>
          <w:rFonts w:ascii="Calibri" w:hAnsi="Calibri"/>
          <w:b/>
          <w:color w:val="1B431E"/>
          <w:sz w:val="21"/>
        </w:rPr>
        <w:t xml:space="preserve">2. API Gateway Tier (Backend): </w:t>
      </w:r>
      <w:r>
        <w:rPr>
          <w:rFonts w:ascii="Calibri" w:hAnsi="Calibri"/>
          <w:color w:val="22272E"/>
          <w:sz w:val="21"/>
        </w:rPr>
        <w:t>Node.js (v20+) and Express.js REST API gateway running on Port 4000. Handles JWT authentication, RBAC middleware, Multer image parsing, weather proxying, and Mongoose database operations.</w:t>
      </w:r>
    </w:p>
    <w:p>
      <w:pPr>
        <w:pStyle w:val="ListBullet"/>
        <w:spacing w:after="60" w:line="276" w:lineRule="auto"/>
      </w:pPr>
      <w:r>
        <w:rPr>
          <w:rFonts w:ascii="Calibri" w:hAnsi="Calibri"/>
          <w:b/>
          <w:color w:val="1B431E"/>
          <w:sz w:val="21"/>
        </w:rPr>
        <w:t xml:space="preserve">3. AI Diagnostic Tier (Microservice): </w:t>
      </w:r>
      <w:r>
        <w:rPr>
          <w:rFonts w:ascii="Calibri" w:hAnsi="Calibri"/>
          <w:color w:val="22272E"/>
          <w:sz w:val="21"/>
        </w:rPr>
        <w:t>Isolated Flask service running on Port 5000. Houses the PyTorch ResNet-50 neural network weights (98.6 MB), executing high-throughput tensor transformations and returning top-1 class probabilities.</w:t>
      </w:r>
    </w:p>
    <w:p>
      <w:pPr>
        <w:pStyle w:val="ListBullet"/>
        <w:spacing w:after="60" w:line="276" w:lineRule="auto"/>
      </w:pPr>
      <w:r>
        <w:rPr>
          <w:rFonts w:ascii="Calibri" w:hAnsi="Calibri"/>
          <w:b/>
          <w:color w:val="1B431E"/>
          <w:sz w:val="21"/>
        </w:rPr>
        <w:t xml:space="preserve">4. Persistence Tier (Database): </w:t>
      </w:r>
      <w:r>
        <w:rPr>
          <w:rFonts w:ascii="Calibri" w:hAnsi="Calibri"/>
          <w:color w:val="22272E"/>
          <w:sz w:val="21"/>
        </w:rPr>
        <w:t>MongoDB document database supporting document storage for Users, Prediction Scans, and Curated Disease Treatments. Includes an automatic fault-tolerant in-memory fallback during development.</w:t>
      </w:r>
    </w:p>
    <w:tbl>
      <w:tblPr>
        <w:tblW w:type="auto" w:w="0"/>
        <w:jc w:val="center"/>
        <w:tblLayout w:type="fixed"/>
        <w:tblLook w:firstColumn="1" w:firstRow="1" w:lastColumn="0" w:lastRow="0" w:noHBand="0" w:noVBand="1" w:val="04A0"/>
      </w:tblPr>
      <w:tblGrid>
        <w:gridCol w:w="9360"/>
      </w:tblGrid>
      <w:tr>
        <w:tc>
          <w:tcPr>
            <w:tcW w:type="dxa" w:w="9360"/>
            <w:shd w:val="clear" w:color="auto" w:fill="EBF3E8"/>
            <w:tcMar>
              <w:top w:w="140" w:type="dxa"/>
              <w:bottom w:w="140" w:type="dxa"/>
              <w:left w:w="200" w:type="dxa"/>
              <w:right w:w="200" w:type="dxa"/>
            </w:tcMar>
          </w:tcPr>
          <w:p>
            <w:pPr>
              <w:spacing w:after="40"/>
            </w:pPr>
            <w:r>
              <w:rPr>
                <w:rFonts w:ascii="Calibri" w:hAnsi="Calibri"/>
                <w:b/>
                <w:color w:val="1B431E"/>
                <w:sz w:val="20"/>
              </w:rPr>
              <w:t xml:space="preserve">📌 EVENT-LOOP ISOLATION ARCHITECTURE: </w:t>
            </w:r>
            <w:r>
              <w:rPr>
                <w:rFonts w:ascii="Calibri" w:hAnsi="Calibri"/>
                <w:color w:val="22272E"/>
                <w:sz w:val="19"/>
              </w:rPr>
              <w:t>The Node.js API Gateway proxies raw multipart image streams to the Flask AI service via internal HTTP pipelines. This completely shields the Node.js event-loop from synchronous tensor computations, maintaining sub-millisecond API response latency for dashboard queries.</w:t>
            </w:r>
          </w:p>
        </w:tc>
      </w:tr>
    </w:tbl>
    <w:p>
      <w:pPr>
        <w:spacing w:after="120"/>
      </w:pPr>
    </w:p>
    <w:p>
      <w:pPr>
        <w:pStyle w:val="Heading1"/>
        <w:spacing w:before="360" w:after="120"/>
      </w:pPr>
      <w:r>
        <w:rPr>
          <w:rFonts w:ascii="Calibri" w:hAnsi="Calibri"/>
          <w:b/>
          <w:color w:val="1B431E"/>
          <w:sz w:val="36"/>
        </w:rPr>
        <w:t>4. End-to-End Operational Workflows</w:t>
      </w:r>
    </w:p>
    <w:p>
      <w:pPr>
        <w:pStyle w:val="Heading2"/>
        <w:spacing w:before="280" w:after="80"/>
      </w:pPr>
      <w:r>
        <w:rPr>
          <w:rFonts w:ascii="Calibri" w:hAnsi="Calibri"/>
          <w:b/>
          <w:color w:val="547808"/>
          <w:sz w:val="28"/>
        </w:rPr>
        <w:t>Workflow A: Farmer Field Diagnostic &amp; Treatment Journey</w:t>
      </w:r>
    </w:p>
    <w:p>
      <w:pPr>
        <w:pStyle w:val="ListBullet"/>
        <w:spacing w:after="60" w:line="276" w:lineRule="auto"/>
      </w:pPr>
      <w:r>
        <w:rPr>
          <w:rFonts w:ascii="Calibri" w:hAnsi="Calibri"/>
          <w:color w:val="22272E"/>
          <w:sz w:val="21"/>
        </w:rPr>
        <w:t>Farmer authenticates via JWT session or accesses 1-click evaluation profile.</w:t>
      </w:r>
    </w:p>
    <w:p>
      <w:pPr>
        <w:pStyle w:val="ListBullet"/>
        <w:spacing w:after="60" w:line="276" w:lineRule="auto"/>
      </w:pPr>
      <w:r>
        <w:rPr>
          <w:rFonts w:ascii="Calibri" w:hAnsi="Calibri"/>
          <w:color w:val="22272E"/>
          <w:sz w:val="21"/>
        </w:rPr>
        <w:t>The system checks geolocation via HTML5 Geolocation API; upon fallback, district presets (e.g. Chennai, Coimbatore, Bengaluru) populate microclimate data.</w:t>
      </w:r>
    </w:p>
    <w:p>
      <w:pPr>
        <w:pStyle w:val="ListBullet"/>
        <w:spacing w:after="60" w:line="276" w:lineRule="auto"/>
      </w:pPr>
      <w:r>
        <w:rPr>
          <w:rFonts w:ascii="Calibri" w:hAnsi="Calibri"/>
          <w:color w:val="22272E"/>
          <w:sz w:val="21"/>
        </w:rPr>
        <w:t>Farmer selects crop species (e.g., Tomato), specifies plot location, and captures foliage image via mobile rear camera or WebRTC viewfinder.</w:t>
      </w:r>
    </w:p>
    <w:p>
      <w:pPr>
        <w:pStyle w:val="ListBullet"/>
        <w:spacing w:after="60" w:line="276" w:lineRule="auto"/>
      </w:pPr>
      <w:r>
        <w:rPr>
          <w:rFonts w:ascii="Calibri" w:hAnsi="Calibri"/>
          <w:color w:val="22272E"/>
          <w:sz w:val="21"/>
        </w:rPr>
        <w:t>Client sends multipart/form-data payload to Express endpoint /api/predict.</w:t>
      </w:r>
    </w:p>
    <w:p>
      <w:pPr>
        <w:pStyle w:val="ListBullet"/>
        <w:spacing w:after="60" w:line="276" w:lineRule="auto"/>
      </w:pPr>
      <w:r>
        <w:rPr>
          <w:rFonts w:ascii="Calibri" w:hAnsi="Calibri"/>
          <w:color w:val="22272E"/>
          <w:sz w:val="21"/>
        </w:rPr>
        <w:t>Express validates payload (5MB limit, image MIME check) and forwards to Flask microservice at localhost:5000/predict.</w:t>
      </w:r>
    </w:p>
    <w:p>
      <w:pPr>
        <w:pStyle w:val="ListBullet"/>
        <w:spacing w:after="60" w:line="276" w:lineRule="auto"/>
      </w:pPr>
      <w:r>
        <w:rPr>
          <w:rFonts w:ascii="Calibri" w:hAnsi="Calibri"/>
          <w:color w:val="22272E"/>
          <w:sz w:val="21"/>
        </w:rPr>
        <w:t>Flask pre-processes tensor (224x224 RGB, ImageNet normalized), runs ResNet-50 forward pass, and returns predicted class and confidence.</w:t>
      </w:r>
    </w:p>
    <w:p>
      <w:pPr>
        <w:pStyle w:val="ListBullet"/>
        <w:spacing w:after="60" w:line="276" w:lineRule="auto"/>
      </w:pPr>
      <w:r>
        <w:rPr>
          <w:rFonts w:ascii="Calibri" w:hAnsi="Calibri"/>
          <w:color w:val="22272E"/>
          <w:sz w:val="21"/>
        </w:rPr>
        <w:t>Express correlates disease label with MongoDB 'treatments' collection, computes severity index, records report in 'predictions' collection, and returns synthesized diagnosis.</w:t>
      </w:r>
    </w:p>
    <w:p>
      <w:pPr>
        <w:pStyle w:val="ListBullet"/>
        <w:spacing w:after="60" w:line="276" w:lineRule="auto"/>
      </w:pPr>
      <w:r>
        <w:rPr>
          <w:rFonts w:ascii="Calibri" w:hAnsi="Calibri"/>
          <w:color w:val="22272E"/>
          <w:sz w:val="21"/>
        </w:rPr>
        <w:t>Client displays Results Modal containing severity badge, organic protocol, chemical dosage, spray window forecast, and export options.</w:t>
      </w:r>
    </w:p>
    <w:p>
      <w:pPr>
        <w:pStyle w:val="Heading2"/>
        <w:spacing w:before="280" w:after="80"/>
      </w:pPr>
      <w:r>
        <w:rPr>
          <w:rFonts w:ascii="Calibri" w:hAnsi="Calibri"/>
          <w:b/>
          <w:color w:val="547808"/>
          <w:sz w:val="28"/>
        </w:rPr>
        <w:t>Workflow B: Extension Officer Incident Verification</w:t>
      </w:r>
    </w:p>
    <w:p>
      <w:pPr>
        <w:pStyle w:val="ListBullet"/>
        <w:spacing w:after="60" w:line="276" w:lineRule="auto"/>
      </w:pPr>
      <w:r>
        <w:rPr>
          <w:rFonts w:ascii="Calibri" w:hAnsi="Calibri"/>
          <w:color w:val="22272E"/>
          <w:sz w:val="21"/>
        </w:rPr>
        <w:t>Officer logs in and accesses the Officer Operational Dashboard.</w:t>
      </w:r>
    </w:p>
    <w:p>
      <w:pPr>
        <w:pStyle w:val="ListBullet"/>
        <w:spacing w:after="60" w:line="276" w:lineRule="auto"/>
      </w:pPr>
      <w:r>
        <w:rPr>
          <w:rFonts w:ascii="Calibri" w:hAnsi="Calibri"/>
          <w:color w:val="22272E"/>
          <w:sz w:val="21"/>
        </w:rPr>
        <w:t>Dashboard queries /api/operations/reports, rendering a prioritized queue of pending farmer incident reports.</w:t>
      </w:r>
    </w:p>
    <w:p>
      <w:pPr>
        <w:pStyle w:val="ListBullet"/>
        <w:spacing w:after="60" w:line="276" w:lineRule="auto"/>
      </w:pPr>
      <w:r>
        <w:rPr>
          <w:rFonts w:ascii="Calibri" w:hAnsi="Calibri"/>
          <w:color w:val="22272E"/>
          <w:sz w:val="21"/>
        </w:rPr>
        <w:t>Officer inspects high-resolution foliage photograph, AI confidence score, and reported farm coordinates.</w:t>
      </w:r>
    </w:p>
    <w:p>
      <w:pPr>
        <w:pStyle w:val="ListBullet"/>
        <w:spacing w:after="60" w:line="276" w:lineRule="auto"/>
      </w:pPr>
      <w:r>
        <w:rPr>
          <w:rFonts w:ascii="Calibri" w:hAnsi="Calibri"/>
          <w:color w:val="22272E"/>
          <w:sz w:val="21"/>
        </w:rPr>
        <w:t>Officer submits professional validation (Verified / Inconclusive), appends physical soil/foliage field readings, and updates recommendations.</w:t>
      </w:r>
    </w:p>
    <w:p>
      <w:pPr>
        <w:pStyle w:val="ListBullet"/>
        <w:spacing w:after="60" w:line="276" w:lineRule="auto"/>
      </w:pPr>
      <w:r>
        <w:rPr>
          <w:rFonts w:ascii="Calibri" w:hAnsi="Calibri"/>
          <w:color w:val="22272E"/>
          <w:sz w:val="21"/>
        </w:rPr>
        <w:t>Farmer receives instant notification of report verification on their history log.</w:t>
      </w:r>
    </w:p>
    <w:p>
      <w:pPr>
        <w:pStyle w:val="Heading2"/>
        <w:spacing w:before="280" w:after="80"/>
      </w:pPr>
      <w:r>
        <w:rPr>
          <w:rFonts w:ascii="Calibri" w:hAnsi="Calibri"/>
          <w:b/>
          <w:color w:val="547808"/>
          <w:sz w:val="28"/>
        </w:rPr>
        <w:t>Workflow C: Administrator Outbreak Surveillance &amp; Governance</w:t>
      </w:r>
    </w:p>
    <w:p>
      <w:pPr>
        <w:pStyle w:val="ListBullet"/>
        <w:spacing w:after="60" w:line="276" w:lineRule="auto"/>
      </w:pPr>
      <w:r>
        <w:rPr>
          <w:rFonts w:ascii="Calibri" w:hAnsi="Calibri"/>
          <w:color w:val="22272E"/>
          <w:sz w:val="21"/>
        </w:rPr>
        <w:t>Administrator accesses the Admin Overview Portal.</w:t>
      </w:r>
    </w:p>
    <w:p>
      <w:pPr>
        <w:pStyle w:val="ListBullet"/>
        <w:spacing w:after="60" w:line="276" w:lineRule="auto"/>
      </w:pPr>
      <w:r>
        <w:rPr>
          <w:rFonts w:ascii="Calibri" w:hAnsi="Calibri"/>
          <w:color w:val="22272E"/>
          <w:sz w:val="21"/>
        </w:rPr>
        <w:t>Real-time metrics display total scanned samples, verified outbreaks, high-severity clusters, and system latency.</w:t>
      </w:r>
    </w:p>
    <w:p>
      <w:pPr>
        <w:pStyle w:val="ListBullet"/>
        <w:spacing w:after="60" w:line="276" w:lineRule="auto"/>
      </w:pPr>
      <w:r>
        <w:rPr>
          <w:rFonts w:ascii="Calibri" w:hAnsi="Calibri"/>
          <w:color w:val="22272E"/>
          <w:sz w:val="21"/>
        </w:rPr>
        <w:t>Admin reviews officer workload allocations and assigns specialized agronomists to high-risk outbreak clusters.</w:t>
      </w:r>
    </w:p>
    <w:p>
      <w:pPr>
        <w:pStyle w:val="ListBullet"/>
        <w:spacing w:after="60" w:line="276" w:lineRule="auto"/>
      </w:pPr>
      <w:r>
        <w:rPr>
          <w:rFonts w:ascii="Calibri" w:hAnsi="Calibri"/>
          <w:color w:val="22272E"/>
          <w:sz w:val="21"/>
        </w:rPr>
        <w:t>Admin manages platform user accounts and monitors Flask/Express microservice health via /api/health.</w:t>
      </w:r>
    </w:p>
    <w:p>
      <w:pPr>
        <w:pStyle w:val="Heading1"/>
        <w:spacing w:before="360" w:after="120"/>
      </w:pPr>
      <w:r>
        <w:rPr>
          <w:rFonts w:ascii="Calibri" w:hAnsi="Calibri"/>
          <w:b/>
          <w:color w:val="1B431E"/>
          <w:sz w:val="36"/>
        </w:rPr>
        <w:t>5. Deep Learning AI Microservice (ResNet-50 Pipeline)</w:t>
      </w:r>
    </w:p>
    <w:p>
      <w:pPr>
        <w:spacing w:after="120" w:line="276" w:lineRule="auto"/>
      </w:pPr>
      <w:r>
        <w:rPr>
          <w:rFonts w:ascii="Calibri" w:hAnsi="Calibri"/>
          <w:i w:val="0"/>
          <w:color w:val="22272E"/>
          <w:sz w:val="21"/>
        </w:rPr>
        <w:t>The computer vision pipeline is built on the ResNet-50 (Residual Network) architecture, pre-trained on ImageNet and fine-tuned on the PlantVillage crop foliar pathology benchmark dataset. Residual connections solve vanishing gradient degradation during backpropagation, allowing deep feature extraction across subtle fungal pustules, necrotic spots, and chlorosis patterns.</w:t>
      </w:r>
    </w:p>
    <w:p>
      <w:pPr>
        <w:pStyle w:val="ListBullet"/>
        <w:spacing w:after="60" w:line="276" w:lineRule="auto"/>
      </w:pPr>
      <w:r>
        <w:rPr>
          <w:rFonts w:ascii="Calibri" w:hAnsi="Calibri"/>
          <w:b/>
          <w:color w:val="1B431E"/>
          <w:sz w:val="21"/>
        </w:rPr>
        <w:t xml:space="preserve">Image Pre-Processing: </w:t>
      </w:r>
      <w:r>
        <w:rPr>
          <w:rFonts w:ascii="Calibri" w:hAnsi="Calibri"/>
          <w:color w:val="22272E"/>
          <w:sz w:val="21"/>
        </w:rPr>
        <w:t>Torchvision transforms compose bilinear resize to 224x224 px, conversion to PyTorch Tensor, and channel normalization: Mean=[0.485, 0.456, 0.406], Std=[0.229, 0.224, 0.225].</w:t>
      </w:r>
    </w:p>
    <w:p>
      <w:pPr>
        <w:pStyle w:val="ListBullet"/>
        <w:spacing w:after="60" w:line="276" w:lineRule="auto"/>
      </w:pPr>
      <w:r>
        <w:rPr>
          <w:rFonts w:ascii="Calibri" w:hAnsi="Calibri"/>
          <w:b/>
          <w:color w:val="1B431E"/>
          <w:sz w:val="21"/>
        </w:rPr>
        <w:t xml:space="preserve">Pathology Coverage: </w:t>
      </w:r>
      <w:r>
        <w:rPr>
          <w:rFonts w:ascii="Calibri" w:hAnsi="Calibri"/>
          <w:color w:val="22272E"/>
          <w:sz w:val="21"/>
        </w:rPr>
        <w:t>Supports 38 distinct classes including Apple Scab, Cedar Apple Rust, Corn Gray Leaf Spot, Grape Black Rot, Potato Early/Late Blight, Tomato Target Spot, and Healthy Crop baselines.</w:t>
      </w:r>
    </w:p>
    <w:p>
      <w:pPr>
        <w:pStyle w:val="ListBullet"/>
        <w:spacing w:after="60" w:line="276" w:lineRule="auto"/>
      </w:pPr>
      <w:r>
        <w:rPr>
          <w:rFonts w:ascii="Calibri" w:hAnsi="Calibri"/>
          <w:b/>
          <w:color w:val="1B431E"/>
          <w:sz w:val="21"/>
        </w:rPr>
        <w:t xml:space="preserve">Inference &amp; Confidence Scoring: </w:t>
      </w:r>
      <w:r>
        <w:rPr>
          <w:rFonts w:ascii="Calibri" w:hAnsi="Calibri"/>
          <w:color w:val="22272E"/>
          <w:sz w:val="21"/>
        </w:rPr>
        <w:t>Softmax activation over logits produces normalized posterior probabilities. Scans returning &lt; 60% confidence are flagged as ambiguous, advising user to capture closer foliage under balanced light.</w:t>
      </w:r>
    </w:p>
    <w:p>
      <w:pPr>
        <w:pStyle w:val="Heading1"/>
        <w:spacing w:before="360" w:after="120"/>
      </w:pPr>
      <w:r>
        <w:rPr>
          <w:rFonts w:ascii="Calibri" w:hAnsi="Calibri"/>
          <w:b/>
          <w:color w:val="1B431E"/>
          <w:sz w:val="36"/>
        </w:rPr>
        <w:t>6. Microclimate Integration &amp; Disease Risk Index Engine</w:t>
      </w:r>
    </w:p>
    <w:p>
      <w:pPr>
        <w:spacing w:after="120" w:line="276" w:lineRule="auto"/>
      </w:pPr>
      <w:r>
        <w:rPr>
          <w:rFonts w:ascii="Calibri" w:hAnsi="Calibri"/>
          <w:i w:val="0"/>
          <w:color w:val="22272E"/>
          <w:sz w:val="21"/>
        </w:rPr>
        <w:t>Fungal and bacterial sporulation is governed by ambient humidity, continuous leaf wetness duration, and temperature ranges. AgriVision queries the Open-Meteo Weather API without requiring API keys, computing a dynamic Disease Risk Index (DRI):</w:t>
      </w:r>
    </w:p>
    <w:p>
      <w:pPr>
        <w:pStyle w:val="ListBullet"/>
        <w:spacing w:after="60" w:line="276" w:lineRule="auto"/>
      </w:pPr>
      <w:r>
        <w:rPr>
          <w:rFonts w:ascii="Calibri" w:hAnsi="Calibri"/>
          <w:b/>
          <w:color w:val="1B431E"/>
          <w:sz w:val="21"/>
        </w:rPr>
        <w:t xml:space="preserve">1. Humidity Factor: </w:t>
      </w:r>
      <w:r>
        <w:rPr>
          <w:rFonts w:ascii="Calibri" w:hAnsi="Calibri"/>
          <w:color w:val="22272E"/>
          <w:sz w:val="21"/>
        </w:rPr>
        <w:t>Fungal sporulation surges when relative humidity exceeds 75% for &gt; 6 hours.</w:t>
      </w:r>
    </w:p>
    <w:p>
      <w:pPr>
        <w:pStyle w:val="ListBullet"/>
        <w:spacing w:after="60" w:line="276" w:lineRule="auto"/>
      </w:pPr>
      <w:r>
        <w:rPr>
          <w:rFonts w:ascii="Calibri" w:hAnsi="Calibri"/>
          <w:b/>
          <w:color w:val="1B431E"/>
          <w:sz w:val="21"/>
        </w:rPr>
        <w:t xml:space="preserve">2. Temperature Threshold: </w:t>
      </w:r>
      <w:r>
        <w:rPr>
          <w:rFonts w:ascii="Calibri" w:hAnsi="Calibri"/>
          <w:color w:val="22272E"/>
          <w:sz w:val="21"/>
        </w:rPr>
        <w:t>Pathogen germination accelerates between 18°C and 28°C.</w:t>
      </w:r>
    </w:p>
    <w:p>
      <w:pPr>
        <w:pStyle w:val="ListBullet"/>
        <w:spacing w:after="60" w:line="276" w:lineRule="auto"/>
      </w:pPr>
      <w:r>
        <w:rPr>
          <w:rFonts w:ascii="Calibri" w:hAnsi="Calibri"/>
          <w:b/>
          <w:color w:val="1B431E"/>
          <w:sz w:val="21"/>
        </w:rPr>
        <w:t xml:space="preserve">3. Precipitation Risk: </w:t>
      </w:r>
      <w:r>
        <w:rPr>
          <w:rFonts w:ascii="Calibri" w:hAnsi="Calibri"/>
          <w:color w:val="22272E"/>
          <w:sz w:val="21"/>
        </w:rPr>
        <w:t>Rainfall washes off protective contact fungicides and spreads splash-dispersed spores.</w:t>
      </w:r>
    </w:p>
    <w:p>
      <w:pPr>
        <w:pStyle w:val="ListBullet"/>
        <w:spacing w:after="60" w:line="276" w:lineRule="auto"/>
      </w:pPr>
      <w:r>
        <w:rPr>
          <w:rFonts w:ascii="Calibri" w:hAnsi="Calibri"/>
          <w:b/>
          <w:color w:val="1B431E"/>
          <w:sz w:val="21"/>
        </w:rPr>
        <w:t xml:space="preserve">4. Spray Window Validation: </w:t>
      </w:r>
      <w:r>
        <w:rPr>
          <w:rFonts w:ascii="Calibri" w:hAnsi="Calibri"/>
          <w:color w:val="22272E"/>
          <w:sz w:val="21"/>
        </w:rPr>
        <w:t>Spraying is discouraged when winds exceed 15 km/h (chemical drift risk) or rain is imminent within 6 hours.</w:t>
      </w:r>
    </w:p>
    <w:p>
      <w:pPr>
        <w:pStyle w:val="Heading1"/>
        <w:spacing w:before="360" w:after="120"/>
      </w:pPr>
      <w:r>
        <w:rPr>
          <w:rFonts w:ascii="Calibri" w:hAnsi="Calibri"/>
          <w:b/>
          <w:color w:val="1B431E"/>
          <w:sz w:val="36"/>
        </w:rPr>
        <w:t>7. Agronomic Recommendation &amp; Dilution Calculator</w:t>
      </w:r>
    </w:p>
    <w:p>
      <w:pPr>
        <w:spacing w:after="120" w:line="276" w:lineRule="auto"/>
      </w:pPr>
      <w:r>
        <w:rPr>
          <w:rFonts w:ascii="Calibri" w:hAnsi="Calibri"/>
          <w:i w:val="0"/>
          <w:color w:val="22272E"/>
          <w:sz w:val="21"/>
        </w:rPr>
        <w:t>To prevent chemical over-application and pesticide resistance, AgriVision features an interactive dilution calculator. Farmers input their target acreage (e.g. 2.5 acres) and sprayer tank capacity (e.g. 16-liter knapsack sprayer). The engine computes:</w:t>
      </w:r>
    </w:p>
    <w:p>
      <w:pPr>
        <w:pStyle w:val="ListBullet"/>
        <w:spacing w:after="60" w:line="276" w:lineRule="auto"/>
      </w:pPr>
      <w:r>
        <w:rPr>
          <w:rFonts w:ascii="Calibri" w:hAnsi="Calibri"/>
          <w:b/>
          <w:color w:val="1B431E"/>
          <w:sz w:val="21"/>
        </w:rPr>
        <w:t xml:space="preserve">Concentration Balancing: </w:t>
      </w:r>
      <w:r>
        <w:rPr>
          <w:rFonts w:ascii="Calibri" w:hAnsi="Calibri"/>
          <w:color w:val="22272E"/>
          <w:sz w:val="21"/>
        </w:rPr>
        <w:t>Calculates active ingredient in grams or milliliters per tank, guaranteeing adherence to Central Insecticide Board label limits.</w:t>
      </w:r>
    </w:p>
    <w:p>
      <w:pPr>
        <w:pStyle w:val="ListBullet"/>
        <w:spacing w:after="60" w:line="276" w:lineRule="auto"/>
      </w:pPr>
      <w:r>
        <w:rPr>
          <w:rFonts w:ascii="Calibri" w:hAnsi="Calibri"/>
          <w:b/>
          <w:color w:val="1B431E"/>
          <w:sz w:val="21"/>
        </w:rPr>
        <w:t xml:space="preserve">Integrated Pest Management (IPM): </w:t>
      </w:r>
      <w:r>
        <w:rPr>
          <w:rFonts w:ascii="Calibri" w:hAnsi="Calibri"/>
          <w:color w:val="22272E"/>
          <w:sz w:val="21"/>
        </w:rPr>
        <w:t>Provides bio-agent alternatives (Bacillus subtilis, Trichoderma viride, cold-pressed Neem Oil 10,000 ppm) alongside systemic synthetic chemistries.</w:t>
      </w:r>
    </w:p>
    <w:p>
      <w:pPr>
        <w:pStyle w:val="ListBullet"/>
        <w:spacing w:after="60" w:line="276" w:lineRule="auto"/>
      </w:pPr>
      <w:r>
        <w:rPr>
          <w:rFonts w:ascii="Calibri" w:hAnsi="Calibri"/>
          <w:b/>
          <w:color w:val="1B431E"/>
          <w:sz w:val="21"/>
        </w:rPr>
        <w:t xml:space="preserve">Precautionary Directives: </w:t>
      </w:r>
      <w:r>
        <w:rPr>
          <w:rFonts w:ascii="Calibri" w:hAnsi="Calibri"/>
          <w:color w:val="22272E"/>
          <w:sz w:val="21"/>
        </w:rPr>
        <w:t>Highlights mandatory protective personal equipment (PPE) and post-application harvest withholding periods (PHI).</w:t>
      </w:r>
    </w:p>
    <w:p>
      <w:pPr>
        <w:pStyle w:val="Heading1"/>
        <w:spacing w:before="360" w:after="120"/>
      </w:pPr>
      <w:r>
        <w:rPr>
          <w:rFonts w:ascii="Calibri" w:hAnsi="Calibri"/>
          <w:b/>
          <w:color w:val="1B431E"/>
          <w:sz w:val="36"/>
        </w:rPr>
        <w:t>8. Role-Based Access Control &amp; User Workspaces</w:t>
      </w:r>
    </w:p>
    <w:tbl>
      <w:tblPr>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1B431E"/>
            <w:tcMar>
              <w:top w:w="120" w:type="dxa"/>
              <w:bottom w:w="120" w:type="dxa"/>
              <w:left w:w="140" w:type="dxa"/>
              <w:right w:w="140" w:type="dxa"/>
            </w:tcMar>
          </w:tcPr>
          <w:p>
            <w:pPr>
              <w:jc w:val="left"/>
            </w:pPr>
            <w:r>
              <w:rPr>
                <w:rFonts w:ascii="Calibri" w:hAnsi="Calibri"/>
                <w:b/>
                <w:color w:val="FFFFFF"/>
                <w:sz w:val="20"/>
              </w:rPr>
              <w:t>Role Persona</w:t>
            </w:r>
          </w:p>
        </w:tc>
        <w:tc>
          <w:tcPr>
            <w:tcW w:type="dxa" w:w="4608"/>
            <w:shd w:val="clear" w:color="auto" w:fill="1B431E"/>
            <w:tcMar>
              <w:top w:w="120" w:type="dxa"/>
              <w:bottom w:w="120" w:type="dxa"/>
              <w:left w:w="140" w:type="dxa"/>
              <w:right w:w="140" w:type="dxa"/>
            </w:tcMar>
          </w:tcPr>
          <w:p>
            <w:pPr>
              <w:jc w:val="left"/>
            </w:pPr>
            <w:r>
              <w:rPr>
                <w:rFonts w:ascii="Calibri" w:hAnsi="Calibri"/>
                <w:b/>
                <w:color w:val="FFFFFF"/>
                <w:sz w:val="20"/>
              </w:rPr>
              <w:t>Default Capabilities</w:t>
            </w:r>
          </w:p>
        </w:tc>
        <w:tc>
          <w:tcPr>
            <w:tcW w:type="dxa" w:w="2160"/>
            <w:shd w:val="clear" w:color="auto" w:fill="1B431E"/>
            <w:tcMar>
              <w:top w:w="120" w:type="dxa"/>
              <w:bottom w:w="120" w:type="dxa"/>
              <w:left w:w="140" w:type="dxa"/>
              <w:right w:w="140" w:type="dxa"/>
            </w:tcMar>
          </w:tcPr>
          <w:p>
            <w:pPr>
              <w:jc w:val="left"/>
            </w:pPr>
            <w:r>
              <w:rPr>
                <w:rFonts w:ascii="Calibri" w:hAnsi="Calibri"/>
                <w:b/>
                <w:color w:val="FFFFFF"/>
                <w:sz w:val="20"/>
              </w:rPr>
              <w:t>Operational View</w:t>
            </w:r>
          </w:p>
        </w:tc>
      </w:tr>
      <w:tr>
        <w:tc>
          <w:tcPr>
            <w:tcW w:type="dxa" w:w="2592"/>
            <w:shd w:val="clear" w:color="auto" w:fill="FFFFFF"/>
            <w:tcMar>
              <w:top w:w="100" w:type="dxa"/>
              <w:bottom w:w="100" w:type="dxa"/>
              <w:left w:w="140" w:type="dxa"/>
              <w:right w:w="140" w:type="dxa"/>
            </w:tcMar>
          </w:tcPr>
          <w:p>
            <w:r>
              <w:rPr>
                <w:rFonts w:ascii="Calibri" w:hAnsi="Calibri"/>
                <w:color w:val="22272E"/>
                <w:sz w:val="19"/>
              </w:rPr>
              <w:t>Farmer</w:t>
            </w:r>
          </w:p>
        </w:tc>
        <w:tc>
          <w:tcPr>
            <w:tcW w:type="dxa" w:w="4608"/>
            <w:shd w:val="clear" w:color="auto" w:fill="FFFFFF"/>
            <w:tcMar>
              <w:top w:w="100" w:type="dxa"/>
              <w:bottom w:w="100" w:type="dxa"/>
              <w:left w:w="140" w:type="dxa"/>
              <w:right w:w="140" w:type="dxa"/>
            </w:tcMar>
          </w:tcPr>
          <w:p>
            <w:r>
              <w:rPr>
                <w:rFonts w:ascii="Calibri" w:hAnsi="Calibri"/>
                <w:color w:val="22272E"/>
                <w:sz w:val="19"/>
              </w:rPr>
              <w:t>Scan leaves, review remedies, calculate dilution, browse scan history, download report.</w:t>
            </w:r>
          </w:p>
        </w:tc>
        <w:tc>
          <w:tcPr>
            <w:tcW w:type="dxa" w:w="2160"/>
            <w:shd w:val="clear" w:color="auto" w:fill="FFFFFF"/>
            <w:tcMar>
              <w:top w:w="100" w:type="dxa"/>
              <w:bottom w:w="100" w:type="dxa"/>
              <w:left w:w="140" w:type="dxa"/>
              <w:right w:w="140" w:type="dxa"/>
            </w:tcMar>
          </w:tcPr>
          <w:p>
            <w:r>
              <w:rPr>
                <w:rFonts w:ascii="Calibri" w:hAnsi="Calibri"/>
                <w:color w:val="22272E"/>
                <w:sz w:val="19"/>
              </w:rPr>
              <w:t>FarmerDashboard.jsx</w:t>
            </w:r>
          </w:p>
        </w:tc>
      </w:tr>
      <w:tr>
        <w:tc>
          <w:tcPr>
            <w:tcW w:type="dxa" w:w="2592"/>
            <w:shd w:val="clear" w:color="auto" w:fill="F4F6F4"/>
            <w:tcMar>
              <w:top w:w="100" w:type="dxa"/>
              <w:bottom w:w="100" w:type="dxa"/>
              <w:left w:w="140" w:type="dxa"/>
              <w:right w:w="140" w:type="dxa"/>
            </w:tcMar>
          </w:tcPr>
          <w:p>
            <w:r>
              <w:rPr>
                <w:rFonts w:ascii="Calibri" w:hAnsi="Calibri"/>
                <w:color w:val="22272E"/>
                <w:sz w:val="19"/>
              </w:rPr>
              <w:t>Agricultural Field Officer</w:t>
            </w:r>
          </w:p>
        </w:tc>
        <w:tc>
          <w:tcPr>
            <w:tcW w:type="dxa" w:w="4608"/>
            <w:shd w:val="clear" w:color="auto" w:fill="F4F6F4"/>
            <w:tcMar>
              <w:top w:w="100" w:type="dxa"/>
              <w:bottom w:w="100" w:type="dxa"/>
              <w:left w:w="140" w:type="dxa"/>
              <w:right w:w="140" w:type="dxa"/>
            </w:tcMar>
          </w:tcPr>
          <w:p>
            <w:r>
              <w:rPr>
                <w:rFonts w:ascii="Calibri" w:hAnsi="Calibri"/>
                <w:color w:val="22272E"/>
                <w:sz w:val="19"/>
              </w:rPr>
              <w:t>View district queue, verify diagnoses, record physical field readings, adjust prescriptions.</w:t>
            </w:r>
          </w:p>
        </w:tc>
        <w:tc>
          <w:tcPr>
            <w:tcW w:type="dxa" w:w="2160"/>
            <w:shd w:val="clear" w:color="auto" w:fill="F4F6F4"/>
            <w:tcMar>
              <w:top w:w="100" w:type="dxa"/>
              <w:bottom w:w="100" w:type="dxa"/>
              <w:left w:w="140" w:type="dxa"/>
              <w:right w:w="140" w:type="dxa"/>
            </w:tcMar>
          </w:tcPr>
          <w:p>
            <w:r>
              <w:rPr>
                <w:rFonts w:ascii="Calibri" w:hAnsi="Calibri"/>
                <w:color w:val="22272E"/>
                <w:sz w:val="19"/>
              </w:rPr>
              <w:t>OfficerDashboard.jsx</w:t>
            </w:r>
          </w:p>
        </w:tc>
      </w:tr>
      <w:tr>
        <w:tc>
          <w:tcPr>
            <w:tcW w:type="dxa" w:w="2592"/>
            <w:shd w:val="clear" w:color="auto" w:fill="FFFFFF"/>
            <w:tcMar>
              <w:top w:w="100" w:type="dxa"/>
              <w:bottom w:w="100" w:type="dxa"/>
              <w:left w:w="140" w:type="dxa"/>
              <w:right w:w="140" w:type="dxa"/>
            </w:tcMar>
          </w:tcPr>
          <w:p>
            <w:r>
              <w:rPr>
                <w:rFonts w:ascii="Calibri" w:hAnsi="Calibri"/>
                <w:color w:val="22272E"/>
                <w:sz w:val="19"/>
              </w:rPr>
              <w:t>System Administrator</w:t>
            </w:r>
          </w:p>
        </w:tc>
        <w:tc>
          <w:tcPr>
            <w:tcW w:type="dxa" w:w="4608"/>
            <w:shd w:val="clear" w:color="auto" w:fill="FFFFFF"/>
            <w:tcMar>
              <w:top w:w="100" w:type="dxa"/>
              <w:bottom w:w="100" w:type="dxa"/>
              <w:left w:w="140" w:type="dxa"/>
              <w:right w:w="140" w:type="dxa"/>
            </w:tcMar>
          </w:tcPr>
          <w:p>
            <w:r>
              <w:rPr>
                <w:rFonts w:ascii="Calibri" w:hAnsi="Calibri"/>
                <w:color w:val="22272E"/>
                <w:sz w:val="19"/>
              </w:rPr>
              <w:t>Platform analytics, user account management, officer task assignment, AI engine diagnostics.</w:t>
            </w:r>
          </w:p>
        </w:tc>
        <w:tc>
          <w:tcPr>
            <w:tcW w:type="dxa" w:w="2160"/>
            <w:shd w:val="clear" w:color="auto" w:fill="FFFFFF"/>
            <w:tcMar>
              <w:top w:w="100" w:type="dxa"/>
              <w:bottom w:w="100" w:type="dxa"/>
              <w:left w:w="140" w:type="dxa"/>
              <w:right w:w="140" w:type="dxa"/>
            </w:tcMar>
          </w:tcPr>
          <w:p>
            <w:r>
              <w:rPr>
                <w:rFonts w:ascii="Calibri" w:hAnsi="Calibri"/>
                <w:color w:val="22272E"/>
                <w:sz w:val="19"/>
              </w:rPr>
              <w:t>AdminDashboard.jsx</w:t>
            </w:r>
          </w:p>
        </w:tc>
      </w:tr>
    </w:tbl>
    <w:p>
      <w:pPr>
        <w:pStyle w:val="Heading1"/>
        <w:spacing w:before="360" w:after="120"/>
      </w:pPr>
      <w:r>
        <w:rPr>
          <w:rFonts w:ascii="Calibri" w:hAnsi="Calibri"/>
          <w:b/>
          <w:color w:val="1B431E"/>
          <w:sz w:val="36"/>
        </w:rPr>
        <w:t>9. MongoDB Database Schemas &amp; Data Model Specifications</w:t>
      </w:r>
    </w:p>
    <w:p>
      <w:pPr>
        <w:spacing w:after="120" w:line="276" w:lineRule="auto"/>
      </w:pPr>
      <w:r>
        <w:rPr>
          <w:rFonts w:ascii="Calibri" w:hAnsi="Calibri"/>
          <w:i w:val="0"/>
          <w:color w:val="22272E"/>
          <w:sz w:val="21"/>
        </w:rPr>
        <w:t>The database layer is implemented using Mongoose ODM over MongoDB (`crop_disease_db`), comprising three core collections:</w:t>
      </w:r>
    </w:p>
    <w:p>
      <w:pPr>
        <w:pStyle w:val="Heading2"/>
        <w:spacing w:before="280" w:after="80"/>
      </w:pPr>
      <w:r>
        <w:rPr>
          <w:rFonts w:ascii="Calibri" w:hAnsi="Calibri"/>
          <w:b/>
          <w:color w:val="547808"/>
          <w:sz w:val="28"/>
        </w:rPr>
        <w:t>Collection 1: 'users'</w:t>
      </w:r>
    </w:p>
    <w:p>
      <w:pPr>
        <w:spacing w:after="120" w:line="276" w:lineRule="auto"/>
      </w:pPr>
      <w:r>
        <w:rPr>
          <w:rFonts w:ascii="Calibri" w:hAnsi="Calibri"/>
          <w:i/>
          <w:color w:val="22272E"/>
          <w:sz w:val="21"/>
        </w:rPr>
        <w:t>Stores user identity, role access rights, and bcrypt-hashed credentials.</w:t>
      </w:r>
    </w:p>
    <w:p>
      <w:pPr>
        <w:pStyle w:val="ListBullet"/>
        <w:spacing w:after="60" w:line="276" w:lineRule="auto"/>
      </w:pPr>
      <w:r>
        <w:rPr>
          <w:rFonts w:ascii="Calibri" w:hAnsi="Calibri"/>
          <w:b/>
          <w:color w:val="1B431E"/>
          <w:sz w:val="21"/>
        </w:rPr>
        <w:t xml:space="preserve">_id: </w:t>
      </w:r>
      <w:r>
        <w:rPr>
          <w:rFonts w:ascii="Calibri" w:hAnsi="Calibri"/>
          <w:color w:val="22272E"/>
          <w:sz w:val="21"/>
        </w:rPr>
        <w:t>ObjectId (Primary Key)</w:t>
      </w:r>
    </w:p>
    <w:p>
      <w:pPr>
        <w:pStyle w:val="ListBullet"/>
        <w:spacing w:after="60" w:line="276" w:lineRule="auto"/>
      </w:pPr>
      <w:r>
        <w:rPr>
          <w:rFonts w:ascii="Calibri" w:hAnsi="Calibri"/>
          <w:b/>
          <w:color w:val="1B431E"/>
          <w:sz w:val="21"/>
        </w:rPr>
        <w:t xml:space="preserve">fullName: </w:t>
      </w:r>
      <w:r>
        <w:rPr>
          <w:rFonts w:ascii="Calibri" w:hAnsi="Calibri"/>
          <w:color w:val="22272E"/>
          <w:sz w:val="21"/>
        </w:rPr>
        <w:t>String, required, trimmed, display name</w:t>
      </w:r>
    </w:p>
    <w:p>
      <w:pPr>
        <w:pStyle w:val="ListBullet"/>
        <w:spacing w:after="60" w:line="276" w:lineRule="auto"/>
      </w:pPr>
      <w:r>
        <w:rPr>
          <w:rFonts w:ascii="Calibri" w:hAnsi="Calibri"/>
          <w:b/>
          <w:color w:val="1B431E"/>
          <w:sz w:val="21"/>
        </w:rPr>
        <w:t xml:space="preserve">email: </w:t>
      </w:r>
      <w:r>
        <w:rPr>
          <w:rFonts w:ascii="Calibri" w:hAnsi="Calibri"/>
          <w:color w:val="22272E"/>
          <w:sz w:val="21"/>
        </w:rPr>
        <w:t>String, required, unique, lowercase index</w:t>
      </w:r>
    </w:p>
    <w:p>
      <w:pPr>
        <w:pStyle w:val="ListBullet"/>
        <w:spacing w:after="60" w:line="276" w:lineRule="auto"/>
      </w:pPr>
      <w:r>
        <w:rPr>
          <w:rFonts w:ascii="Calibri" w:hAnsi="Calibri"/>
          <w:b/>
          <w:color w:val="1B431E"/>
          <w:sz w:val="21"/>
        </w:rPr>
        <w:t xml:space="preserve">passwordHash: </w:t>
      </w:r>
      <w:r>
        <w:rPr>
          <w:rFonts w:ascii="Calibri" w:hAnsi="Calibri"/>
          <w:color w:val="22272E"/>
          <w:sz w:val="21"/>
        </w:rPr>
        <w:t>String, required, bcrypt hash with salt round 10</w:t>
      </w:r>
    </w:p>
    <w:p>
      <w:pPr>
        <w:pStyle w:val="ListBullet"/>
        <w:spacing w:after="60" w:line="276" w:lineRule="auto"/>
      </w:pPr>
      <w:r>
        <w:rPr>
          <w:rFonts w:ascii="Calibri" w:hAnsi="Calibri"/>
          <w:b/>
          <w:color w:val="1B431E"/>
          <w:sz w:val="21"/>
        </w:rPr>
        <w:t xml:space="preserve">role: </w:t>
      </w:r>
      <w:r>
        <w:rPr>
          <w:rFonts w:ascii="Calibri" w:hAnsi="Calibri"/>
          <w:color w:val="22272E"/>
          <w:sz w:val="21"/>
        </w:rPr>
        <w:t>String enum: 'farmer' | 'officer' | 'admin', default 'farmer'</w:t>
      </w:r>
    </w:p>
    <w:p>
      <w:pPr>
        <w:pStyle w:val="ListBullet"/>
        <w:spacing w:after="60" w:line="276" w:lineRule="auto"/>
      </w:pPr>
      <w:r>
        <w:rPr>
          <w:rFonts w:ascii="Calibri" w:hAnsi="Calibri"/>
          <w:b/>
          <w:color w:val="1B431E"/>
          <w:sz w:val="21"/>
        </w:rPr>
        <w:t xml:space="preserve">createdAt, updatedAt: </w:t>
      </w:r>
      <w:r>
        <w:rPr>
          <w:rFonts w:ascii="Calibri" w:hAnsi="Calibri"/>
          <w:color w:val="22272E"/>
          <w:sz w:val="21"/>
        </w:rPr>
        <w:t>ISO 8601 timestamps managed by Mongoose</w:t>
      </w:r>
    </w:p>
    <w:p>
      <w:pPr>
        <w:pStyle w:val="Heading2"/>
        <w:spacing w:before="280" w:after="80"/>
      </w:pPr>
      <w:r>
        <w:rPr>
          <w:rFonts w:ascii="Calibri" w:hAnsi="Calibri"/>
          <w:b/>
          <w:color w:val="547808"/>
          <w:sz w:val="28"/>
        </w:rPr>
        <w:t>Collection 2: 'predictions'</w:t>
      </w:r>
    </w:p>
    <w:p>
      <w:pPr>
        <w:spacing w:after="120" w:line="276" w:lineRule="auto"/>
      </w:pPr>
      <w:r>
        <w:rPr>
          <w:rFonts w:ascii="Calibri" w:hAnsi="Calibri"/>
          <w:i/>
          <w:color w:val="22272E"/>
          <w:sz w:val="21"/>
        </w:rPr>
        <w:t>Maintains audit logs of all diagnostic image uploads, AI scores, and verification cycles.</w:t>
      </w:r>
    </w:p>
    <w:p>
      <w:pPr>
        <w:pStyle w:val="ListBullet"/>
        <w:spacing w:after="60" w:line="276" w:lineRule="auto"/>
      </w:pPr>
      <w:r>
        <w:rPr>
          <w:rFonts w:ascii="Calibri" w:hAnsi="Calibri"/>
          <w:b/>
          <w:color w:val="1B431E"/>
          <w:sz w:val="21"/>
        </w:rPr>
        <w:t xml:space="preserve">_id: </w:t>
      </w:r>
      <w:r>
        <w:rPr>
          <w:rFonts w:ascii="Calibri" w:hAnsi="Calibri"/>
          <w:color w:val="22272E"/>
          <w:sz w:val="21"/>
        </w:rPr>
        <w:t>ObjectId (Primary Key)</w:t>
      </w:r>
    </w:p>
    <w:p>
      <w:pPr>
        <w:pStyle w:val="ListBullet"/>
        <w:spacing w:after="60" w:line="276" w:lineRule="auto"/>
      </w:pPr>
      <w:r>
        <w:rPr>
          <w:rFonts w:ascii="Calibri" w:hAnsi="Calibri"/>
          <w:b/>
          <w:color w:val="1B431E"/>
          <w:sz w:val="21"/>
        </w:rPr>
        <w:t xml:space="preserve">userId: </w:t>
      </w:r>
      <w:r>
        <w:rPr>
          <w:rFonts w:ascii="Calibri" w:hAnsi="Calibri"/>
          <w:color w:val="22272E"/>
          <w:sz w:val="21"/>
        </w:rPr>
        <w:t>ObjectId, Foreign Key ref -&gt; users._id, indexed</w:t>
      </w:r>
    </w:p>
    <w:p>
      <w:pPr>
        <w:pStyle w:val="ListBullet"/>
        <w:spacing w:after="60" w:line="276" w:lineRule="auto"/>
      </w:pPr>
      <w:r>
        <w:rPr>
          <w:rFonts w:ascii="Calibri" w:hAnsi="Calibri"/>
          <w:b/>
          <w:color w:val="1B431E"/>
          <w:sz w:val="21"/>
        </w:rPr>
        <w:t xml:space="preserve">cropName: </w:t>
      </w:r>
      <w:r>
        <w:rPr>
          <w:rFonts w:ascii="Calibri" w:hAnsi="Calibri"/>
          <w:color w:val="22272E"/>
          <w:sz w:val="21"/>
        </w:rPr>
        <w:t>String, required (e.g. 'Tomato', 'Potato')</w:t>
      </w:r>
    </w:p>
    <w:p>
      <w:pPr>
        <w:pStyle w:val="ListBullet"/>
        <w:spacing w:after="60" w:line="276" w:lineRule="auto"/>
      </w:pPr>
      <w:r>
        <w:rPr>
          <w:rFonts w:ascii="Calibri" w:hAnsi="Calibri"/>
          <w:b/>
          <w:color w:val="1B431E"/>
          <w:sz w:val="21"/>
        </w:rPr>
        <w:t xml:space="preserve">farmLocation: </w:t>
      </w:r>
      <w:r>
        <w:rPr>
          <w:rFonts w:ascii="Calibri" w:hAnsi="Calibri"/>
          <w:color w:val="22272E"/>
          <w:sz w:val="21"/>
        </w:rPr>
        <w:t>String, farm plot or field description</w:t>
      </w:r>
    </w:p>
    <w:p>
      <w:pPr>
        <w:pStyle w:val="ListBullet"/>
        <w:spacing w:after="60" w:line="276" w:lineRule="auto"/>
      </w:pPr>
      <w:r>
        <w:rPr>
          <w:rFonts w:ascii="Calibri" w:hAnsi="Calibri"/>
          <w:b/>
          <w:color w:val="1B431E"/>
          <w:sz w:val="21"/>
        </w:rPr>
        <w:t xml:space="preserve">predictedDisease: </w:t>
      </w:r>
      <w:r>
        <w:rPr>
          <w:rFonts w:ascii="Calibri" w:hAnsi="Calibri"/>
          <w:color w:val="22272E"/>
          <w:sz w:val="21"/>
        </w:rPr>
        <w:t>String, CNN output label (e.g. 'Tomato___Early_blight')</w:t>
      </w:r>
    </w:p>
    <w:p>
      <w:pPr>
        <w:pStyle w:val="ListBullet"/>
        <w:spacing w:after="60" w:line="276" w:lineRule="auto"/>
      </w:pPr>
      <w:r>
        <w:rPr>
          <w:rFonts w:ascii="Calibri" w:hAnsi="Calibri"/>
          <w:b/>
          <w:color w:val="1B431E"/>
          <w:sz w:val="21"/>
        </w:rPr>
        <w:t xml:space="preserve">confidenceScore: </w:t>
      </w:r>
      <w:r>
        <w:rPr>
          <w:rFonts w:ascii="Calibri" w:hAnsi="Calibri"/>
          <w:color w:val="22272E"/>
          <w:sz w:val="21"/>
        </w:rPr>
        <w:t>Float (0.0 to 1.0), Softmax posterior probability</w:t>
      </w:r>
    </w:p>
    <w:p>
      <w:pPr>
        <w:pStyle w:val="ListBullet"/>
        <w:spacing w:after="60" w:line="276" w:lineRule="auto"/>
      </w:pPr>
      <w:r>
        <w:rPr>
          <w:rFonts w:ascii="Calibri" w:hAnsi="Calibri"/>
          <w:b/>
          <w:color w:val="1B431E"/>
          <w:sz w:val="21"/>
        </w:rPr>
        <w:t xml:space="preserve">severity: </w:t>
      </w:r>
      <w:r>
        <w:rPr>
          <w:rFonts w:ascii="Calibri" w:hAnsi="Calibri"/>
          <w:color w:val="22272E"/>
          <w:sz w:val="21"/>
        </w:rPr>
        <w:t>String enum: 'Low' | 'Medium' | 'High'</w:t>
      </w:r>
    </w:p>
    <w:p>
      <w:pPr>
        <w:pStyle w:val="ListBullet"/>
        <w:spacing w:after="60" w:line="276" w:lineRule="auto"/>
      </w:pPr>
      <w:r>
        <w:rPr>
          <w:rFonts w:ascii="Calibri" w:hAnsi="Calibri"/>
          <w:b/>
          <w:color w:val="1B431E"/>
          <w:sz w:val="21"/>
        </w:rPr>
        <w:t xml:space="preserve">status: </w:t>
      </w:r>
      <w:r>
        <w:rPr>
          <w:rFonts w:ascii="Calibri" w:hAnsi="Calibri"/>
          <w:color w:val="22272E"/>
          <w:sz w:val="21"/>
        </w:rPr>
        <w:t>String enum: 'pending_verification' | 'officer_assigned' | 'verified' | 'action_completed'</w:t>
      </w:r>
    </w:p>
    <w:p>
      <w:pPr>
        <w:pStyle w:val="ListBullet"/>
        <w:spacing w:after="60" w:line="276" w:lineRule="auto"/>
      </w:pPr>
      <w:r>
        <w:rPr>
          <w:rFonts w:ascii="Calibri" w:hAnsi="Calibri"/>
          <w:b/>
          <w:color w:val="1B431E"/>
          <w:sz w:val="21"/>
        </w:rPr>
        <w:t xml:space="preserve">assignedOfficerId: </w:t>
      </w:r>
      <w:r>
        <w:rPr>
          <w:rFonts w:ascii="Calibri" w:hAnsi="Calibri"/>
          <w:color w:val="22272E"/>
          <w:sz w:val="21"/>
        </w:rPr>
        <w:t>ObjectId ref -&gt; users._id (assigned extension officer)</w:t>
      </w:r>
    </w:p>
    <w:p>
      <w:pPr>
        <w:pStyle w:val="ListBullet"/>
        <w:spacing w:after="60" w:line="276" w:lineRule="auto"/>
      </w:pPr>
      <w:r>
        <w:rPr>
          <w:rFonts w:ascii="Calibri" w:hAnsi="Calibri"/>
          <w:b/>
          <w:color w:val="1B431E"/>
          <w:sz w:val="21"/>
        </w:rPr>
        <w:t xml:space="preserve">scannedAt: </w:t>
      </w:r>
      <w:r>
        <w:rPr>
          <w:rFonts w:ascii="Calibri" w:hAnsi="Calibri"/>
          <w:color w:val="22272E"/>
          <w:sz w:val="21"/>
        </w:rPr>
        <w:t>Date, indexed timestamp of scan intake</w:t>
      </w:r>
    </w:p>
    <w:p>
      <w:pPr>
        <w:pStyle w:val="Heading2"/>
        <w:spacing w:before="280" w:after="80"/>
      </w:pPr>
      <w:r>
        <w:rPr>
          <w:rFonts w:ascii="Calibri" w:hAnsi="Calibri"/>
          <w:b/>
          <w:color w:val="547808"/>
          <w:sz w:val="28"/>
        </w:rPr>
        <w:t>Collection 3: 'treatments'</w:t>
      </w:r>
    </w:p>
    <w:p>
      <w:pPr>
        <w:spacing w:after="120" w:line="276" w:lineRule="auto"/>
      </w:pPr>
      <w:r>
        <w:rPr>
          <w:rFonts w:ascii="Calibri" w:hAnsi="Calibri"/>
          <w:i/>
          <w:color w:val="22272E"/>
          <w:sz w:val="21"/>
        </w:rPr>
        <w:t>Knowledgebase of verified agronomic remedies matching CNN pathogen class strings.</w:t>
      </w:r>
    </w:p>
    <w:p>
      <w:pPr>
        <w:pStyle w:val="ListBullet"/>
        <w:spacing w:after="60" w:line="276" w:lineRule="auto"/>
      </w:pPr>
      <w:r>
        <w:rPr>
          <w:rFonts w:ascii="Calibri" w:hAnsi="Calibri"/>
          <w:b/>
          <w:color w:val="1B431E"/>
          <w:sz w:val="21"/>
        </w:rPr>
        <w:t xml:space="preserve">diseaseName: </w:t>
      </w:r>
      <w:r>
        <w:rPr>
          <w:rFonts w:ascii="Calibri" w:hAnsi="Calibri"/>
          <w:color w:val="22272E"/>
          <w:sz w:val="21"/>
        </w:rPr>
        <w:t>String, unique index matching predictedDisease class exactly</w:t>
      </w:r>
    </w:p>
    <w:p>
      <w:pPr>
        <w:pStyle w:val="ListBullet"/>
        <w:spacing w:after="60" w:line="276" w:lineRule="auto"/>
      </w:pPr>
      <w:r>
        <w:rPr>
          <w:rFonts w:ascii="Calibri" w:hAnsi="Calibri"/>
          <w:b/>
          <w:color w:val="1B431E"/>
          <w:sz w:val="21"/>
        </w:rPr>
        <w:t xml:space="preserve">organicTreatment: </w:t>
      </w:r>
      <w:r>
        <w:rPr>
          <w:rFonts w:ascii="Calibri" w:hAnsi="Calibri"/>
          <w:color w:val="22272E"/>
          <w:sz w:val="21"/>
        </w:rPr>
        <w:t>String, biological, cultural and organic protocols</w:t>
      </w:r>
    </w:p>
    <w:p>
      <w:pPr>
        <w:pStyle w:val="ListBullet"/>
        <w:spacing w:after="60" w:line="276" w:lineRule="auto"/>
      </w:pPr>
      <w:r>
        <w:rPr>
          <w:rFonts w:ascii="Calibri" w:hAnsi="Calibri"/>
          <w:b/>
          <w:color w:val="1B431E"/>
          <w:sz w:val="21"/>
        </w:rPr>
        <w:t xml:space="preserve">chemicalTreatment: </w:t>
      </w:r>
      <w:r>
        <w:rPr>
          <w:rFonts w:ascii="Calibri" w:hAnsi="Calibri"/>
          <w:color w:val="22272E"/>
          <w:sz w:val="21"/>
        </w:rPr>
        <w:t>String, approved chemical fungicides, bactericides and dosage guidelines</w:t>
      </w:r>
    </w:p>
    <w:p>
      <w:pPr>
        <w:pStyle w:val="ListBullet"/>
        <w:spacing w:after="60" w:line="276" w:lineRule="auto"/>
      </w:pPr>
      <w:r>
        <w:rPr>
          <w:rFonts w:ascii="Calibri" w:hAnsi="Calibri"/>
          <w:b/>
          <w:color w:val="1B431E"/>
          <w:sz w:val="21"/>
        </w:rPr>
        <w:t xml:space="preserve">preventionSteps: </w:t>
      </w:r>
      <w:r>
        <w:rPr>
          <w:rFonts w:ascii="Calibri" w:hAnsi="Calibri"/>
          <w:color w:val="22272E"/>
          <w:sz w:val="21"/>
        </w:rPr>
        <w:t>Array of Strings, cultural hygiene, crop rotation, and irrigation rules</w:t>
      </w:r>
    </w:p>
    <w:p>
      <w:pPr>
        <w:pStyle w:val="Heading1"/>
        <w:spacing w:before="360" w:after="120"/>
      </w:pPr>
      <w:r>
        <w:rPr>
          <w:rFonts w:ascii="Calibri" w:hAnsi="Calibri"/>
          <w:b/>
          <w:color w:val="1B431E"/>
          <w:sz w:val="36"/>
        </w:rPr>
        <w:t>10. REST API Specification &amp; Integration Contracts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584"/>
            <w:shd w:val="clear" w:color="auto" w:fill="1E568C"/>
            <w:tcMar>
              <w:top w:w="120" w:type="dxa"/>
              <w:bottom w:w="120" w:type="dxa"/>
              <w:left w:w="140" w:type="dxa"/>
              <w:right w:w="140" w:type="dxa"/>
            </w:tcMar>
          </w:tcPr>
          <w:p>
            <w:pPr>
              <w:jc w:val="left"/>
            </w:pPr>
            <w:r>
              <w:rPr>
                <w:rFonts w:ascii="Calibri" w:hAnsi="Calibri"/>
                <w:b/>
                <w:color w:val="FFFFFF"/>
                <w:sz w:val="20"/>
              </w:rPr>
              <w:t>HTTP Method</w:t>
            </w:r>
          </w:p>
        </w:tc>
        <w:tc>
          <w:tcPr>
            <w:tcW w:type="dxa" w:w="3168"/>
            <w:shd w:val="clear" w:color="auto" w:fill="1E568C"/>
            <w:tcMar>
              <w:top w:w="120" w:type="dxa"/>
              <w:bottom w:w="120" w:type="dxa"/>
              <w:left w:w="140" w:type="dxa"/>
              <w:right w:w="140" w:type="dxa"/>
            </w:tcMar>
          </w:tcPr>
          <w:p>
            <w:pPr>
              <w:jc w:val="left"/>
            </w:pPr>
            <w:r>
              <w:rPr>
                <w:rFonts w:ascii="Calibri" w:hAnsi="Calibri"/>
                <w:b/>
                <w:color w:val="FFFFFF"/>
                <w:sz w:val="20"/>
              </w:rPr>
              <w:t>Endpoint Path</w:t>
            </w:r>
          </w:p>
        </w:tc>
        <w:tc>
          <w:tcPr>
            <w:tcW w:type="dxa" w:w="1872"/>
            <w:shd w:val="clear" w:color="auto" w:fill="1E568C"/>
            <w:tcMar>
              <w:top w:w="120" w:type="dxa"/>
              <w:bottom w:w="120" w:type="dxa"/>
              <w:left w:w="140" w:type="dxa"/>
              <w:right w:w="140" w:type="dxa"/>
            </w:tcMar>
          </w:tcPr>
          <w:p>
            <w:pPr>
              <w:jc w:val="left"/>
            </w:pPr>
            <w:r>
              <w:rPr>
                <w:rFonts w:ascii="Calibri" w:hAnsi="Calibri"/>
                <w:b/>
                <w:color w:val="FFFFFF"/>
                <w:sz w:val="20"/>
              </w:rPr>
              <w:t>Access Role</w:t>
            </w:r>
          </w:p>
        </w:tc>
        <w:tc>
          <w:tcPr>
            <w:tcW w:type="dxa" w:w="2736"/>
            <w:shd w:val="clear" w:color="auto" w:fill="1E568C"/>
            <w:tcMar>
              <w:top w:w="120" w:type="dxa"/>
              <w:bottom w:w="120" w:type="dxa"/>
              <w:left w:w="140" w:type="dxa"/>
              <w:right w:w="140" w:type="dxa"/>
            </w:tcMar>
          </w:tcPr>
          <w:p>
            <w:pPr>
              <w:jc w:val="left"/>
            </w:pPr>
            <w:r>
              <w:rPr>
                <w:rFonts w:ascii="Calibri" w:hAnsi="Calibri"/>
                <w:b/>
                <w:color w:val="FFFFFF"/>
                <w:sz w:val="20"/>
              </w:rPr>
              <w:t>Summary &amp; Payload</w:t>
            </w:r>
          </w:p>
        </w:tc>
      </w:tr>
      <w:tr>
        <w:tc>
          <w:tcPr>
            <w:tcW w:type="dxa" w:w="1584"/>
            <w:shd w:val="clear" w:color="auto" w:fill="FFFFFF"/>
            <w:tcMar>
              <w:top w:w="100" w:type="dxa"/>
              <w:bottom w:w="100" w:type="dxa"/>
              <w:left w:w="140" w:type="dxa"/>
              <w:right w:w="140" w:type="dxa"/>
            </w:tcMar>
          </w:tcPr>
          <w:p>
            <w:r>
              <w:rPr>
                <w:rFonts w:ascii="Calibri" w:hAnsi="Calibri"/>
                <w:color w:val="22272E"/>
                <w:sz w:val="19"/>
              </w:rPr>
              <w:t>POST</w:t>
            </w:r>
          </w:p>
        </w:tc>
        <w:tc>
          <w:tcPr>
            <w:tcW w:type="dxa" w:w="3168"/>
            <w:shd w:val="clear" w:color="auto" w:fill="FFFFFF"/>
            <w:tcMar>
              <w:top w:w="100" w:type="dxa"/>
              <w:bottom w:w="100" w:type="dxa"/>
              <w:left w:w="140" w:type="dxa"/>
              <w:right w:w="140" w:type="dxa"/>
            </w:tcMar>
          </w:tcPr>
          <w:p>
            <w:r>
              <w:rPr>
                <w:rFonts w:ascii="Calibri" w:hAnsi="Calibri"/>
                <w:color w:val="22272E"/>
                <w:sz w:val="19"/>
              </w:rPr>
              <w:t>/api/auth/register</w:t>
            </w:r>
          </w:p>
        </w:tc>
        <w:tc>
          <w:tcPr>
            <w:tcW w:type="dxa" w:w="1872"/>
            <w:shd w:val="clear" w:color="auto" w:fill="FFFFFF"/>
            <w:tcMar>
              <w:top w:w="100" w:type="dxa"/>
              <w:bottom w:w="100" w:type="dxa"/>
              <w:left w:w="140" w:type="dxa"/>
              <w:right w:w="140" w:type="dxa"/>
            </w:tcMar>
          </w:tcPr>
          <w:p>
            <w:r>
              <w:rPr>
                <w:rFonts w:ascii="Calibri" w:hAnsi="Calibri"/>
                <w:color w:val="22272E"/>
                <w:sz w:val="19"/>
              </w:rPr>
              <w:t>Public</w:t>
            </w:r>
          </w:p>
        </w:tc>
        <w:tc>
          <w:tcPr>
            <w:tcW w:type="dxa" w:w="2736"/>
            <w:shd w:val="clear" w:color="auto" w:fill="FFFFFF"/>
            <w:tcMar>
              <w:top w:w="100" w:type="dxa"/>
              <w:bottom w:w="100" w:type="dxa"/>
              <w:left w:w="140" w:type="dxa"/>
              <w:right w:w="140" w:type="dxa"/>
            </w:tcMar>
          </w:tcPr>
          <w:p>
            <w:r>
              <w:rPr>
                <w:rFonts w:ascii="Calibri" w:hAnsi="Calibri"/>
                <w:color w:val="22272E"/>
                <w:sz w:val="19"/>
              </w:rPr>
              <w:t>Create account with {fullName, email, password, role}.</w:t>
            </w:r>
          </w:p>
        </w:tc>
      </w:tr>
      <w:tr>
        <w:tc>
          <w:tcPr>
            <w:tcW w:type="dxa" w:w="1584"/>
            <w:shd w:val="clear" w:color="auto" w:fill="F0F4F8"/>
            <w:tcMar>
              <w:top w:w="100" w:type="dxa"/>
              <w:bottom w:w="100" w:type="dxa"/>
              <w:left w:w="140" w:type="dxa"/>
              <w:right w:w="140" w:type="dxa"/>
            </w:tcMar>
          </w:tcPr>
          <w:p>
            <w:r>
              <w:rPr>
                <w:rFonts w:ascii="Calibri" w:hAnsi="Calibri"/>
                <w:color w:val="22272E"/>
                <w:sz w:val="19"/>
              </w:rPr>
              <w:t>POST</w:t>
            </w:r>
          </w:p>
        </w:tc>
        <w:tc>
          <w:tcPr>
            <w:tcW w:type="dxa" w:w="3168"/>
            <w:shd w:val="clear" w:color="auto" w:fill="F0F4F8"/>
            <w:tcMar>
              <w:top w:w="100" w:type="dxa"/>
              <w:bottom w:w="100" w:type="dxa"/>
              <w:left w:w="140" w:type="dxa"/>
              <w:right w:w="140" w:type="dxa"/>
            </w:tcMar>
          </w:tcPr>
          <w:p>
            <w:r>
              <w:rPr>
                <w:rFonts w:ascii="Calibri" w:hAnsi="Calibri"/>
                <w:color w:val="22272E"/>
                <w:sz w:val="19"/>
              </w:rPr>
              <w:t>/api/auth/login</w:t>
            </w:r>
          </w:p>
        </w:tc>
        <w:tc>
          <w:tcPr>
            <w:tcW w:type="dxa" w:w="1872"/>
            <w:shd w:val="clear" w:color="auto" w:fill="F0F4F8"/>
            <w:tcMar>
              <w:top w:w="100" w:type="dxa"/>
              <w:bottom w:w="100" w:type="dxa"/>
              <w:left w:w="140" w:type="dxa"/>
              <w:right w:w="140" w:type="dxa"/>
            </w:tcMar>
          </w:tcPr>
          <w:p>
            <w:r>
              <w:rPr>
                <w:rFonts w:ascii="Calibri" w:hAnsi="Calibri"/>
                <w:color w:val="22272E"/>
                <w:sz w:val="19"/>
              </w:rPr>
              <w:t>Public</w:t>
            </w:r>
          </w:p>
        </w:tc>
        <w:tc>
          <w:tcPr>
            <w:tcW w:type="dxa" w:w="2736"/>
            <w:shd w:val="clear" w:color="auto" w:fill="F0F4F8"/>
            <w:tcMar>
              <w:top w:w="100" w:type="dxa"/>
              <w:bottom w:w="100" w:type="dxa"/>
              <w:left w:w="140" w:type="dxa"/>
              <w:right w:w="140" w:type="dxa"/>
            </w:tcMar>
          </w:tcPr>
          <w:p>
            <w:r>
              <w:rPr>
                <w:rFonts w:ascii="Calibri" w:hAnsi="Calibri"/>
                <w:color w:val="22272E"/>
                <w:sz w:val="19"/>
              </w:rPr>
              <w:t>Authenticate; returns JWT token + user profile.</w:t>
            </w:r>
          </w:p>
        </w:tc>
      </w:tr>
      <w:tr>
        <w:tc>
          <w:tcPr>
            <w:tcW w:type="dxa" w:w="1584"/>
            <w:shd w:val="clear" w:color="auto" w:fill="FFFFFF"/>
            <w:tcMar>
              <w:top w:w="100" w:type="dxa"/>
              <w:bottom w:w="100" w:type="dxa"/>
              <w:left w:w="140" w:type="dxa"/>
              <w:right w:w="140" w:type="dxa"/>
            </w:tcMar>
          </w:tcPr>
          <w:p>
            <w:r>
              <w:rPr>
                <w:rFonts w:ascii="Calibri" w:hAnsi="Calibri"/>
                <w:color w:val="22272E"/>
                <w:sz w:val="19"/>
              </w:rPr>
              <w:t>GET</w:t>
            </w:r>
          </w:p>
        </w:tc>
        <w:tc>
          <w:tcPr>
            <w:tcW w:type="dxa" w:w="3168"/>
            <w:shd w:val="clear" w:color="auto" w:fill="FFFFFF"/>
            <w:tcMar>
              <w:top w:w="100" w:type="dxa"/>
              <w:bottom w:w="100" w:type="dxa"/>
              <w:left w:w="140" w:type="dxa"/>
              <w:right w:w="140" w:type="dxa"/>
            </w:tcMar>
          </w:tcPr>
          <w:p>
            <w:r>
              <w:rPr>
                <w:rFonts w:ascii="Calibri" w:hAnsi="Calibri"/>
                <w:color w:val="22272E"/>
                <w:sz w:val="19"/>
              </w:rPr>
              <w:t>/api/auth/demo-accounts</w:t>
            </w:r>
          </w:p>
        </w:tc>
        <w:tc>
          <w:tcPr>
            <w:tcW w:type="dxa" w:w="1872"/>
            <w:shd w:val="clear" w:color="auto" w:fill="FFFFFF"/>
            <w:tcMar>
              <w:top w:w="100" w:type="dxa"/>
              <w:bottom w:w="100" w:type="dxa"/>
              <w:left w:w="140" w:type="dxa"/>
              <w:right w:w="140" w:type="dxa"/>
            </w:tcMar>
          </w:tcPr>
          <w:p>
            <w:r>
              <w:rPr>
                <w:rFonts w:ascii="Calibri" w:hAnsi="Calibri"/>
                <w:color w:val="22272E"/>
                <w:sz w:val="19"/>
              </w:rPr>
              <w:t>Public</w:t>
            </w:r>
          </w:p>
        </w:tc>
        <w:tc>
          <w:tcPr>
            <w:tcW w:type="dxa" w:w="2736"/>
            <w:shd w:val="clear" w:color="auto" w:fill="FFFFFF"/>
            <w:tcMar>
              <w:top w:w="100" w:type="dxa"/>
              <w:bottom w:w="100" w:type="dxa"/>
              <w:left w:w="140" w:type="dxa"/>
              <w:right w:w="140" w:type="dxa"/>
            </w:tcMar>
          </w:tcPr>
          <w:p>
            <w:r>
              <w:rPr>
                <w:rFonts w:ascii="Calibri" w:hAnsi="Calibri"/>
                <w:color w:val="22272E"/>
                <w:sz w:val="19"/>
              </w:rPr>
              <w:t>Returns pre-seeded demo accounts for quick 1-click evaluation.</w:t>
            </w:r>
          </w:p>
        </w:tc>
      </w:tr>
      <w:tr>
        <w:tc>
          <w:tcPr>
            <w:tcW w:type="dxa" w:w="1584"/>
            <w:shd w:val="clear" w:color="auto" w:fill="F0F4F8"/>
            <w:tcMar>
              <w:top w:w="100" w:type="dxa"/>
              <w:bottom w:w="100" w:type="dxa"/>
              <w:left w:w="140" w:type="dxa"/>
              <w:right w:w="140" w:type="dxa"/>
            </w:tcMar>
          </w:tcPr>
          <w:p>
            <w:r>
              <w:rPr>
                <w:rFonts w:ascii="Calibri" w:hAnsi="Calibri"/>
                <w:color w:val="22272E"/>
                <w:sz w:val="19"/>
              </w:rPr>
              <w:t>POST</w:t>
            </w:r>
          </w:p>
        </w:tc>
        <w:tc>
          <w:tcPr>
            <w:tcW w:type="dxa" w:w="3168"/>
            <w:shd w:val="clear" w:color="auto" w:fill="F0F4F8"/>
            <w:tcMar>
              <w:top w:w="100" w:type="dxa"/>
              <w:bottom w:w="100" w:type="dxa"/>
              <w:left w:w="140" w:type="dxa"/>
              <w:right w:w="140" w:type="dxa"/>
            </w:tcMar>
          </w:tcPr>
          <w:p>
            <w:r>
              <w:rPr>
                <w:rFonts w:ascii="Calibri" w:hAnsi="Calibri"/>
                <w:color w:val="22272E"/>
                <w:sz w:val="19"/>
              </w:rPr>
              <w:t>/api/predict</w:t>
            </w:r>
          </w:p>
        </w:tc>
        <w:tc>
          <w:tcPr>
            <w:tcW w:type="dxa" w:w="1872"/>
            <w:shd w:val="clear" w:color="auto" w:fill="F0F4F8"/>
            <w:tcMar>
              <w:top w:w="100" w:type="dxa"/>
              <w:bottom w:w="100" w:type="dxa"/>
              <w:left w:w="140" w:type="dxa"/>
              <w:right w:w="140" w:type="dxa"/>
            </w:tcMar>
          </w:tcPr>
          <w:p>
            <w:r>
              <w:rPr>
                <w:rFonts w:ascii="Calibri" w:hAnsi="Calibri"/>
                <w:color w:val="22272E"/>
                <w:sz w:val="19"/>
              </w:rPr>
              <w:t>Farmer / Officer</w:t>
            </w:r>
          </w:p>
        </w:tc>
        <w:tc>
          <w:tcPr>
            <w:tcW w:type="dxa" w:w="2736"/>
            <w:shd w:val="clear" w:color="auto" w:fill="F0F4F8"/>
            <w:tcMar>
              <w:top w:w="100" w:type="dxa"/>
              <w:bottom w:w="100" w:type="dxa"/>
              <w:left w:w="140" w:type="dxa"/>
              <w:right w:w="140" w:type="dxa"/>
            </w:tcMar>
          </w:tcPr>
          <w:p>
            <w:r>
              <w:rPr>
                <w:rFonts w:ascii="Calibri" w:hAnsi="Calibri"/>
                <w:color w:val="22272E"/>
                <w:sz w:val="19"/>
              </w:rPr>
              <w:t>Multipart upload image, cropSpecies, farmLocation. Proxies to Flask.</w:t>
            </w:r>
          </w:p>
        </w:tc>
      </w:tr>
      <w:tr>
        <w:tc>
          <w:tcPr>
            <w:tcW w:type="dxa" w:w="1584"/>
            <w:shd w:val="clear" w:color="auto" w:fill="FFFFFF"/>
            <w:tcMar>
              <w:top w:w="100" w:type="dxa"/>
              <w:bottom w:w="100" w:type="dxa"/>
              <w:left w:w="140" w:type="dxa"/>
              <w:right w:w="140" w:type="dxa"/>
            </w:tcMar>
          </w:tcPr>
          <w:p>
            <w:r>
              <w:rPr>
                <w:rFonts w:ascii="Calibri" w:hAnsi="Calibri"/>
                <w:color w:val="22272E"/>
                <w:sz w:val="19"/>
              </w:rPr>
              <w:t>GET</w:t>
            </w:r>
          </w:p>
        </w:tc>
        <w:tc>
          <w:tcPr>
            <w:tcW w:type="dxa" w:w="3168"/>
            <w:shd w:val="clear" w:color="auto" w:fill="FFFFFF"/>
            <w:tcMar>
              <w:top w:w="100" w:type="dxa"/>
              <w:bottom w:w="100" w:type="dxa"/>
              <w:left w:w="140" w:type="dxa"/>
              <w:right w:w="140" w:type="dxa"/>
            </w:tcMar>
          </w:tcPr>
          <w:p>
            <w:r>
              <w:rPr>
                <w:rFonts w:ascii="Calibri" w:hAnsi="Calibri"/>
                <w:color w:val="22272E"/>
                <w:sz w:val="19"/>
              </w:rPr>
              <w:t>/api/history</w:t>
            </w:r>
          </w:p>
        </w:tc>
        <w:tc>
          <w:tcPr>
            <w:tcW w:type="dxa" w:w="1872"/>
            <w:shd w:val="clear" w:color="auto" w:fill="FFFFFF"/>
            <w:tcMar>
              <w:top w:w="100" w:type="dxa"/>
              <w:bottom w:w="100" w:type="dxa"/>
              <w:left w:w="140" w:type="dxa"/>
              <w:right w:w="140" w:type="dxa"/>
            </w:tcMar>
          </w:tcPr>
          <w:p>
            <w:r>
              <w:rPr>
                <w:rFonts w:ascii="Calibri" w:hAnsi="Calibri"/>
                <w:color w:val="22272E"/>
                <w:sz w:val="19"/>
              </w:rPr>
              <w:t>Authenticated</w:t>
            </w:r>
          </w:p>
        </w:tc>
        <w:tc>
          <w:tcPr>
            <w:tcW w:type="dxa" w:w="2736"/>
            <w:shd w:val="clear" w:color="auto" w:fill="FFFFFF"/>
            <w:tcMar>
              <w:top w:w="100" w:type="dxa"/>
              <w:bottom w:w="100" w:type="dxa"/>
              <w:left w:w="140" w:type="dxa"/>
              <w:right w:w="140" w:type="dxa"/>
            </w:tcMar>
          </w:tcPr>
          <w:p>
            <w:r>
              <w:rPr>
                <w:rFonts w:ascii="Calibri" w:hAnsi="Calibri"/>
                <w:color w:val="22272E"/>
                <w:sz w:val="19"/>
              </w:rPr>
              <w:t>Returns authenticated user's chronological scan log.</w:t>
            </w:r>
          </w:p>
        </w:tc>
      </w:tr>
      <w:tr>
        <w:tc>
          <w:tcPr>
            <w:tcW w:type="dxa" w:w="1584"/>
            <w:shd w:val="clear" w:color="auto" w:fill="F0F4F8"/>
            <w:tcMar>
              <w:top w:w="100" w:type="dxa"/>
              <w:bottom w:w="100" w:type="dxa"/>
              <w:left w:w="140" w:type="dxa"/>
              <w:right w:w="140" w:type="dxa"/>
            </w:tcMar>
          </w:tcPr>
          <w:p>
            <w:r>
              <w:rPr>
                <w:rFonts w:ascii="Calibri" w:hAnsi="Calibri"/>
                <w:color w:val="22272E"/>
                <w:sz w:val="19"/>
              </w:rPr>
              <w:t>GET</w:t>
            </w:r>
          </w:p>
        </w:tc>
        <w:tc>
          <w:tcPr>
            <w:tcW w:type="dxa" w:w="3168"/>
            <w:shd w:val="clear" w:color="auto" w:fill="F0F4F8"/>
            <w:tcMar>
              <w:top w:w="100" w:type="dxa"/>
              <w:bottom w:w="100" w:type="dxa"/>
              <w:left w:w="140" w:type="dxa"/>
              <w:right w:w="140" w:type="dxa"/>
            </w:tcMar>
          </w:tcPr>
          <w:p>
            <w:r>
              <w:rPr>
                <w:rFonts w:ascii="Calibri" w:hAnsi="Calibri"/>
                <w:color w:val="22272E"/>
                <w:sz w:val="19"/>
              </w:rPr>
              <w:t>/api/weather</w:t>
            </w:r>
          </w:p>
        </w:tc>
        <w:tc>
          <w:tcPr>
            <w:tcW w:type="dxa" w:w="1872"/>
            <w:shd w:val="clear" w:color="auto" w:fill="F0F4F8"/>
            <w:tcMar>
              <w:top w:w="100" w:type="dxa"/>
              <w:bottom w:w="100" w:type="dxa"/>
              <w:left w:w="140" w:type="dxa"/>
              <w:right w:w="140" w:type="dxa"/>
            </w:tcMar>
          </w:tcPr>
          <w:p>
            <w:r>
              <w:rPr>
                <w:rFonts w:ascii="Calibri" w:hAnsi="Calibri"/>
                <w:color w:val="22272E"/>
                <w:sz w:val="19"/>
              </w:rPr>
              <w:t>Authenticated</w:t>
            </w:r>
          </w:p>
        </w:tc>
        <w:tc>
          <w:tcPr>
            <w:tcW w:type="dxa" w:w="2736"/>
            <w:shd w:val="clear" w:color="auto" w:fill="F0F4F8"/>
            <w:tcMar>
              <w:top w:w="100" w:type="dxa"/>
              <w:bottom w:w="100" w:type="dxa"/>
              <w:left w:w="140" w:type="dxa"/>
              <w:right w:w="140" w:type="dxa"/>
            </w:tcMar>
          </w:tcPr>
          <w:p>
            <w:r>
              <w:rPr>
                <w:rFonts w:ascii="Calibri" w:hAnsi="Calibri"/>
                <w:color w:val="22272E"/>
                <w:sz w:val="19"/>
              </w:rPr>
              <w:t>Accepts ?lat=&amp;lon=&amp;district=; returns real-time Open-Meteo metrics + DRI.</w:t>
            </w:r>
          </w:p>
        </w:tc>
      </w:tr>
      <w:tr>
        <w:tc>
          <w:tcPr>
            <w:tcW w:type="dxa" w:w="1584"/>
            <w:shd w:val="clear" w:color="auto" w:fill="FFFFFF"/>
            <w:tcMar>
              <w:top w:w="100" w:type="dxa"/>
              <w:bottom w:w="100" w:type="dxa"/>
              <w:left w:w="140" w:type="dxa"/>
              <w:right w:w="140" w:type="dxa"/>
            </w:tcMar>
          </w:tcPr>
          <w:p>
            <w:r>
              <w:rPr>
                <w:rFonts w:ascii="Calibri" w:hAnsi="Calibri"/>
                <w:color w:val="22272E"/>
                <w:sz w:val="19"/>
              </w:rPr>
              <w:t>GET</w:t>
            </w:r>
          </w:p>
        </w:tc>
        <w:tc>
          <w:tcPr>
            <w:tcW w:type="dxa" w:w="3168"/>
            <w:shd w:val="clear" w:color="auto" w:fill="FFFFFF"/>
            <w:tcMar>
              <w:top w:w="100" w:type="dxa"/>
              <w:bottom w:w="100" w:type="dxa"/>
              <w:left w:w="140" w:type="dxa"/>
              <w:right w:w="140" w:type="dxa"/>
            </w:tcMar>
          </w:tcPr>
          <w:p>
            <w:r>
              <w:rPr>
                <w:rFonts w:ascii="Calibri" w:hAnsi="Calibri"/>
                <w:color w:val="22272E"/>
                <w:sz w:val="19"/>
              </w:rPr>
              <w:t>/api/recommendations/advisories</w:t>
            </w:r>
          </w:p>
        </w:tc>
        <w:tc>
          <w:tcPr>
            <w:tcW w:type="dxa" w:w="1872"/>
            <w:shd w:val="clear" w:color="auto" w:fill="FFFFFF"/>
            <w:tcMar>
              <w:top w:w="100" w:type="dxa"/>
              <w:bottom w:w="100" w:type="dxa"/>
              <w:left w:w="140" w:type="dxa"/>
              <w:right w:w="140" w:type="dxa"/>
            </w:tcMar>
          </w:tcPr>
          <w:p>
            <w:r>
              <w:rPr>
                <w:rFonts w:ascii="Calibri" w:hAnsi="Calibri"/>
                <w:color w:val="22272E"/>
                <w:sz w:val="19"/>
              </w:rPr>
              <w:t>Authenticated</w:t>
            </w:r>
          </w:p>
        </w:tc>
        <w:tc>
          <w:tcPr>
            <w:tcW w:type="dxa" w:w="2736"/>
            <w:shd w:val="clear" w:color="auto" w:fill="FFFFFF"/>
            <w:tcMar>
              <w:top w:w="100" w:type="dxa"/>
              <w:bottom w:w="100" w:type="dxa"/>
              <w:left w:w="140" w:type="dxa"/>
              <w:right w:w="140" w:type="dxa"/>
            </w:tcMar>
          </w:tcPr>
          <w:p>
            <w:r>
              <w:rPr>
                <w:rFonts w:ascii="Calibri" w:hAnsi="Calibri"/>
                <w:color w:val="22272E"/>
                <w:sz w:val="19"/>
              </w:rPr>
              <w:t>Returns disease treatment protocol + current microclimate spray windows.</w:t>
            </w:r>
          </w:p>
        </w:tc>
      </w:tr>
      <w:tr>
        <w:tc>
          <w:tcPr>
            <w:tcW w:type="dxa" w:w="1584"/>
            <w:shd w:val="clear" w:color="auto" w:fill="F0F4F8"/>
            <w:tcMar>
              <w:top w:w="100" w:type="dxa"/>
              <w:bottom w:w="100" w:type="dxa"/>
              <w:left w:w="140" w:type="dxa"/>
              <w:right w:w="140" w:type="dxa"/>
            </w:tcMar>
          </w:tcPr>
          <w:p>
            <w:r>
              <w:rPr>
                <w:rFonts w:ascii="Calibri" w:hAnsi="Calibri"/>
                <w:color w:val="22272E"/>
                <w:sz w:val="19"/>
              </w:rPr>
              <w:t>POST</w:t>
            </w:r>
          </w:p>
        </w:tc>
        <w:tc>
          <w:tcPr>
            <w:tcW w:type="dxa" w:w="3168"/>
            <w:shd w:val="clear" w:color="auto" w:fill="F0F4F8"/>
            <w:tcMar>
              <w:top w:w="100" w:type="dxa"/>
              <w:bottom w:w="100" w:type="dxa"/>
              <w:left w:w="140" w:type="dxa"/>
              <w:right w:w="140" w:type="dxa"/>
            </w:tcMar>
          </w:tcPr>
          <w:p>
            <w:r>
              <w:rPr>
                <w:rFonts w:ascii="Calibri" w:hAnsi="Calibri"/>
                <w:color w:val="22272E"/>
                <w:sz w:val="19"/>
              </w:rPr>
              <w:t>/api/recommendations/calculate-dosage</w:t>
            </w:r>
          </w:p>
        </w:tc>
        <w:tc>
          <w:tcPr>
            <w:tcW w:type="dxa" w:w="1872"/>
            <w:shd w:val="clear" w:color="auto" w:fill="F0F4F8"/>
            <w:tcMar>
              <w:top w:w="100" w:type="dxa"/>
              <w:bottom w:w="100" w:type="dxa"/>
              <w:left w:w="140" w:type="dxa"/>
              <w:right w:w="140" w:type="dxa"/>
            </w:tcMar>
          </w:tcPr>
          <w:p>
            <w:r>
              <w:rPr>
                <w:rFonts w:ascii="Calibri" w:hAnsi="Calibri"/>
                <w:color w:val="22272E"/>
                <w:sz w:val="19"/>
              </w:rPr>
              <w:t>Authenticated</w:t>
            </w:r>
          </w:p>
        </w:tc>
        <w:tc>
          <w:tcPr>
            <w:tcW w:type="dxa" w:w="2736"/>
            <w:shd w:val="clear" w:color="auto" w:fill="F0F4F8"/>
            <w:tcMar>
              <w:top w:w="100" w:type="dxa"/>
              <w:bottom w:w="100" w:type="dxa"/>
              <w:left w:w="140" w:type="dxa"/>
              <w:right w:w="140" w:type="dxa"/>
            </w:tcMar>
          </w:tcPr>
          <w:p>
            <w:r>
              <w:rPr>
                <w:rFonts w:ascii="Calibri" w:hAnsi="Calibri"/>
                <w:color w:val="22272E"/>
                <w:sz w:val="19"/>
              </w:rPr>
              <w:t>Accepts {acres, tankCapacity, chemicalType}; returns dilution math.</w:t>
            </w:r>
          </w:p>
        </w:tc>
      </w:tr>
      <w:tr>
        <w:tc>
          <w:tcPr>
            <w:tcW w:type="dxa" w:w="1584"/>
            <w:shd w:val="clear" w:color="auto" w:fill="FFFFFF"/>
            <w:tcMar>
              <w:top w:w="100" w:type="dxa"/>
              <w:bottom w:w="100" w:type="dxa"/>
              <w:left w:w="140" w:type="dxa"/>
              <w:right w:w="140" w:type="dxa"/>
            </w:tcMar>
          </w:tcPr>
          <w:p>
            <w:r>
              <w:rPr>
                <w:rFonts w:ascii="Calibri" w:hAnsi="Calibri"/>
                <w:color w:val="22272E"/>
                <w:sz w:val="19"/>
              </w:rPr>
              <w:t>GET</w:t>
            </w:r>
          </w:p>
        </w:tc>
        <w:tc>
          <w:tcPr>
            <w:tcW w:type="dxa" w:w="3168"/>
            <w:shd w:val="clear" w:color="auto" w:fill="FFFFFF"/>
            <w:tcMar>
              <w:top w:w="100" w:type="dxa"/>
              <w:bottom w:w="100" w:type="dxa"/>
              <w:left w:w="140" w:type="dxa"/>
              <w:right w:w="140" w:type="dxa"/>
            </w:tcMar>
          </w:tcPr>
          <w:p>
            <w:r>
              <w:rPr>
                <w:rFonts w:ascii="Calibri" w:hAnsi="Calibri"/>
                <w:color w:val="22272E"/>
                <w:sz w:val="19"/>
              </w:rPr>
              <w:t>/api/operations/reports</w:t>
            </w:r>
          </w:p>
        </w:tc>
        <w:tc>
          <w:tcPr>
            <w:tcW w:type="dxa" w:w="1872"/>
            <w:shd w:val="clear" w:color="auto" w:fill="FFFFFF"/>
            <w:tcMar>
              <w:top w:w="100" w:type="dxa"/>
              <w:bottom w:w="100" w:type="dxa"/>
              <w:left w:w="140" w:type="dxa"/>
              <w:right w:w="140" w:type="dxa"/>
            </w:tcMar>
          </w:tcPr>
          <w:p>
            <w:r>
              <w:rPr>
                <w:rFonts w:ascii="Calibri" w:hAnsi="Calibri"/>
                <w:color w:val="22272E"/>
                <w:sz w:val="19"/>
              </w:rPr>
              <w:t>Officer / Admin</w:t>
            </w:r>
          </w:p>
        </w:tc>
        <w:tc>
          <w:tcPr>
            <w:tcW w:type="dxa" w:w="2736"/>
            <w:shd w:val="clear" w:color="auto" w:fill="FFFFFF"/>
            <w:tcMar>
              <w:top w:w="100" w:type="dxa"/>
              <w:bottom w:w="100" w:type="dxa"/>
              <w:left w:w="140" w:type="dxa"/>
              <w:right w:w="140" w:type="dxa"/>
            </w:tcMar>
          </w:tcPr>
          <w:p>
            <w:r>
              <w:rPr>
                <w:rFonts w:ascii="Calibri" w:hAnsi="Calibri"/>
                <w:color w:val="22272E"/>
                <w:sz w:val="19"/>
              </w:rPr>
              <w:t>Returns district reports for agronomist verification.</w:t>
            </w:r>
          </w:p>
        </w:tc>
      </w:tr>
    </w:tbl>
    <w:p>
      <w:pPr>
        <w:pStyle w:val="Heading1"/>
        <w:spacing w:before="360" w:after="120"/>
      </w:pPr>
      <w:r>
        <w:rPr>
          <w:rFonts w:ascii="Calibri" w:hAnsi="Calibri"/>
          <w:b/>
          <w:color w:val="1B431E"/>
          <w:sz w:val="36"/>
        </w:rPr>
        <w:t>11. Unified Modeling Language (UML) Diagrams</w:t>
      </w:r>
    </w:p>
    <w:p>
      <w:pPr>
        <w:spacing w:after="120" w:line="276" w:lineRule="auto"/>
      </w:pPr>
      <w:r>
        <w:rPr>
          <w:rFonts w:ascii="Calibri" w:hAnsi="Calibri"/>
          <w:i w:val="0"/>
          <w:color w:val="22272E"/>
          <w:sz w:val="21"/>
        </w:rPr>
        <w:t>The following diagram illustrates the actor interactions and functional use cases within the AgriVision platform boundary. Actors include the Farmer (Primary Actor), Field Officer (Secondary Operational Actor), AI Engine (Automated Microservice Actor), and System Administrator (Governance Actor).</w:t>
      </w:r>
    </w:p>
    <w:p>
      <w:r>
        <w:drawing>
          <wp:inline xmlns:a="http://schemas.openxmlformats.org/drawingml/2006/main" xmlns:pic="http://schemas.openxmlformats.org/drawingml/2006/picture">
            <wp:extent cx="5943600" cy="2730843"/>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5943600" cy="2730843"/>
                    </a:xfrm>
                    <a:prstGeom prst="rect"/>
                  </pic:spPr>
                </pic:pic>
              </a:graphicData>
            </a:graphic>
          </wp:inline>
        </w:drawing>
      </w:r>
    </w:p>
    <w:p>
      <w:pPr>
        <w:spacing w:after="240"/>
        <w:jc w:val="center"/>
      </w:pPr>
      <w:r>
        <w:rPr>
          <w:rFonts w:ascii="Calibri" w:hAnsi="Calibri"/>
          <w:i/>
          <w:color w:val="606770"/>
          <w:sz w:val="18"/>
        </w:rPr>
        <w:t>Figure 1: Official UML 2.5 Use Case Diagram for AgriVision Precision Agriculture Platform</w:t>
      </w:r>
    </w:p>
    <w:p>
      <w:pPr>
        <w:pStyle w:val="Heading1"/>
        <w:spacing w:before="360" w:after="120"/>
      </w:pPr>
      <w:r>
        <w:rPr>
          <w:rFonts w:ascii="Calibri" w:hAnsi="Calibri"/>
          <w:b/>
          <w:color w:val="1B431E"/>
          <w:sz w:val="36"/>
        </w:rPr>
        <w:t>12. Security, Privacy &amp; Compliance Architecture</w:t>
      </w:r>
    </w:p>
    <w:p>
      <w:pPr>
        <w:pStyle w:val="ListBullet"/>
        <w:spacing w:after="60" w:line="276" w:lineRule="auto"/>
      </w:pPr>
      <w:r>
        <w:rPr>
          <w:rFonts w:ascii="Calibri" w:hAnsi="Calibri"/>
          <w:b/>
          <w:color w:val="1B431E"/>
          <w:sz w:val="21"/>
        </w:rPr>
        <w:t xml:space="preserve">Cryptographic Password Hashing: </w:t>
      </w:r>
      <w:r>
        <w:rPr>
          <w:rFonts w:ascii="Calibri" w:hAnsi="Calibri"/>
          <w:color w:val="22272E"/>
          <w:sz w:val="21"/>
        </w:rPr>
        <w:t>Passwords salted with 10 rounds of bcrypt prior to database write. Plaintext credentials are never retained in memory or logs.</w:t>
      </w:r>
    </w:p>
    <w:p>
      <w:pPr>
        <w:pStyle w:val="ListBullet"/>
        <w:spacing w:after="60" w:line="276" w:lineRule="auto"/>
      </w:pPr>
      <w:r>
        <w:rPr>
          <w:rFonts w:ascii="Calibri" w:hAnsi="Calibri"/>
          <w:b/>
          <w:color w:val="1B431E"/>
          <w:sz w:val="21"/>
        </w:rPr>
        <w:t xml:space="preserve">Stateless JWT Authorization: </w:t>
      </w:r>
      <w:r>
        <w:rPr>
          <w:rFonts w:ascii="Calibri" w:hAnsi="Calibri"/>
          <w:color w:val="22272E"/>
          <w:sz w:val="21"/>
        </w:rPr>
        <w:t>Stateless authentication via cryptographic JWT tokens bearing user ID and role claims, expiring after 7 days.</w:t>
      </w:r>
    </w:p>
    <w:p>
      <w:pPr>
        <w:pStyle w:val="ListBullet"/>
        <w:spacing w:after="60" w:line="276" w:lineRule="auto"/>
      </w:pPr>
      <w:r>
        <w:rPr>
          <w:rFonts w:ascii="Calibri" w:hAnsi="Calibri"/>
          <w:b/>
          <w:color w:val="1B431E"/>
          <w:sz w:val="21"/>
        </w:rPr>
        <w:t xml:space="preserve">Role-Based Access Control (RBAC): </w:t>
      </w:r>
      <w:r>
        <w:rPr>
          <w:rFonts w:ascii="Calibri" w:hAnsi="Calibri"/>
          <w:color w:val="22272E"/>
          <w:sz w:val="21"/>
        </w:rPr>
        <w:t>Custom requireRole middleware intercepts restricted operational endpoints (/api/operations/*), denying unauthorized privilege escalation.</w:t>
      </w:r>
    </w:p>
    <w:p>
      <w:pPr>
        <w:pStyle w:val="ListBullet"/>
        <w:spacing w:after="60" w:line="276" w:lineRule="auto"/>
      </w:pPr>
      <w:r>
        <w:rPr>
          <w:rFonts w:ascii="Calibri" w:hAnsi="Calibri"/>
          <w:b/>
          <w:color w:val="1B431E"/>
          <w:sz w:val="21"/>
        </w:rPr>
        <w:t xml:space="preserve">Upload Payload Hardening: </w:t>
      </w:r>
      <w:r>
        <w:rPr>
          <w:rFonts w:ascii="Calibri" w:hAnsi="Calibri"/>
          <w:color w:val="22272E"/>
          <w:sz w:val="21"/>
        </w:rPr>
        <w:t>Strict Multer file memory storage filters reject payloads &gt; 5 MB or files with invalid MIME types, mitigating image-buffer injection attacks.</w:t>
      </w:r>
    </w:p>
    <w:p>
      <w:pPr>
        <w:pStyle w:val="ListBullet"/>
        <w:spacing w:after="60" w:line="276" w:lineRule="auto"/>
      </w:pPr>
      <w:r>
        <w:rPr>
          <w:rFonts w:ascii="Calibri" w:hAnsi="Calibri"/>
          <w:b/>
          <w:color w:val="1B431E"/>
          <w:sz w:val="21"/>
        </w:rPr>
        <w:t xml:space="preserve">CORS &amp; Environment Hygiene: </w:t>
      </w:r>
      <w:r>
        <w:rPr>
          <w:rFonts w:ascii="Calibri" w:hAnsi="Calibri"/>
          <w:color w:val="22272E"/>
          <w:sz w:val="21"/>
        </w:rPr>
        <w:t>CORS policies configured to validate cross-origin requests; sanitized environment variables prevent cloud credential exposure.</w:t>
      </w:r>
    </w:p>
    <w:p>
      <w:pPr>
        <w:pStyle w:val="Heading1"/>
        <w:spacing w:before="360" w:after="120"/>
      </w:pPr>
      <w:r>
        <w:rPr>
          <w:rFonts w:ascii="Calibri" w:hAnsi="Calibri"/>
          <w:b/>
          <w:color w:val="1B431E"/>
          <w:sz w:val="36"/>
        </w:rPr>
        <w:t>13. Setup, Deployment &amp; Production Runbook</w:t>
      </w:r>
    </w:p>
    <w:p>
      <w:pPr>
        <w:spacing w:after="120" w:line="276" w:lineRule="auto"/>
      </w:pPr>
      <w:r>
        <w:rPr>
          <w:rFonts w:ascii="Calibri" w:hAnsi="Calibri"/>
          <w:i w:val="0"/>
          <w:color w:val="22272E"/>
          <w:sz w:val="21"/>
        </w:rPr>
        <w:t>To execute the complete application stack locally or in cloud containers:</w:t>
      </w:r>
    </w:p>
    <w:p>
      <w:pPr>
        <w:pStyle w:val="Heading2"/>
        <w:spacing w:before="280" w:after="80"/>
      </w:pPr>
      <w:r>
        <w:rPr>
          <w:rFonts w:ascii="Calibri" w:hAnsi="Calibri"/>
          <w:b/>
          <w:color w:val="547808"/>
          <w:sz w:val="28"/>
        </w:rPr>
        <w:t>Service 1: AI Microservice (Port 5000)</w:t>
      </w:r>
    </w:p>
    <w:p>
      <w:pPr>
        <w:pStyle w:val="ListBullet"/>
        <w:spacing w:after="60" w:line="276" w:lineRule="auto"/>
      </w:pPr>
      <w:r>
        <w:rPr>
          <w:rFonts w:ascii="Calibri" w:hAnsi="Calibri"/>
          <w:color w:val="22272E"/>
          <w:sz w:val="21"/>
        </w:rPr>
        <w:t>Navigate to ai_service directory: cd ai_service</w:t>
      </w:r>
    </w:p>
    <w:p>
      <w:pPr>
        <w:pStyle w:val="ListBullet"/>
        <w:spacing w:after="60" w:line="276" w:lineRule="auto"/>
      </w:pPr>
      <w:r>
        <w:rPr>
          <w:rFonts w:ascii="Calibri" w:hAnsi="Calibri"/>
          <w:color w:val="22272E"/>
          <w:sz w:val="21"/>
        </w:rPr>
        <w:t>Install PyTorch and dependencies: pip install -r requirements.txt</w:t>
      </w:r>
    </w:p>
    <w:p>
      <w:pPr>
        <w:pStyle w:val="ListBullet"/>
        <w:spacing w:after="60" w:line="276" w:lineRule="auto"/>
      </w:pPr>
      <w:r>
        <w:rPr>
          <w:rFonts w:ascii="Calibri" w:hAnsi="Calibri"/>
          <w:color w:val="22272E"/>
          <w:sz w:val="21"/>
        </w:rPr>
        <w:t>Launch Flask server: python app.py</w:t>
      </w:r>
    </w:p>
    <w:p>
      <w:pPr>
        <w:pStyle w:val="Heading2"/>
        <w:spacing w:before="280" w:after="80"/>
      </w:pPr>
      <w:r>
        <w:rPr>
          <w:rFonts w:ascii="Calibri" w:hAnsi="Calibri"/>
          <w:b/>
          <w:color w:val="547808"/>
          <w:sz w:val="28"/>
        </w:rPr>
        <w:t>Service 2: Node.js Backend Gateway (Port 4000)</w:t>
      </w:r>
    </w:p>
    <w:p>
      <w:pPr>
        <w:pStyle w:val="ListBullet"/>
        <w:spacing w:after="60" w:line="276" w:lineRule="auto"/>
      </w:pPr>
      <w:r>
        <w:rPr>
          <w:rFonts w:ascii="Calibri" w:hAnsi="Calibri"/>
          <w:color w:val="22272E"/>
          <w:sz w:val="21"/>
        </w:rPr>
        <w:t>Navigate to server directory: cd server</w:t>
      </w:r>
    </w:p>
    <w:p>
      <w:pPr>
        <w:pStyle w:val="ListBullet"/>
        <w:spacing w:after="60" w:line="276" w:lineRule="auto"/>
      </w:pPr>
      <w:r>
        <w:rPr>
          <w:rFonts w:ascii="Calibri" w:hAnsi="Calibri"/>
          <w:color w:val="22272E"/>
          <w:sz w:val="21"/>
        </w:rPr>
        <w:t>Install npm packages: npm install</w:t>
      </w:r>
    </w:p>
    <w:p>
      <w:pPr>
        <w:pStyle w:val="ListBullet"/>
        <w:spacing w:after="60" w:line="276" w:lineRule="auto"/>
      </w:pPr>
      <w:r>
        <w:rPr>
          <w:rFonts w:ascii="Calibri" w:hAnsi="Calibri"/>
          <w:color w:val="22272E"/>
          <w:sz w:val="21"/>
        </w:rPr>
        <w:t>Start Express server: node server.js</w:t>
      </w:r>
    </w:p>
    <w:p>
      <w:pPr>
        <w:pStyle w:val="Heading2"/>
        <w:spacing w:before="280" w:after="80"/>
      </w:pPr>
      <w:r>
        <w:rPr>
          <w:rFonts w:ascii="Calibri" w:hAnsi="Calibri"/>
          <w:b/>
          <w:color w:val="547808"/>
          <w:sz w:val="28"/>
        </w:rPr>
        <w:t>Service 3: React Vite Frontend (Port 5173)</w:t>
      </w:r>
    </w:p>
    <w:p>
      <w:pPr>
        <w:pStyle w:val="ListBullet"/>
        <w:spacing w:after="60" w:line="276" w:lineRule="auto"/>
      </w:pPr>
      <w:r>
        <w:rPr>
          <w:rFonts w:ascii="Calibri" w:hAnsi="Calibri"/>
          <w:color w:val="22272E"/>
          <w:sz w:val="21"/>
        </w:rPr>
        <w:t>Navigate to client directory: cd client</w:t>
      </w:r>
    </w:p>
    <w:p>
      <w:pPr>
        <w:pStyle w:val="ListBullet"/>
        <w:spacing w:after="60" w:line="276" w:lineRule="auto"/>
      </w:pPr>
      <w:r>
        <w:rPr>
          <w:rFonts w:ascii="Calibri" w:hAnsi="Calibri"/>
          <w:color w:val="22272E"/>
          <w:sz w:val="21"/>
        </w:rPr>
        <w:t>Install UI dependencies: npm install</w:t>
      </w:r>
    </w:p>
    <w:p>
      <w:pPr>
        <w:pStyle w:val="ListBullet"/>
        <w:spacing w:after="60" w:line="276" w:lineRule="auto"/>
      </w:pPr>
      <w:r>
        <w:rPr>
          <w:rFonts w:ascii="Calibri" w:hAnsi="Calibri"/>
          <w:color w:val="22272E"/>
          <w:sz w:val="21"/>
        </w:rPr>
        <w:t>Start development server: npm run dev</w:t>
      </w:r>
    </w:p>
    <w:p>
      <w:pPr>
        <w:spacing w:after="400"/>
      </w:pPr>
    </w:p>
    <w:tbl>
      <w:tblPr>
        <w:tblW w:type="auto" w:w="0"/>
        <w:jc w:val="center"/>
        <w:tblLayout w:type="fixed"/>
        <w:tblLook w:firstColumn="1" w:firstRow="1" w:lastColumn="0" w:lastRow="0" w:noHBand="0" w:noVBand="1" w:val="04A0"/>
      </w:tblPr>
      <w:tblGrid>
        <w:gridCol w:w="9360"/>
      </w:tblGrid>
      <w:tr>
        <w:tc>
          <w:tcPr>
            <w:tcW w:type="dxa" w:w="9360"/>
            <w:shd w:val="clear" w:color="auto" w:fill="EBF3E8"/>
            <w:tcMar>
              <w:top w:w="140" w:type="dxa"/>
              <w:bottom w:w="140" w:type="dxa"/>
              <w:left w:w="200" w:type="dxa"/>
              <w:right w:w="200" w:type="dxa"/>
            </w:tcMar>
          </w:tcPr>
          <w:p>
            <w:pPr>
              <w:spacing w:after="40"/>
            </w:pPr>
            <w:r>
              <w:rPr>
                <w:rFonts w:ascii="Calibri" w:hAnsi="Calibri"/>
                <w:b/>
                <w:color w:val="1B431E"/>
                <w:sz w:val="20"/>
              </w:rPr>
              <w:t xml:space="preserve">📌 DOCUMENTATION VERIFICATION CERTIFICATE: </w:t>
            </w:r>
            <w:r>
              <w:rPr>
                <w:rFonts w:ascii="Calibri" w:hAnsi="Calibri"/>
                <w:color w:val="22272E"/>
                <w:sz w:val="19"/>
              </w:rPr>
              <w:t>This product and system documentation was compiled from the live production codebase of AgriVision. All specifications, schemas, endpoints, and workflows reflect the active deployment under repository Madhan07-01/crop-disease-prediction.</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