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Governance Document</w:t>
      </w:r>
    </w:p>
    <w:p>
      <w:pPr>
        <w:pStyle w:val="Heading1"/>
      </w:pPr>
      <w:r>
        <w:t>1. Governance Structure</w:t>
      </w:r>
    </w:p>
    <w:p>
      <w:r>
        <w:t>A robust governance structure ensures accountability, data integrity, and alignment with business and regulatory requirements.</w:t>
      </w:r>
    </w:p>
    <w:p>
      <w:pPr>
        <w:pStyle w:val="Heading2"/>
      </w:pPr>
      <w:r>
        <w:t>Key Roles:</w:t>
      </w:r>
    </w:p>
    <w:p>
      <w:r>
        <w:rPr>
          <w:b/>
        </w:rPr>
        <w:t xml:space="preserve">Chief Data Officer (CDO): </w:t>
      </w:r>
      <w:r>
        <w:t>Responsible for data ownership, governance policies, and overall strategy.</w:t>
      </w:r>
    </w:p>
    <w:p>
      <w:r>
        <w:rPr>
          <w:b/>
        </w:rPr>
        <w:t xml:space="preserve">Chief Information Security Officer (CISO): </w:t>
      </w:r>
      <w:r>
        <w:t>Ensures data security, privacy controls, and risk mitigation.</w:t>
      </w:r>
    </w:p>
    <w:p>
      <w:r>
        <w:rPr>
          <w:b/>
        </w:rPr>
        <w:t xml:space="preserve">Compliance Manager: </w:t>
      </w:r>
      <w:r>
        <w:t>Oversees compliance with legal, regulatory, and internal policy standards.</w:t>
      </w:r>
    </w:p>
    <w:p>
      <w:r>
        <w:rPr>
          <w:b/>
        </w:rPr>
        <w:t xml:space="preserve">Data Stewards (per domain): </w:t>
      </w:r>
      <w:r>
        <w:t>Ensure data accuracy, consistency, and integrity within their specific domains.</w:t>
      </w:r>
    </w:p>
    <w:p>
      <w:pPr>
        <w:pStyle w:val="Heading1"/>
      </w:pPr>
      <w:r>
        <w:t>2. Data Classification</w:t>
      </w:r>
    </w:p>
    <w:p>
      <w:r>
        <w:t>Classifying data based on sensitivity helps apply appropriate controls and safeguards.</w:t>
      </w:r>
    </w:p>
    <w:p>
      <w:r>
        <w:rPr>
          <w:b/>
        </w:rPr>
        <w:t xml:space="preserve">Public Data: </w:t>
      </w:r>
      <w:r>
        <w:t>Non-sensitive information intended for public consumption. Examples: Marketing materials, published reports.</w:t>
      </w:r>
    </w:p>
    <w:p>
      <w:r>
        <w:rPr>
          <w:b/>
        </w:rPr>
        <w:t xml:space="preserve">Internal Data: </w:t>
      </w:r>
      <w:r>
        <w:t>Information restricted to internal organizational use. Examples: Internal policies, training manuals.</w:t>
      </w:r>
    </w:p>
    <w:p>
      <w:r>
        <w:rPr>
          <w:b/>
        </w:rPr>
        <w:t xml:space="preserve">Confidential Data: </w:t>
      </w:r>
      <w:r>
        <w:t>Sensitive data such as customer financial details requiring strict access controls. Examples: Account balances, credit ratings.</w:t>
      </w:r>
    </w:p>
    <w:p>
      <w:r>
        <w:rPr>
          <w:b/>
        </w:rPr>
        <w:t xml:space="preserve">Highly Sensitive Data: </w:t>
      </w:r>
      <w:r>
        <w:t>Critical data involving personal identification or financial transactions. Examples: Social security numbers, transaction histories.</w:t>
      </w:r>
    </w:p>
    <w:p>
      <w:pPr>
        <w:pStyle w:val="Heading1"/>
      </w:pPr>
      <w:r>
        <w:t>3. Data Lifecycle Management</w:t>
      </w:r>
    </w:p>
    <w:p>
      <w:r>
        <w:t>Managing data effectively across its lifecycle ensures consistency, compliance, and secure disposal.</w:t>
      </w:r>
    </w:p>
    <w:p>
      <w:pPr>
        <w:pStyle w:val="Heading2"/>
      </w:pPr>
      <w:r>
        <w:t>Creation</w:t>
      </w:r>
    </w:p>
    <w:p>
      <w:r>
        <w:t>• All input mechanisms must be validated and standardized.</w:t>
        <w:br/>
        <w:t>• Data accuracy is enforced at the point of capture.</w:t>
      </w:r>
    </w:p>
    <w:p>
      <w:pPr>
        <w:pStyle w:val="Heading2"/>
      </w:pPr>
      <w:r>
        <w:t>Storage</w:t>
      </w:r>
    </w:p>
    <w:p>
      <w:r>
        <w:t>• Data must be stored in encrypted formats.</w:t>
        <w:br/>
        <w:t>• Segregated storage solutions based on data classification.</w:t>
      </w:r>
    </w:p>
    <w:p>
      <w:pPr>
        <w:pStyle w:val="Heading2"/>
      </w:pPr>
      <w:r>
        <w:t>Access</w:t>
      </w:r>
    </w:p>
    <w:p>
      <w:r>
        <w:t>• Implement Role-Based Access Control (RBAC) to restrict access based on job roles.</w:t>
        <w:br/>
        <w:t>• Regular audits to review and update access privileges.</w:t>
      </w:r>
    </w:p>
    <w:p>
      <w:pPr>
        <w:pStyle w:val="Heading2"/>
      </w:pPr>
      <w:r>
        <w:t>Retention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Data Type</w:t>
            </w:r>
          </w:p>
        </w:tc>
        <w:tc>
          <w:tcPr>
            <w:tcW w:type="dxa" w:w="4320"/>
          </w:tcPr>
          <w:p>
            <w:r>
              <w:t>Retention Period</w:t>
            </w:r>
          </w:p>
        </w:tc>
      </w:tr>
      <w:tr>
        <w:tc>
          <w:tcPr>
            <w:tcW w:type="dxa" w:w="4320"/>
          </w:tcPr>
          <w:p>
            <w:r>
              <w:t>Transaction Records</w:t>
            </w:r>
          </w:p>
        </w:tc>
        <w:tc>
          <w:tcPr>
            <w:tcW w:type="dxa" w:w="4320"/>
          </w:tcPr>
          <w:p>
            <w:r>
              <w:t>7 years</w:t>
            </w:r>
          </w:p>
        </w:tc>
      </w:tr>
      <w:tr>
        <w:tc>
          <w:tcPr>
            <w:tcW w:type="dxa" w:w="4320"/>
          </w:tcPr>
          <w:p>
            <w:r>
              <w:t>Customer Records</w:t>
            </w:r>
          </w:p>
        </w:tc>
        <w:tc>
          <w:tcPr>
            <w:tcW w:type="dxa" w:w="4320"/>
          </w:tcPr>
          <w:p>
            <w:r>
              <w:t>10 years post-account closure</w:t>
            </w:r>
          </w:p>
        </w:tc>
      </w:tr>
      <w:tr>
        <w:tc>
          <w:tcPr>
            <w:tcW w:type="dxa" w:w="4320"/>
          </w:tcPr>
          <w:p>
            <w:r>
              <w:t>Loan Documents</w:t>
            </w:r>
          </w:p>
        </w:tc>
        <w:tc>
          <w:tcPr>
            <w:tcW w:type="dxa" w:w="4320"/>
          </w:tcPr>
          <w:p>
            <w:r>
              <w:t>Life of loan + 7 years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