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Compliance Strategy Document</w:t>
      </w:r>
    </w:p>
    <w:p>
      <w:pPr>
        <w:pStyle w:val="Heading2"/>
      </w:pPr>
      <w:r>
        <w:t>1. Regulatory Compliance</w:t>
      </w:r>
    </w:p>
    <w:p>
      <w:r>
        <w:t>To ensure full adherence to legal and financial regulations, the following frameworks will be implemented:</w:t>
      </w:r>
    </w:p>
    <w:p>
      <w:pPr>
        <w:pStyle w:val="Heading3"/>
      </w:pPr>
      <w:r>
        <w:t>Banking Regulations</w:t>
      </w:r>
    </w:p>
    <w:p>
      <w:r>
        <w:t>• Basel III Compliance</w:t>
        <w:br/>
        <w:t xml:space="preserve">  Implementation of capital adequacy requirements, liquidity risk management, and stress testing procedures in alignment with Basel III guidelines.</w:t>
      </w:r>
    </w:p>
    <w:p>
      <w:r>
        <w:t>• Anti-Money Laundering (AML) Guidelines</w:t>
        <w:br/>
        <w:t xml:space="preserve">  Deployment of robust AML policies including customer due diligence, transaction monitoring, and reporting obligations.</w:t>
      </w:r>
    </w:p>
    <w:p>
      <w:r>
        <w:t>• Know Your Customer (KYC) Regulations</w:t>
        <w:br/>
        <w:t xml:space="preserve">  Strict KYC procedures including customer identification, verification, and periodic reviews to prevent fraud and identity theft.</w:t>
      </w:r>
    </w:p>
    <w:p>
      <w:pPr>
        <w:pStyle w:val="Heading2"/>
      </w:pPr>
      <w:r>
        <w:t>2. Data Protection</w:t>
      </w:r>
    </w:p>
    <w:p>
      <w:r>
        <w:t>Maintaining privacy and security of client and organizational data is a top priority, and will follow:</w:t>
      </w:r>
    </w:p>
    <w:p>
      <w:pPr>
        <w:pStyle w:val="Heading3"/>
      </w:pPr>
      <w:r>
        <w:t>Global &amp; Regional Frameworks</w:t>
      </w:r>
    </w:p>
    <w:p>
      <w:r>
        <w:t>• GDPR (General Data Protection Regulation – European Union)</w:t>
        <w:br/>
        <w:t xml:space="preserve">  Compliance with all data subject rights, breach notification requirements, and lawful data processing principles.</w:t>
      </w:r>
    </w:p>
    <w:p>
      <w:r>
        <w:t>• CCPA (California Consumer Privacy Act)</w:t>
        <w:br/>
        <w:t xml:space="preserve">  Transparency in data collection, offering opt-out mechanisms, and consumer rights for access and deletion of personal data.</w:t>
      </w:r>
    </w:p>
    <w:p>
      <w:r>
        <w:t>• Local Banking Regulatory Compliance</w:t>
        <w:br/>
        <w:t xml:space="preserve">  Alignment with region-specific data protection laws and financial authority requirements, ensuring compliance across jurisdictions of operation.</w:t>
      </w:r>
    </w:p>
    <w:p>
      <w:pPr>
        <w:pStyle w:val="Heading2"/>
      </w:pPr>
      <w:r>
        <w:t>3. Compliance Mechanisms</w:t>
      </w:r>
    </w:p>
    <w:p>
      <w:r>
        <w:t>To enforce regulatory and data protection policies effectively, the following mechanisms will be instituted:</w:t>
      </w:r>
    </w:p>
    <w:p>
      <w:r>
        <w:t>• Automated Transaction Monitoring</w:t>
        <w:br/>
        <w:t xml:space="preserve">  Use of AI/ML-based systems for real-time detection of suspicious patterns, anomalies, and regulatory breaches.</w:t>
      </w:r>
    </w:p>
    <w:p>
      <w:r>
        <w:t>• Suspicious Activity Reporting (SAR)</w:t>
        <w:br/>
        <w:t xml:space="preserve">  Established protocols for identifying, documenting, and reporting suspicious financial behavior to authorities.</w:t>
      </w:r>
    </w:p>
    <w:p>
      <w:r>
        <w:t>• Regular Internal and External Audits</w:t>
        <w:br/>
        <w:t xml:space="preserve">  Scheduled audits to assess compliance status, identify risks, and implement corrective measures.</w:t>
      </w:r>
    </w:p>
    <w:p>
      <w:r>
        <w:t>• Comprehensive Documentation of Compliance Processes</w:t>
        <w:br/>
        <w:t xml:space="preserve">  Maintenance of up-to-date manuals, policies, and procedural records to ensure traceability, accountability, and audit readiness.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