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52"/>
          <w:szCs w:val="52"/>
        </w:rPr>
        <w:t xml:space="preserve">Software Requirements Specification</w:t>
      </w:r>
    </w:p>
    <w:p>
      <w:pPr>
        <w:spacing w:after="200" w:before="200"/>
        <w:jc w:val="center"/>
      </w:pPr>
      <w:r>
        <w:rPr>
          <w:color w:val="444444"/>
          <w:sz w:val="26"/>
          <w:szCs w:val="26"/>
        </w:rPr>
        <w:t xml:space="preserve">NodePulse APM — Zero-Config Application Performance Monitoring for Node.js / Express</w:t>
      </w:r>
    </w:p>
    <w:p>
      <w:pPr>
        <w:spacing w:before="1600"/>
        <w:jc w:val="center"/>
      </w:pPr>
      <w:r>
        <w:rPr>
          <w:color w:val="666666"/>
          <w:sz w:val="20"/>
          <w:szCs w:val="20"/>
        </w:rPr>
        <w:t xml:space="preserve">Version 0.3 (Approved architectural baseline; pre-implementation)</w:t>
      </w:r>
    </w:p>
    <w:p>
      <w:pPr>
        <w:jc w:val="center"/>
      </w:pPr>
      <w:r>
        <w:rPr>
          <w:color w:val="666666"/>
          <w:sz w:val="20"/>
          <w:szCs w:val="20"/>
        </w:rPr>
        <w:t xml:space="preserve">August 30, 2026</w:t>
      </w:r>
    </w:p>
    <w:p>
      <w:r>
        <w:br w:type="page"/>
      </w:r>
    </w:p>
    <w:p>
      <w:pPr>
        <w:pStyle w:val="Heading1"/>
        <w:spacing w:after="160" w:before="320"/>
      </w:pPr>
      <w:r>
        <w:t xml:space="preserve">1. Introduction</w:t>
      </w:r>
    </w:p>
    <w:p>
      <w:pPr>
        <w:pStyle w:val="Heading2"/>
        <w:spacing w:after="120" w:before="240"/>
      </w:pPr>
      <w:r>
        <w:t xml:space="preserve">1.1 Purpose</w:t>
      </w:r>
    </w:p>
    <w:p>
      <w:pPr>
        <w:spacing w:after="160"/>
      </w:pPr>
      <w:r>
        <w:t xml:space="preserve">This document specifies the functional and non-functional requirements for NodePulse APM (working title), an open-source npm package that provides automatic application performance monitoring for Node.js and Express servers. It is intended to guide design and implementation of the initial (v1 / MVP) release and to serve as a shared reference between the project author and any future contributors.</w:t>
      </w:r>
    </w:p>
    <w:p>
      <w:pPr>
        <w:pStyle w:val="Heading2"/>
        <w:spacing w:after="120" w:before="240"/>
      </w:pPr>
      <w:r>
        <w:t xml:space="preserve">1.2 Scope</w:t>
      </w:r>
    </w:p>
    <w:p>
      <w:pPr>
        <w:spacing w:after="160"/>
      </w:pPr>
      <w:r>
        <w:t xml:space="preserve">NodePulse APM shall, for a single Node.js process running an Express application, on a single server:</w:t>
      </w:r>
    </w:p>
    <w:p>
      <w:pPr>
        <w:pStyle w:val="ListParagraph"/>
        <w:numPr>
          <w:ilvl w:val="0"/>
          <w:numId w:val="2"/>
        </w:numPr>
        <w:spacing w:after="80"/>
      </w:pPr>
      <w:r>
        <w:t xml:space="preserve">Automatically instrument HTTP routes via middleware, with no per-route code changes.</w:t>
      </w:r>
    </w:p>
    <w:p>
      <w:pPr>
        <w:pStyle w:val="ListParagraph"/>
        <w:numPr>
          <w:ilvl w:val="0"/>
          <w:numId w:val="2"/>
        </w:numPr>
        <w:spacing w:after="80"/>
      </w:pPr>
      <w:r>
        <w:t xml:space="preserve">Collect response time, request volume, and error-rate data per route.</w:t>
      </w:r>
    </w:p>
    <w:p>
      <w:pPr>
        <w:pStyle w:val="ListParagraph"/>
        <w:numPr>
          <w:ilvl w:val="0"/>
          <w:numId w:val="2"/>
        </w:numPr>
        <w:spacing w:after="80"/>
      </w:pPr>
      <w:r>
        <w:t xml:space="preserve">Aggregate this data in-process using a bounded, time-bucketed rolling store.</w:t>
      </w:r>
    </w:p>
    <w:p>
      <w:pPr>
        <w:pStyle w:val="ListParagraph"/>
        <w:numPr>
          <w:ilvl w:val="0"/>
          <w:numId w:val="2"/>
        </w:numPr>
        <w:spacing w:after="80"/>
      </w:pPr>
      <w:r>
        <w:t xml:space="preserve">Compute accurate latency percentiles (p50/p95/p99) from that store.</w:t>
      </w:r>
    </w:p>
    <w:p>
      <w:pPr>
        <w:pStyle w:val="ListParagraph"/>
        <w:numPr>
          <w:ilvl w:val="0"/>
          <w:numId w:val="2"/>
        </w:numPr>
        <w:spacing w:after="80"/>
      </w:pPr>
      <w:r>
        <w:t xml:space="preserve">Expose a built-in, self-hosted, read-only dashboard for viewing these metrics.</w:t>
      </w:r>
    </w:p>
    <w:p>
      <w:pPr>
        <w:spacing w:after="160"/>
      </w:pPr>
      <w:r>
        <w:t xml:space="preserve">Multi-instance/multi-process aggregation, persistent (disk or external database) storage, alerting, and support for frameworks other than Express are explicitly out of scope for v1 and are noted as future directions in Section 2.4.</w:t>
      </w:r>
    </w:p>
    <w:p>
      <w:pPr>
        <w:pStyle w:val="Heading2"/>
        <w:spacing w:after="120" w:before="240"/>
      </w:pPr>
      <w:r>
        <w:t xml:space="preserve">1.3 Definitions, Acronyms, and Abbreviations</w:t>
      </w:r>
    </w:p>
    <w:p>
      <w:pPr>
        <w:pStyle w:val="ListParagraph"/>
        <w:numPr>
          <w:ilvl w:val="0"/>
          <w:numId w:val="2"/>
        </w:numPr>
        <w:spacing w:after="80"/>
      </w:pPr>
      <w:r>
        <w:t xml:space="preserve">APM — Application Performance Monitoring.</w:t>
      </w:r>
    </w:p>
    <w:p>
      <w:pPr>
        <w:pStyle w:val="ListParagraph"/>
        <w:numPr>
          <w:ilvl w:val="0"/>
          <w:numId w:val="2"/>
        </w:numPr>
        <w:spacing w:after="80"/>
      </w:pPr>
      <w:r>
        <w:t xml:space="preserve">RPS — Requests per second.</w:t>
      </w:r>
    </w:p>
    <w:p>
      <w:pPr>
        <w:pStyle w:val="ListParagraph"/>
        <w:numPr>
          <w:ilvl w:val="0"/>
          <w:numId w:val="2"/>
        </w:numPr>
        <w:spacing w:after="80"/>
      </w:pPr>
      <w:r>
        <w:t xml:space="preserve">Percentile (p50/p95/p99) — The response time below which 50%/95%/99% of requests fall, respectively.</w:t>
      </w:r>
    </w:p>
    <w:p>
      <w:pPr>
        <w:pStyle w:val="ListParagraph"/>
        <w:numPr>
          <w:ilvl w:val="0"/>
          <w:numId w:val="2"/>
        </w:numPr>
        <w:spacing w:after="80"/>
      </w:pPr>
      <w:r>
        <w:t xml:space="preserve">Route normalization — Mapping a literal request path (e.g. /users/123) to its route pattern (e.g. /users/:id) for aggregation.</w:t>
      </w:r>
    </w:p>
    <w:p>
      <w:pPr>
        <w:pStyle w:val="ListParagraph"/>
        <w:numPr>
          <w:ilvl w:val="0"/>
          <w:numId w:val="2"/>
        </w:numPr>
        <w:spacing w:after="80"/>
      </w:pPr>
      <w:r>
        <w:t xml:space="preserve">Time bucket — A fixed-duration interval (e.g. one minute) used to aggregate metrics for rolling-window storage.</w:t>
      </w:r>
    </w:p>
    <w:p>
      <w:pPr>
        <w:pStyle w:val="ListParagraph"/>
        <w:numPr>
          <w:ilvl w:val="0"/>
          <w:numId w:val="2"/>
        </w:numPr>
        <w:spacing w:after="80"/>
      </w:pPr>
      <w:r>
        <w:t xml:space="preserve">MVP — Minimum Viable Product; the v1 scope defined in this document.</w:t>
      </w:r>
    </w:p>
    <w:p>
      <w:pPr>
        <w:pStyle w:val="Heading2"/>
        <w:spacing w:after="120" w:before="240"/>
      </w:pPr>
      <w:r>
        <w:t xml:space="preserve">1.4 References</w:t>
      </w:r>
    </w:p>
    <w:p>
      <w:pPr>
        <w:pStyle w:val="ListParagraph"/>
        <w:numPr>
          <w:ilvl w:val="0"/>
          <w:numId w:val="2"/>
        </w:numPr>
        <w:spacing w:after="80"/>
      </w:pPr>
      <w:r>
        <w:t xml:space="preserve">Express.js official documentation (routing and middleware).</w:t>
      </w:r>
    </w:p>
    <w:p>
      <w:pPr>
        <w:pStyle w:val="ListParagraph"/>
        <w:numPr>
          <w:ilvl w:val="0"/>
          <w:numId w:val="2"/>
        </w:numPr>
        <w:spacing w:after="80"/>
      </w:pPr>
      <w:r>
        <w:t xml:space="preserve">Prometheus histogram and summary metric types (as a reference model for fixed-bucket percentile estimation).</w:t>
      </w:r>
    </w:p>
    <w:p>
      <w:pPr>
        <w:pStyle w:val="Heading2"/>
        <w:spacing w:after="120" w:before="240"/>
      </w:pPr>
      <w:r>
        <w:t xml:space="preserve">1.5 Overview</w:t>
      </w:r>
    </w:p>
    <w:p>
      <w:pPr>
        <w:spacing w:after="160"/>
      </w:pPr>
      <w:r>
        <w:t xml:space="preserve">Section 2 describes the product at a high level, including its context, functions, users, and constraints. Section 3 gives detailed functional and non-functional requirements, including external interfaces (3.3) and system architecture (3.4). Section 4 describes data requirements. Section 5 covers the verification approach. Section 6 lists appendices.</w:t>
      </w:r>
    </w:p>
    <w:p>
      <w:pPr>
        <w:pStyle w:val="Heading1"/>
        <w:spacing w:after="160" w:before="320"/>
      </w:pPr>
      <w:r>
        <w:t xml:space="preserve">2. Overall Description</w:t>
      </w:r>
    </w:p>
    <w:p>
      <w:pPr>
        <w:pStyle w:val="Heading2"/>
        <w:spacing w:after="120" w:before="240"/>
      </w:pPr>
      <w:r>
        <w:t xml:space="preserve">2.1 Product Perspective</w:t>
      </w:r>
    </w:p>
    <w:p>
      <w:pPr>
        <w:spacing w:after="160"/>
      </w:pPr>
      <w:r>
        <w:t xml:space="preserve">NodePulse is a standalone, self-contained npm package. It is not a service and has no required external dependencies (no database, no third-party API, no SaaS account). It attaches to an existing Express application as middleware and adds two additional routes to that same application: the HTML dashboard and the JSON metrics endpoint. It is designed to be the entire monitoring solution for a small-to-mid-size single-server deployment, not a component of a larger observability platform, though a Prometheus-compatible export is noted as a possible future integration point.</w:t>
      </w:r>
    </w:p>
    <w:p>
      <w:pPr>
        <w:pStyle w:val="Heading2"/>
        <w:spacing w:after="120" w:before="240"/>
      </w:pPr>
      <w:r>
        <w:t xml:space="preserve">2.2 Product Functions</w:t>
      </w:r>
    </w:p>
    <w:p>
      <w:pPr>
        <w:spacing w:after="160"/>
      </w:pPr>
      <w:r>
        <w:t xml:space="preserve">At a high level, the product shall:</w:t>
      </w:r>
    </w:p>
    <w:p>
      <w:pPr>
        <w:pStyle w:val="ListParagraph"/>
        <w:numPr>
          <w:ilvl w:val="0"/>
          <w:numId w:val="2"/>
        </w:numPr>
        <w:spacing w:after="80"/>
      </w:pPr>
      <w:r>
        <w:t xml:space="preserve">Record per-request performance data via middleware (see FR-1.x).</w:t>
      </w:r>
    </w:p>
    <w:p>
      <w:pPr>
        <w:pStyle w:val="ListParagraph"/>
        <w:numPr>
          <w:ilvl w:val="0"/>
          <w:numId w:val="2"/>
        </w:numPr>
        <w:spacing w:after="80"/>
      </w:pPr>
      <w:r>
        <w:t xml:space="preserve">Store and roll off that data in bounded memory (see FR-2.x).</w:t>
      </w:r>
    </w:p>
    <w:p>
      <w:pPr>
        <w:pStyle w:val="ListParagraph"/>
        <w:numPr>
          <w:ilvl w:val="0"/>
          <w:numId w:val="2"/>
        </w:numPr>
        <w:spacing w:after="80"/>
      </w:pPr>
      <w:r>
        <w:t xml:space="preserve">Derive aggregate statistics and percentiles on demand (see FR-3.x).</w:t>
      </w:r>
    </w:p>
    <w:p>
      <w:pPr>
        <w:pStyle w:val="ListParagraph"/>
        <w:numPr>
          <w:ilvl w:val="0"/>
          <w:numId w:val="2"/>
        </w:numPr>
        <w:spacing w:after="80"/>
      </w:pPr>
      <w:r>
        <w:t xml:space="preserve">Present those statistics through a built-in dashboard and JSON endpoint (see FR-4.x).</w:t>
      </w:r>
    </w:p>
    <w:p>
      <w:pPr>
        <w:pStyle w:val="ListParagraph"/>
        <w:numPr>
          <w:ilvl w:val="0"/>
          <w:numId w:val="2"/>
        </w:numPr>
        <w:spacing w:after="80"/>
      </w:pPr>
      <w:r>
        <w:t xml:space="preserve">Allow optional configuration while working correctly with zero configuration (see FR-5.x).</w:t>
      </w:r>
    </w:p>
    <w:p>
      <w:pPr>
        <w:pStyle w:val="Heading2"/>
        <w:spacing w:after="120" w:before="240"/>
      </w:pPr>
      <w:r>
        <w:t xml:space="preserve">2.3 User Characteristics</w:t>
      </w:r>
    </w:p>
    <w:p>
      <w:pPr>
        <w:spacing w:after="160"/>
      </w:pPr>
      <w:r>
        <w:t xml:space="preserve">The primary user is a Node.js/Express developer, ranging from a solo hobbyist to a member of a small engineering team, who is comfortable running npm install and adding one line of middleware, but who does not necessarily have experience operating Prometheus, Grafana, or a commercial APM agent. The product shall not assume familiarity with observability tooling beyond basic Express usage.</w:t>
      </w:r>
    </w:p>
    <w:p>
      <w:pPr>
        <w:pStyle w:val="Heading2"/>
        <w:spacing w:after="120" w:before="240"/>
      </w:pPr>
      <w:r>
        <w:t xml:space="preserve">2.4 Constraints</w:t>
      </w:r>
    </w:p>
    <w:p>
      <w:pPr>
        <w:pStyle w:val="ListParagraph"/>
        <w:numPr>
          <w:ilvl w:val="0"/>
          <w:numId w:val="2"/>
        </w:numPr>
        <w:spacing w:after="80"/>
      </w:pPr>
      <w:r>
        <w:t xml:space="preserve">Initial release targets a single Node.js process on a single server; no distributed or multi-instance aggregation.</w:t>
      </w:r>
    </w:p>
    <w:p>
      <w:pPr>
        <w:pStyle w:val="ListParagraph"/>
        <w:numPr>
          <w:ilvl w:val="0"/>
          <w:numId w:val="2"/>
        </w:numPr>
        <w:spacing w:after="80"/>
      </w:pPr>
      <w:r>
        <w:t xml:space="preserve">Metrics are held in memory only; a process restart clears all collected data in v1 (to be documented clearly for users).</w:t>
      </w:r>
    </w:p>
    <w:p>
      <w:pPr>
        <w:pStyle w:val="ListParagraph"/>
        <w:numPr>
          <w:ilvl w:val="0"/>
          <w:numId w:val="2"/>
        </w:numPr>
        <w:spacing w:after="80"/>
      </w:pPr>
      <w:r>
        <w:t xml:space="preserve">The package shall have no required native/compiled dependencies, to preserve simple, fast installation.</w:t>
      </w:r>
    </w:p>
    <w:p>
      <w:pPr>
        <w:pStyle w:val="ListParagraph"/>
        <w:numPr>
          <w:ilvl w:val="0"/>
          <w:numId w:val="2"/>
        </w:numPr>
        <w:spacing w:after="80"/>
      </w:pPr>
      <w:r>
        <w:t xml:space="preserve">The dashboard shall not require a separate front-end build step or external asset hosting.</w:t>
      </w:r>
    </w:p>
    <w:p>
      <w:pPr>
        <w:pStyle w:val="Heading2"/>
        <w:spacing w:after="120" w:before="240"/>
      </w:pPr>
      <w:r>
        <w:t xml:space="preserve">2.5 Assumptions and Dependencies</w:t>
      </w:r>
    </w:p>
    <w:p>
      <w:pPr>
        <w:pStyle w:val="ListParagraph"/>
        <w:numPr>
          <w:ilvl w:val="0"/>
          <w:numId w:val="2"/>
        </w:numPr>
        <w:spacing w:after="80"/>
      </w:pPr>
      <w:r>
        <w:t xml:space="preserve">The host application uses Express 4.x or later and standard Express routing conventions.</w:t>
      </w:r>
    </w:p>
    <w:p>
      <w:pPr>
        <w:pStyle w:val="ListParagraph"/>
        <w:numPr>
          <w:ilvl w:val="0"/>
          <w:numId w:val="2"/>
        </w:numPr>
        <w:spacing w:after="80"/>
      </w:pPr>
      <w:r>
        <w:t xml:space="preserve">The host server has sufficient available memory for the configured retention window and route cardinality; default settings are chosen to be safe for typical small-to-mid-size services.</w:t>
      </w:r>
    </w:p>
    <w:p>
      <w:pPr>
        <w:pStyle w:val="ListParagraph"/>
        <w:numPr>
          <w:ilvl w:val="0"/>
          <w:numId w:val="2"/>
        </w:numPr>
        <w:spacing w:after="80"/>
      </w:pPr>
      <w:r>
        <w:t xml:space="preserve">Node.js LTS runtime is available on the host.</w:t>
      </w:r>
    </w:p>
    <w:p>
      <w:pPr>
        <w:pStyle w:val="Heading1"/>
        <w:spacing w:after="160" w:before="320"/>
      </w:pPr>
      <w:r>
        <w:t xml:space="preserve">3. Specific Requirements</w:t>
      </w:r>
    </w:p>
    <w:p>
      <w:pPr>
        <w:spacing w:after="160"/>
      </w:pPr>
      <w:r>
        <w:t xml:space="preserve">Requirements are grouped by subsystem. Priority follows MoSCoW (Must / Should / Could) and reflects the v1 MVP scope defined in Section 1.2.</w:t>
      </w:r>
    </w:p>
    <w:p>
      <w:pPr>
        <w:pStyle w:val="Heading2"/>
        <w:spacing w:after="120" w:before="240"/>
      </w:pPr>
      <w:r>
        <w:t xml:space="preserve">3.1 Functional Requirements</w:t>
      </w:r>
    </w:p>
    <w:p>
      <w:pPr>
        <w:pStyle w:val="Heading3"/>
        <w:spacing w:after="100" w:before="200"/>
      </w:pPr>
      <w:r>
        <w:t xml:space="preserve">3.1.1 Instrumentation and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c>
          <w:tcPr>
            <w:tcW w:type="dxa" w:w="900"/>
            <w:shd w:fill="1F4E78" w:val="clear"/>
            <w:tcMar>
              <w:top w:type="dxa" w:w="80"/>
              <w:left w:type="dxa" w:w="100"/>
              <w:bottom w:type="dxa" w:w="80"/>
              <w:right w:type="dxa" w:w="100"/>
            </w:tcMar>
          </w:tcPr>
          <w:p>
            <w:r>
              <w:rPr>
                <w:b/>
                <w:bCs/>
                <w:color w:val="FFFFFF"/>
                <w:sz w:val="20"/>
                <w:szCs w:val="20"/>
              </w:rPr>
              <w:t xml:space="preserve">ID</w:t>
            </w:r>
          </w:p>
        </w:tc>
        <w:tc>
          <w:tcPr>
            <w:tcW w:type="dxa" w:w="7360"/>
            <w:shd w:fill="1F4E78" w:val="clear"/>
            <w:tcMar>
              <w:top w:type="dxa" w:w="80"/>
              <w:left w:type="dxa" w:w="100"/>
              <w:bottom w:type="dxa" w:w="80"/>
              <w:right w:type="dxa" w:w="100"/>
            </w:tcMar>
          </w:tcPr>
          <w:p>
            <w:r>
              <w:rPr>
                <w:b/>
                <w:bCs/>
                <w:color w:val="FFFFFF"/>
                <w:sz w:val="20"/>
                <w:szCs w:val="20"/>
              </w:rPr>
              <w:t xml:space="preserve">Requirement</w:t>
            </w:r>
          </w:p>
        </w:tc>
        <w:tc>
          <w:tcPr>
            <w:tcW w:type="dxa" w:w="1100"/>
            <w:shd w:fill="1F4E78"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FR-1.1</w:t>
            </w:r>
          </w:p>
        </w:tc>
        <w:tc>
          <w:tcPr>
            <w:tcW w:type="dxa" w:w="7360"/>
            <w:tcMar>
              <w:top w:type="dxa" w:w="80"/>
              <w:left w:type="dxa" w:w="100"/>
              <w:bottom w:type="dxa" w:w="80"/>
              <w:right w:type="dxa" w:w="100"/>
            </w:tcMar>
          </w:tcPr>
          <w:p>
            <w:r>
              <w:rPr>
                <w:b w:val="false"/>
                <w:bCs w:val="false"/>
                <w:sz w:val="20"/>
                <w:szCs w:val="20"/>
              </w:rPr>
              <w:t xml:space="preserve">The system shall provide an Express middleware function that, when attached via app.use(), automatically instruments all subsequently defined routes without requiring per-route code changes.</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FR-1.2</w:t>
            </w:r>
          </w:p>
        </w:tc>
        <w:tc>
          <w:tcPr>
            <w:tcW w:type="dxa" w:w="7360"/>
            <w:tcMar>
              <w:top w:type="dxa" w:w="80"/>
              <w:left w:type="dxa" w:w="100"/>
              <w:bottom w:type="dxa" w:w="80"/>
              <w:right w:type="dxa" w:w="100"/>
            </w:tcMar>
          </w:tcPr>
          <w:p>
            <w:r>
              <w:rPr>
                <w:b w:val="false"/>
                <w:bCs w:val="false"/>
                <w:sz w:val="20"/>
                <w:szCs w:val="20"/>
              </w:rPr>
              <w:t xml:space="preserve">For every completed, matched HTTP request/response cycle, the system shall capture: route key (method + normalized path, per FR-1.3a), response status code, and response time in milliseconds. Unmatched requests (FR-1.6) and aborted requests (FR-1.8) are governed by their own dedicated rules and are exempt from response-time capture.</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FR-1.3</w:t>
            </w:r>
          </w:p>
        </w:tc>
        <w:tc>
          <w:tcPr>
            <w:tcW w:type="dxa" w:w="7360"/>
            <w:tcMar>
              <w:top w:type="dxa" w:w="80"/>
              <w:left w:type="dxa" w:w="100"/>
              <w:bottom w:type="dxa" w:w="80"/>
              <w:right w:type="dxa" w:w="100"/>
            </w:tcMar>
          </w:tcPr>
          <w:p>
            <w:r>
              <w:rPr>
                <w:b w:val="false"/>
                <w:bCs w:val="false"/>
                <w:sz w:val="20"/>
                <w:szCs w:val="20"/>
              </w:rPr>
              <w:t xml:space="preserve">The system shall normalize dynamic route segments (e.g. /users/123) to their route pattern (e.g. /users/:id) using Express's route metadata, so that metrics aggregate correctly by endpoint rather than by literal URL.</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FR-1.3a</w:t>
            </w:r>
          </w:p>
        </w:tc>
        <w:tc>
          <w:tcPr>
            <w:tcW w:type="dxa" w:w="7360"/>
            <w:tcMar>
              <w:top w:type="dxa" w:w="80"/>
              <w:left w:type="dxa" w:w="100"/>
              <w:bottom w:type="dxa" w:w="80"/>
              <w:right w:type="dxa" w:w="100"/>
            </w:tcMar>
          </w:tcPr>
          <w:p>
            <w:r>
              <w:rPr>
                <w:b w:val="false"/>
                <w:bCs w:val="false"/>
                <w:sz w:val="20"/>
                <w:szCs w:val="20"/>
              </w:rPr>
              <w:t xml:space="preserve">Route identity for aggregation purposes shall be the combination of HTTP method and normalized path (e.g. "GET /users/:id"), tracked as a single key; the same path under different methods shall be aggregated separately.</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FR-1.4</w:t>
            </w:r>
          </w:p>
        </w:tc>
        <w:tc>
          <w:tcPr>
            <w:tcW w:type="dxa" w:w="7360"/>
            <w:tcMar>
              <w:top w:type="dxa" w:w="80"/>
              <w:left w:type="dxa" w:w="100"/>
              <w:bottom w:type="dxa" w:w="80"/>
              <w:right w:type="dxa" w:w="100"/>
            </w:tcMar>
          </w:tcPr>
          <w:p>
            <w:r>
              <w:rPr>
                <w:b w:val="false"/>
                <w:bCs w:val="false"/>
                <w:sz w:val="20"/>
                <w:szCs w:val="20"/>
              </w:rPr>
              <w:t xml:space="preserve">The system shall classify a response as an error if its status code is 500 or greater; classification of 4xx responses as errors shall be configurable.</w:t>
            </w:r>
          </w:p>
        </w:tc>
        <w:tc>
          <w:tcPr>
            <w:tcW w:type="dxa" w:w="1100"/>
            <w:tcMar>
              <w:top w:type="dxa" w:w="80"/>
              <w:left w:type="dxa" w:w="100"/>
              <w:bottom w:type="dxa" w:w="80"/>
              <w:right w:type="dxa" w:w="100"/>
            </w:tcMar>
          </w:tcPr>
          <w:p>
            <w:r>
              <w:rPr>
                <w:b w:val="false"/>
                <w:bCs w:val="false"/>
                <w:sz w:val="20"/>
                <w:szCs w:val="20"/>
              </w:rPr>
              <w:t xml:space="preserve">Should</w:t>
            </w:r>
          </w:p>
        </w:tc>
      </w:tr>
      <w:tr>
        <w:tc>
          <w:tcPr>
            <w:tcW w:type="dxa" w:w="900"/>
            <w:tcMar>
              <w:top w:type="dxa" w:w="80"/>
              <w:left w:type="dxa" w:w="100"/>
              <w:bottom w:type="dxa" w:w="80"/>
              <w:right w:type="dxa" w:w="100"/>
            </w:tcMar>
          </w:tcPr>
          <w:p>
            <w:r>
              <w:rPr>
                <w:b w:val="false"/>
                <w:bCs w:val="false"/>
                <w:sz w:val="20"/>
                <w:szCs w:val="20"/>
              </w:rPr>
              <w:t xml:space="preserve">FR-1.5</w:t>
            </w:r>
          </w:p>
        </w:tc>
        <w:tc>
          <w:tcPr>
            <w:tcW w:type="dxa" w:w="7360"/>
            <w:tcMar>
              <w:top w:type="dxa" w:w="80"/>
              <w:left w:type="dxa" w:w="100"/>
              <w:bottom w:type="dxa" w:w="80"/>
              <w:right w:type="dxa" w:w="100"/>
            </w:tcMar>
          </w:tcPr>
          <w:p>
            <w:r>
              <w:rPr>
                <w:b w:val="false"/>
                <w:bCs w:val="false"/>
                <w:sz w:val="20"/>
                <w:szCs w:val="20"/>
              </w:rPr>
              <w:t xml:space="preserve">The middleware shall add no more than 1ms of p95 overhead per request under typical load on a documented reference environment, measured against a no-op baseline (see Section 5).</w:t>
            </w:r>
          </w:p>
        </w:tc>
        <w:tc>
          <w:tcPr>
            <w:tcW w:type="dxa" w:w="1100"/>
            <w:tcMar>
              <w:top w:type="dxa" w:w="80"/>
              <w:left w:type="dxa" w:w="100"/>
              <w:bottom w:type="dxa" w:w="80"/>
              <w:right w:type="dxa" w:w="100"/>
            </w:tcMar>
          </w:tcPr>
          <w:p>
            <w:r>
              <w:rPr>
                <w:b w:val="false"/>
                <w:bCs w:val="false"/>
                <w:sz w:val="20"/>
                <w:szCs w:val="20"/>
              </w:rPr>
              <w:t xml:space="preserve">Must</w:t>
            </w:r>
          </w:p>
        </w:tc>
      </w:tr>
    </w:tbl>
    <w:p>
      <w:pPr>
        <w:pStyle w:val="Heading3"/>
        <w:spacing w:after="100" w:before="200"/>
      </w:pPr>
      <w:r>
        <w:t xml:space="preserve">3.1.2 Request Lifecycle Edge Cases</w:t>
      </w:r>
    </w:p>
    <w:p>
      <w:pPr>
        <w:spacing w:after="160"/>
      </w:pPr>
      <w:r>
        <w:t xml:space="preserve">Covers unmatched routes, aborted requests, and self-traffic exclusion — behaviors that are easy to leave implicit and get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c>
          <w:tcPr>
            <w:tcW w:type="dxa" w:w="900"/>
            <w:shd w:fill="1F4E78" w:val="clear"/>
            <w:tcMar>
              <w:top w:type="dxa" w:w="80"/>
              <w:left w:type="dxa" w:w="100"/>
              <w:bottom w:type="dxa" w:w="80"/>
              <w:right w:type="dxa" w:w="100"/>
            </w:tcMar>
          </w:tcPr>
          <w:p>
            <w:r>
              <w:rPr>
                <w:b/>
                <w:bCs/>
                <w:color w:val="FFFFFF"/>
                <w:sz w:val="20"/>
                <w:szCs w:val="20"/>
              </w:rPr>
              <w:t xml:space="preserve">ID</w:t>
            </w:r>
          </w:p>
        </w:tc>
        <w:tc>
          <w:tcPr>
            <w:tcW w:type="dxa" w:w="7360"/>
            <w:shd w:fill="1F4E78" w:val="clear"/>
            <w:tcMar>
              <w:top w:type="dxa" w:w="80"/>
              <w:left w:type="dxa" w:w="100"/>
              <w:bottom w:type="dxa" w:w="80"/>
              <w:right w:type="dxa" w:w="100"/>
            </w:tcMar>
          </w:tcPr>
          <w:p>
            <w:r>
              <w:rPr>
                <w:b/>
                <w:bCs/>
                <w:color w:val="FFFFFF"/>
                <w:sz w:val="20"/>
                <w:szCs w:val="20"/>
              </w:rPr>
              <w:t xml:space="preserve">Requirement</w:t>
            </w:r>
          </w:p>
        </w:tc>
        <w:tc>
          <w:tcPr>
            <w:tcW w:type="dxa" w:w="1100"/>
            <w:shd w:fill="1F4E78"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FR-1.6</w:t>
            </w:r>
          </w:p>
        </w:tc>
        <w:tc>
          <w:tcPr>
            <w:tcW w:type="dxa" w:w="7360"/>
            <w:tcMar>
              <w:top w:type="dxa" w:w="80"/>
              <w:left w:type="dxa" w:w="100"/>
              <w:bottom w:type="dxa" w:w="80"/>
              <w:right w:type="dxa" w:w="100"/>
            </w:tcMar>
          </w:tcPr>
          <w:p>
            <w:r>
              <w:rPr>
                <w:b w:val="false"/>
                <w:bCs w:val="false"/>
                <w:sz w:val="20"/>
                <w:szCs w:val="20"/>
              </w:rPr>
              <w:t xml:space="preserve">Requests with no matching Express route (req.route undefined, e.g. 404s) shall be recorded under a dedicated “unmatched” key, tracking total count plus a bounded statusCounts map (status code → count, capped at a fixed number of distinct codes with overflow grouped under an "other" status entry) — not per-route percentile histograms. Unmatched requests are exempt from the per-bucket latency fields required by FR-2.2.</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FR-1.7</w:t>
            </w:r>
          </w:p>
        </w:tc>
        <w:tc>
          <w:tcPr>
            <w:tcW w:type="dxa" w:w="7360"/>
            <w:tcMar>
              <w:top w:type="dxa" w:w="80"/>
              <w:left w:type="dxa" w:w="100"/>
              <w:bottom w:type="dxa" w:w="80"/>
              <w:right w:type="dxa" w:w="100"/>
            </w:tcMar>
          </w:tcPr>
          <w:p>
            <w:r>
              <w:rPr>
                <w:b w:val="false"/>
                <w:bCs w:val="false"/>
                <w:sz w:val="20"/>
                <w:szCs w:val="20"/>
              </w:rPr>
              <w:t xml:space="preserve">The middleware shall listen for both the response 'finish' and 'close' events to detect completion or client-initiated abort, and shall guard recording so that a single request/response cycle is never counted twice regardless of which event(s) fire.</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FR-1.8</w:t>
            </w:r>
          </w:p>
        </w:tc>
        <w:tc>
          <w:tcPr>
            <w:tcW w:type="dxa" w:w="7360"/>
            <w:tcMar>
              <w:top w:type="dxa" w:w="80"/>
              <w:left w:type="dxa" w:w="100"/>
              <w:bottom w:type="dxa" w:w="80"/>
              <w:right w:type="dxa" w:w="100"/>
            </w:tcMar>
          </w:tcPr>
          <w:p>
            <w:r>
              <w:rPr>
                <w:b w:val="false"/>
                <w:bCs w:val="false"/>
                <w:sz w:val="20"/>
                <w:szCs w:val="20"/>
              </w:rPr>
              <w:t xml:space="preserve">A client-aborted request (connection closed before 'finish') shall increment both requestCount and a dedicated abortedCount, but shall be excluded from errorCount and from latency/percentile statistics, since no valid completion time exists for it.</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FR-1.9</w:t>
            </w:r>
          </w:p>
        </w:tc>
        <w:tc>
          <w:tcPr>
            <w:tcW w:type="dxa" w:w="7360"/>
            <w:tcMar>
              <w:top w:type="dxa" w:w="80"/>
              <w:left w:type="dxa" w:w="100"/>
              <w:bottom w:type="dxa" w:w="80"/>
              <w:right w:type="dxa" w:w="100"/>
            </w:tcMar>
          </w:tcPr>
          <w:p>
            <w:r>
              <w:rPr>
                <w:b w:val="false"/>
                <w:bCs w:val="false"/>
                <w:sz w:val="20"/>
                <w:szCs w:val="20"/>
              </w:rPr>
              <w:t xml:space="preserve">The system shall automatically exclude its own dashboard and JSON metrics endpoints from instrumentation, so that polling traffic to those endpoints does not appear in or skew the reported metrics.</w:t>
            </w:r>
          </w:p>
        </w:tc>
        <w:tc>
          <w:tcPr>
            <w:tcW w:type="dxa" w:w="1100"/>
            <w:tcMar>
              <w:top w:type="dxa" w:w="80"/>
              <w:left w:type="dxa" w:w="100"/>
              <w:bottom w:type="dxa" w:w="80"/>
              <w:right w:type="dxa" w:w="100"/>
            </w:tcMar>
          </w:tcPr>
          <w:p>
            <w:r>
              <w:rPr>
                <w:b w:val="false"/>
                <w:bCs w:val="false"/>
                <w:sz w:val="20"/>
                <w:szCs w:val="20"/>
              </w:rPr>
              <w:t xml:space="preserve">Must</w:t>
            </w:r>
          </w:p>
        </w:tc>
      </w:tr>
    </w:tbl>
    <w:p>
      <w:pPr>
        <w:pStyle w:val="Heading3"/>
        <w:spacing w:after="100" w:before="200"/>
      </w:pPr>
      <w:r>
        <w:t xml:space="preserve">3.1.3 Data Collection and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c>
          <w:tcPr>
            <w:tcW w:type="dxa" w:w="900"/>
            <w:shd w:fill="1F4E78" w:val="clear"/>
            <w:tcMar>
              <w:top w:type="dxa" w:w="80"/>
              <w:left w:type="dxa" w:w="100"/>
              <w:bottom w:type="dxa" w:w="80"/>
              <w:right w:type="dxa" w:w="100"/>
            </w:tcMar>
          </w:tcPr>
          <w:p>
            <w:r>
              <w:rPr>
                <w:b/>
                <w:bCs/>
                <w:color w:val="FFFFFF"/>
                <w:sz w:val="20"/>
                <w:szCs w:val="20"/>
              </w:rPr>
              <w:t xml:space="preserve">ID</w:t>
            </w:r>
          </w:p>
        </w:tc>
        <w:tc>
          <w:tcPr>
            <w:tcW w:type="dxa" w:w="7360"/>
            <w:shd w:fill="1F4E78" w:val="clear"/>
            <w:tcMar>
              <w:top w:type="dxa" w:w="80"/>
              <w:left w:type="dxa" w:w="100"/>
              <w:bottom w:type="dxa" w:w="80"/>
              <w:right w:type="dxa" w:w="100"/>
            </w:tcMar>
          </w:tcPr>
          <w:p>
            <w:r>
              <w:rPr>
                <w:b/>
                <w:bCs/>
                <w:color w:val="FFFFFF"/>
                <w:sz w:val="20"/>
                <w:szCs w:val="20"/>
              </w:rPr>
              <w:t xml:space="preserve">Requirement</w:t>
            </w:r>
          </w:p>
        </w:tc>
        <w:tc>
          <w:tcPr>
            <w:tcW w:type="dxa" w:w="1100"/>
            <w:shd w:fill="1F4E78"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FR-2.1</w:t>
            </w:r>
          </w:p>
        </w:tc>
        <w:tc>
          <w:tcPr>
            <w:tcW w:type="dxa" w:w="7360"/>
            <w:tcMar>
              <w:top w:type="dxa" w:w="80"/>
              <w:left w:type="dxa" w:w="100"/>
              <w:bottom w:type="dxa" w:w="80"/>
              <w:right w:type="dxa" w:w="100"/>
            </w:tcMar>
          </w:tcPr>
          <w:p>
            <w:r>
              <w:rPr>
                <w:b w:val="false"/>
                <w:bCs w:val="false"/>
                <w:sz w:val="20"/>
                <w:szCs w:val="20"/>
              </w:rPr>
              <w:t xml:space="preserve">The system shall store metrics in-process, organized as a rolling window of fixed-duration time buckets (default: 60 buckets of 1 minute each) per normalized route.</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FR-2.1a</w:t>
            </w:r>
          </w:p>
        </w:tc>
        <w:tc>
          <w:tcPr>
            <w:tcW w:type="dxa" w:w="7360"/>
            <w:tcMar>
              <w:top w:type="dxa" w:w="80"/>
              <w:left w:type="dxa" w:w="100"/>
              <w:bottom w:type="dxa" w:w="80"/>
              <w:right w:type="dxa" w:w="100"/>
            </w:tcMar>
          </w:tcPr>
          <w:p>
            <w:r>
              <w:rPr>
                <w:b w:val="false"/>
                <w:bCs w:val="false"/>
                <w:sz w:val="20"/>
                <w:szCs w:val="20"/>
              </w:rPr>
              <w:t xml:space="preserve">The configured retentionMinutes, converted to seconds, shall be evenly divisible by bucketSizeSeconds, yielding an integer bucket count; configurations that do not divide evenly shall be rejected at startup (see FR-5.3).</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FR-2.2</w:t>
            </w:r>
          </w:p>
        </w:tc>
        <w:tc>
          <w:tcPr>
            <w:tcW w:type="dxa" w:w="7360"/>
            <w:tcMar>
              <w:top w:type="dxa" w:w="80"/>
              <w:left w:type="dxa" w:w="100"/>
              <w:bottom w:type="dxa" w:w="80"/>
              <w:right w:type="dxa" w:w="100"/>
            </w:tcMar>
          </w:tcPr>
          <w:p>
            <w:r>
              <w:rPr>
                <w:b w:val="false"/>
                <w:bCs w:val="false"/>
                <w:sz w:val="20"/>
                <w:szCs w:val="20"/>
              </w:rPr>
              <w:t xml:space="preserve">For every matched route (excluding "unmatched", per FR-1.6), each time bucket shall record: request count, error count, aborted count, sum/min/max of completed-response times, and counts within fixed latency histogram buckets, computed over completed (non-aborted) responses only per FR-1.8.</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FR-2.3</w:t>
            </w:r>
          </w:p>
        </w:tc>
        <w:tc>
          <w:tcPr>
            <w:tcW w:type="dxa" w:w="7360"/>
            <w:tcMar>
              <w:top w:type="dxa" w:w="80"/>
              <w:left w:type="dxa" w:w="100"/>
              <w:bottom w:type="dxa" w:w="80"/>
              <w:right w:type="dxa" w:w="100"/>
            </w:tcMar>
          </w:tcPr>
          <w:p>
            <w:r>
              <w:rPr>
                <w:b w:val="false"/>
                <w:bCs w:val="false"/>
                <w:sz w:val="20"/>
                <w:szCs w:val="20"/>
              </w:rPr>
              <w:t xml:space="preserve">The system shall automatically expire and discard buckets older than the configured retention window, keeping memory usage bounded independent of traffic volume.</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FR-2.4</w:t>
            </w:r>
          </w:p>
        </w:tc>
        <w:tc>
          <w:tcPr>
            <w:tcW w:type="dxa" w:w="7360"/>
            <w:tcMar>
              <w:top w:type="dxa" w:w="80"/>
              <w:left w:type="dxa" w:w="100"/>
              <w:bottom w:type="dxa" w:w="80"/>
              <w:right w:type="dxa" w:w="100"/>
            </w:tcMar>
          </w:tcPr>
          <w:p>
            <w:r>
              <w:rPr>
                <w:b w:val="false"/>
                <w:bCs w:val="false"/>
                <w:sz w:val="20"/>
                <w:szCs w:val="20"/>
              </w:rPr>
              <w:t xml:space="preserve">The system shall cap the number of distinct tracked route keys at a configurable maximum, aggregating any overflow under an "other" category, distinct from the "unmatched" key defined in FR-1.6, to bound memory in the presence of unnormalized or unbounded route cardinality.</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FR-2.5</w:t>
            </w:r>
          </w:p>
        </w:tc>
        <w:tc>
          <w:tcPr>
            <w:tcW w:type="dxa" w:w="7360"/>
            <w:tcMar>
              <w:top w:type="dxa" w:w="80"/>
              <w:left w:type="dxa" w:w="100"/>
              <w:bottom w:type="dxa" w:w="80"/>
              <w:right w:type="dxa" w:w="100"/>
            </w:tcMar>
          </w:tcPr>
          <w:p>
            <w:r>
              <w:rPr>
                <w:b w:val="false"/>
                <w:bCs w:val="false"/>
                <w:sz w:val="20"/>
                <w:szCs w:val="20"/>
              </w:rPr>
              <w:t xml:space="preserve">All metrics data shall be held only in the memory of the process in which the middleware is running; the system shall not transmit metrics data to any external network endpoint by default.</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FR-2.6</w:t>
            </w:r>
          </w:p>
        </w:tc>
        <w:tc>
          <w:tcPr>
            <w:tcW w:type="dxa" w:w="7360"/>
            <w:tcMar>
              <w:top w:type="dxa" w:w="80"/>
              <w:left w:type="dxa" w:w="100"/>
              <w:bottom w:type="dxa" w:w="80"/>
              <w:right w:type="dxa" w:w="100"/>
            </w:tcMar>
          </w:tcPr>
          <w:p>
            <w:r>
              <w:rPr>
                <w:b w:val="false"/>
                <w:bCs w:val="false"/>
                <w:sz w:val="20"/>
                <w:szCs w:val="20"/>
              </w:rPr>
              <w:t xml:space="preserve">The in-memory store shall sit behind an internal storage interface so it can be replaced (e.g. with a persistent or shared store) in a future release without changing the middleware or dashboard code. This interface is an internal implementation seam, not a documented public extension point — the only public API in v1 is nodepulse(options?).</w:t>
            </w:r>
          </w:p>
        </w:tc>
        <w:tc>
          <w:tcPr>
            <w:tcW w:type="dxa" w:w="1100"/>
            <w:tcMar>
              <w:top w:type="dxa" w:w="80"/>
              <w:left w:type="dxa" w:w="100"/>
              <w:bottom w:type="dxa" w:w="80"/>
              <w:right w:type="dxa" w:w="100"/>
            </w:tcMar>
          </w:tcPr>
          <w:p>
            <w:r>
              <w:rPr>
                <w:b w:val="false"/>
                <w:bCs w:val="false"/>
                <w:sz w:val="20"/>
                <w:szCs w:val="20"/>
              </w:rPr>
              <w:t xml:space="preserve">Could</w:t>
            </w:r>
          </w:p>
        </w:tc>
      </w:tr>
    </w:tbl>
    <w:p>
      <w:pPr>
        <w:pStyle w:val="Heading3"/>
        <w:spacing w:after="100" w:before="200"/>
      </w:pPr>
      <w:r>
        <w:t xml:space="preserve">3.1.4 Metrics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c>
          <w:tcPr>
            <w:tcW w:type="dxa" w:w="900"/>
            <w:shd w:fill="1F4E78" w:val="clear"/>
            <w:tcMar>
              <w:top w:type="dxa" w:w="80"/>
              <w:left w:type="dxa" w:w="100"/>
              <w:bottom w:type="dxa" w:w="80"/>
              <w:right w:type="dxa" w:w="100"/>
            </w:tcMar>
          </w:tcPr>
          <w:p>
            <w:r>
              <w:rPr>
                <w:b/>
                <w:bCs/>
                <w:color w:val="FFFFFF"/>
                <w:sz w:val="20"/>
                <w:szCs w:val="20"/>
              </w:rPr>
              <w:t xml:space="preserve">ID</w:t>
            </w:r>
          </w:p>
        </w:tc>
        <w:tc>
          <w:tcPr>
            <w:tcW w:type="dxa" w:w="7360"/>
            <w:shd w:fill="1F4E78" w:val="clear"/>
            <w:tcMar>
              <w:top w:type="dxa" w:w="80"/>
              <w:left w:type="dxa" w:w="100"/>
              <w:bottom w:type="dxa" w:w="80"/>
              <w:right w:type="dxa" w:w="100"/>
            </w:tcMar>
          </w:tcPr>
          <w:p>
            <w:r>
              <w:rPr>
                <w:b/>
                <w:bCs/>
                <w:color w:val="FFFFFF"/>
                <w:sz w:val="20"/>
                <w:szCs w:val="20"/>
              </w:rPr>
              <w:t xml:space="preserve">Requirement</w:t>
            </w:r>
          </w:p>
        </w:tc>
        <w:tc>
          <w:tcPr>
            <w:tcW w:type="dxa" w:w="1100"/>
            <w:shd w:fill="1F4E78"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FR-3.1</w:t>
            </w:r>
          </w:p>
        </w:tc>
        <w:tc>
          <w:tcPr>
            <w:tcW w:type="dxa" w:w="7360"/>
            <w:tcMar>
              <w:top w:type="dxa" w:w="80"/>
              <w:left w:type="dxa" w:w="100"/>
              <w:bottom w:type="dxa" w:w="80"/>
              <w:right w:type="dxa" w:w="100"/>
            </w:tcMar>
          </w:tcPr>
          <w:p>
            <w:r>
              <w:rPr>
                <w:b w:val="false"/>
                <w:bCs w:val="false"/>
                <w:sz w:val="20"/>
                <w:szCs w:val="20"/>
              </w:rPr>
              <w:t xml:space="preserve">For matched routes, the system shall compute, per route and per requested time window, requests-per-second, average response time, error rate (percentage), and p50/p95/p99 response-time percentiles. For the "unmatched" key (FR-1.6), only request count and status-code breakdown (statusCounts) shall be exposed — no latency or percentile metrics, since none are collected for it.</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FR-3.2</w:t>
            </w:r>
          </w:p>
        </w:tc>
        <w:tc>
          <w:tcPr>
            <w:tcW w:type="dxa" w:w="7360"/>
            <w:tcMar>
              <w:top w:type="dxa" w:w="80"/>
              <w:left w:type="dxa" w:w="100"/>
              <w:bottom w:type="dxa" w:w="80"/>
              <w:right w:type="dxa" w:w="100"/>
            </w:tcMar>
          </w:tcPr>
          <w:p>
            <w:r>
              <w:rPr>
                <w:b w:val="false"/>
                <w:bCs w:val="false"/>
                <w:sz w:val="20"/>
                <w:szCs w:val="20"/>
              </w:rPr>
              <w:t xml:space="preserve">Percentiles shall be computed from twelve fixed latency histogram buckets (&lt;5ms, &lt;10ms, &lt;25ms, &lt;50ms, &lt;100ms, &lt;250ms, &lt;500ms, &lt;1000ms, &lt;2500ms, &lt;5000ms, &lt;10000ms, ≥10000ms) using linear interpolation within the bucket containing the target rank — not from an average, and not by storing and sorting every individual raw value.</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FR-3.2a</w:t>
            </w:r>
          </w:p>
        </w:tc>
        <w:tc>
          <w:tcPr>
            <w:tcW w:type="dxa" w:w="7360"/>
            <w:tcMar>
              <w:top w:type="dxa" w:w="80"/>
              <w:left w:type="dxa" w:w="100"/>
              <w:bottom w:type="dxa" w:w="80"/>
              <w:right w:type="dxa" w:w="100"/>
            </w:tcMar>
          </w:tcPr>
          <w:p>
            <w:r>
              <w:rPr>
                <w:b w:val="false"/>
                <w:bCs w:val="false"/>
                <w:sz w:val="20"/>
                <w:szCs w:val="20"/>
              </w:rPr>
              <w:t xml:space="preserve">For the unbounded ≥10000ms bucket, interpolation shall use the maximum observed response time within that bucket as its effective upper bound, rather than an arbitrary or infinite ceiling.</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FR-3.3</w:t>
            </w:r>
          </w:p>
        </w:tc>
        <w:tc>
          <w:tcPr>
            <w:tcW w:type="dxa" w:w="7360"/>
            <w:tcMar>
              <w:top w:type="dxa" w:w="80"/>
              <w:left w:type="dxa" w:w="100"/>
              <w:bottom w:type="dxa" w:w="80"/>
              <w:right w:type="dxa" w:w="100"/>
            </w:tcMar>
          </w:tcPr>
          <w:p>
            <w:r>
              <w:rPr>
                <w:b w:val="false"/>
                <w:bCs w:val="false"/>
                <w:sz w:val="20"/>
                <w:szCs w:val="20"/>
              </w:rPr>
              <w:t xml:space="preserve">The system shall support querying aggregated metrics over the full retained window as well as over shorter recent sub-windows (e.g. last 1 minute, last 5 minutes) where supported by the underlying buckets.</w:t>
            </w:r>
          </w:p>
        </w:tc>
        <w:tc>
          <w:tcPr>
            <w:tcW w:type="dxa" w:w="1100"/>
            <w:tcMar>
              <w:top w:type="dxa" w:w="80"/>
              <w:left w:type="dxa" w:w="100"/>
              <w:bottom w:type="dxa" w:w="80"/>
              <w:right w:type="dxa" w:w="100"/>
            </w:tcMar>
          </w:tcPr>
          <w:p>
            <w:r>
              <w:rPr>
                <w:b w:val="false"/>
                <w:bCs w:val="false"/>
                <w:sz w:val="20"/>
                <w:szCs w:val="20"/>
              </w:rPr>
              <w:t xml:space="preserve">Should</w:t>
            </w:r>
          </w:p>
        </w:tc>
      </w:tr>
      <w:tr>
        <w:tc>
          <w:tcPr>
            <w:tcW w:type="dxa" w:w="900"/>
            <w:tcMar>
              <w:top w:type="dxa" w:w="80"/>
              <w:left w:type="dxa" w:w="100"/>
              <w:bottom w:type="dxa" w:w="80"/>
              <w:right w:type="dxa" w:w="100"/>
            </w:tcMar>
          </w:tcPr>
          <w:p>
            <w:r>
              <w:rPr>
                <w:b w:val="false"/>
                <w:bCs w:val="false"/>
                <w:sz w:val="20"/>
                <w:szCs w:val="20"/>
              </w:rPr>
              <w:t xml:space="preserve">FR-3.4</w:t>
            </w:r>
          </w:p>
        </w:tc>
        <w:tc>
          <w:tcPr>
            <w:tcW w:type="dxa" w:w="7360"/>
            <w:tcMar>
              <w:top w:type="dxa" w:w="80"/>
              <w:left w:type="dxa" w:w="100"/>
              <w:bottom w:type="dxa" w:w="80"/>
              <w:right w:type="dxa" w:w="100"/>
            </w:tcMar>
          </w:tcPr>
          <w:p>
            <w:r>
              <w:rPr>
                <w:b w:val="false"/>
                <w:bCs w:val="false"/>
                <w:sz w:val="20"/>
                <w:szCs w:val="20"/>
              </w:rPr>
              <w:t xml:space="preserve">The formal correctness guarantee for a reported percentile is that it falls within the width of the histogram bucket containing the true value (bounded per FR-3.2a for the top bucket); this bound holds for any input distribution. A supplementary benchmark asserting percentiles are within 5% relative error of an exact calculation shall be maintained for representative test distributions, but is not itself a guarantee that holds for every possible distribution given fixed bucket boundaries.</w:t>
            </w:r>
          </w:p>
        </w:tc>
        <w:tc>
          <w:tcPr>
            <w:tcW w:type="dxa" w:w="1100"/>
            <w:tcMar>
              <w:top w:type="dxa" w:w="80"/>
              <w:left w:type="dxa" w:w="100"/>
              <w:bottom w:type="dxa" w:w="80"/>
              <w:right w:type="dxa" w:w="100"/>
            </w:tcMar>
          </w:tcPr>
          <w:p>
            <w:r>
              <w:rPr>
                <w:b w:val="false"/>
                <w:bCs w:val="false"/>
                <w:sz w:val="20"/>
                <w:szCs w:val="20"/>
              </w:rPr>
              <w:t xml:space="preserve">Must</w:t>
            </w:r>
          </w:p>
        </w:tc>
      </w:tr>
    </w:tbl>
    <w:p>
      <w:pPr>
        <w:pStyle w:val="Heading3"/>
        <w:spacing w:after="100" w:before="200"/>
      </w:pPr>
      <w:r>
        <w:t xml:space="preserve">3.1.5 Dashboard and Metrics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c>
          <w:tcPr>
            <w:tcW w:type="dxa" w:w="900"/>
            <w:shd w:fill="1F4E78" w:val="clear"/>
            <w:tcMar>
              <w:top w:type="dxa" w:w="80"/>
              <w:left w:type="dxa" w:w="100"/>
              <w:bottom w:type="dxa" w:w="80"/>
              <w:right w:type="dxa" w:w="100"/>
            </w:tcMar>
          </w:tcPr>
          <w:p>
            <w:r>
              <w:rPr>
                <w:b/>
                <w:bCs/>
                <w:color w:val="FFFFFF"/>
                <w:sz w:val="20"/>
                <w:szCs w:val="20"/>
              </w:rPr>
              <w:t xml:space="preserve">ID</w:t>
            </w:r>
          </w:p>
        </w:tc>
        <w:tc>
          <w:tcPr>
            <w:tcW w:type="dxa" w:w="7360"/>
            <w:shd w:fill="1F4E78" w:val="clear"/>
            <w:tcMar>
              <w:top w:type="dxa" w:w="80"/>
              <w:left w:type="dxa" w:w="100"/>
              <w:bottom w:type="dxa" w:w="80"/>
              <w:right w:type="dxa" w:w="100"/>
            </w:tcMar>
          </w:tcPr>
          <w:p>
            <w:r>
              <w:rPr>
                <w:b/>
                <w:bCs/>
                <w:color w:val="FFFFFF"/>
                <w:sz w:val="20"/>
                <w:szCs w:val="20"/>
              </w:rPr>
              <w:t xml:space="preserve">Requirement</w:t>
            </w:r>
          </w:p>
        </w:tc>
        <w:tc>
          <w:tcPr>
            <w:tcW w:type="dxa" w:w="1100"/>
            <w:shd w:fill="1F4E78"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FR-4.1</w:t>
            </w:r>
          </w:p>
        </w:tc>
        <w:tc>
          <w:tcPr>
            <w:tcW w:type="dxa" w:w="7360"/>
            <w:tcMar>
              <w:top w:type="dxa" w:w="80"/>
              <w:left w:type="dxa" w:w="100"/>
              <w:bottom w:type="dxa" w:w="80"/>
              <w:right w:type="dxa" w:w="100"/>
            </w:tcMar>
          </w:tcPr>
          <w:p>
            <w:r>
              <w:rPr>
                <w:b w:val="false"/>
                <w:bCs w:val="false"/>
                <w:sz w:val="20"/>
                <w:szCs w:val="20"/>
              </w:rPr>
              <w:t xml:space="preserve">The system shall expose a built-in, self-hosted HTTP endpoint (default path configurable, e.g. /nodepulse) that serves an HTML dashboard summarizing current metrics.</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FR-4.2</w:t>
            </w:r>
          </w:p>
        </w:tc>
        <w:tc>
          <w:tcPr>
            <w:tcW w:type="dxa" w:w="7360"/>
            <w:tcMar>
              <w:top w:type="dxa" w:w="80"/>
              <w:left w:type="dxa" w:w="100"/>
              <w:bottom w:type="dxa" w:w="80"/>
              <w:right w:type="dxa" w:w="100"/>
            </w:tcMar>
          </w:tcPr>
          <w:p>
            <w:r>
              <w:rPr>
                <w:b w:val="false"/>
                <w:bCs w:val="false"/>
                <w:sz w:val="20"/>
                <w:szCs w:val="20"/>
              </w:rPr>
              <w:t xml:space="preserve">The dashboard shall be self-contained (inlined CSS/JS, no external build step or CDN dependency required) so it functions immediately after installation.</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FR-4.3</w:t>
            </w:r>
          </w:p>
        </w:tc>
        <w:tc>
          <w:tcPr>
            <w:tcW w:type="dxa" w:w="7360"/>
            <w:tcMar>
              <w:top w:type="dxa" w:w="80"/>
              <w:left w:type="dxa" w:w="100"/>
              <w:bottom w:type="dxa" w:w="80"/>
              <w:right w:type="dxa" w:w="100"/>
            </w:tcMar>
          </w:tcPr>
          <w:p>
            <w:r>
              <w:rPr>
                <w:b w:val="false"/>
                <w:bCs w:val="false"/>
                <w:sz w:val="20"/>
                <w:szCs w:val="20"/>
              </w:rPr>
              <w:t xml:space="preserve">The dashboard shall display, per route: current requests/sec, average and p95 latency, error rate, and a visual indicator (e.g. sparkline or simple chart) of recent trend.</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FR-4.4</w:t>
            </w:r>
          </w:p>
        </w:tc>
        <w:tc>
          <w:tcPr>
            <w:tcW w:type="dxa" w:w="7360"/>
            <w:tcMar>
              <w:top w:type="dxa" w:w="80"/>
              <w:left w:type="dxa" w:w="100"/>
              <w:bottom w:type="dxa" w:w="80"/>
              <w:right w:type="dxa" w:w="100"/>
            </w:tcMar>
          </w:tcPr>
          <w:p>
            <w:r>
              <w:rPr>
                <w:b w:val="false"/>
                <w:bCs w:val="false"/>
                <w:sz w:val="20"/>
                <w:szCs w:val="20"/>
              </w:rPr>
              <w:t xml:space="preserve">The dashboard shall refresh automatically on a short polling interval (default a few seconds) without requiring a manual page reload.</w:t>
            </w:r>
          </w:p>
        </w:tc>
        <w:tc>
          <w:tcPr>
            <w:tcW w:type="dxa" w:w="1100"/>
            <w:tcMar>
              <w:top w:type="dxa" w:w="80"/>
              <w:left w:type="dxa" w:w="100"/>
              <w:bottom w:type="dxa" w:w="80"/>
              <w:right w:type="dxa" w:w="100"/>
            </w:tcMar>
          </w:tcPr>
          <w:p>
            <w:r>
              <w:rPr>
                <w:b w:val="false"/>
                <w:bCs w:val="false"/>
                <w:sz w:val="20"/>
                <w:szCs w:val="20"/>
              </w:rPr>
              <w:t xml:space="preserve">Should</w:t>
            </w:r>
          </w:p>
        </w:tc>
      </w:tr>
      <w:tr>
        <w:tc>
          <w:tcPr>
            <w:tcW w:type="dxa" w:w="900"/>
            <w:tcMar>
              <w:top w:type="dxa" w:w="80"/>
              <w:left w:type="dxa" w:w="100"/>
              <w:bottom w:type="dxa" w:w="80"/>
              <w:right w:type="dxa" w:w="100"/>
            </w:tcMar>
          </w:tcPr>
          <w:p>
            <w:r>
              <w:rPr>
                <w:b w:val="false"/>
                <w:bCs w:val="false"/>
                <w:sz w:val="20"/>
                <w:szCs w:val="20"/>
              </w:rPr>
              <w:t xml:space="preserve">FR-4.5</w:t>
            </w:r>
          </w:p>
        </w:tc>
        <w:tc>
          <w:tcPr>
            <w:tcW w:type="dxa" w:w="7360"/>
            <w:tcMar>
              <w:top w:type="dxa" w:w="80"/>
              <w:left w:type="dxa" w:w="100"/>
              <w:bottom w:type="dxa" w:w="80"/>
              <w:right w:type="dxa" w:w="100"/>
            </w:tcMar>
          </w:tcPr>
          <w:p>
            <w:r>
              <w:rPr>
                <w:b w:val="false"/>
                <w:bCs w:val="false"/>
                <w:sz w:val="20"/>
                <w:szCs w:val="20"/>
              </w:rPr>
              <w:t xml:space="preserve">The system shall also expose the same aggregated metrics as raw JSON at a documented endpoint, to support scripting and future integrations.</w:t>
            </w:r>
          </w:p>
        </w:tc>
        <w:tc>
          <w:tcPr>
            <w:tcW w:type="dxa" w:w="1100"/>
            <w:tcMar>
              <w:top w:type="dxa" w:w="80"/>
              <w:left w:type="dxa" w:w="100"/>
              <w:bottom w:type="dxa" w:w="80"/>
              <w:right w:type="dxa" w:w="100"/>
            </w:tcMar>
          </w:tcPr>
          <w:p>
            <w:r>
              <w:rPr>
                <w:b w:val="false"/>
                <w:bCs w:val="false"/>
                <w:sz w:val="20"/>
                <w:szCs w:val="20"/>
              </w:rPr>
              <w:t xml:space="preserve">Should</w:t>
            </w:r>
          </w:p>
        </w:tc>
      </w:tr>
      <w:tr>
        <w:tc>
          <w:tcPr>
            <w:tcW w:type="dxa" w:w="900"/>
            <w:tcMar>
              <w:top w:type="dxa" w:w="80"/>
              <w:left w:type="dxa" w:w="100"/>
              <w:bottom w:type="dxa" w:w="80"/>
              <w:right w:type="dxa" w:w="100"/>
            </w:tcMar>
          </w:tcPr>
          <w:p>
            <w:r>
              <w:rPr>
                <w:b w:val="false"/>
                <w:bCs w:val="false"/>
                <w:sz w:val="20"/>
                <w:szCs w:val="20"/>
              </w:rPr>
              <w:t xml:space="preserve">FR-4.6</w:t>
            </w:r>
          </w:p>
        </w:tc>
        <w:tc>
          <w:tcPr>
            <w:tcW w:type="dxa" w:w="7360"/>
            <w:tcMar>
              <w:top w:type="dxa" w:w="80"/>
              <w:left w:type="dxa" w:w="100"/>
              <w:bottom w:type="dxa" w:w="80"/>
              <w:right w:type="dxa" w:w="100"/>
            </w:tcMar>
          </w:tcPr>
          <w:p>
            <w:r>
              <w:rPr>
                <w:b w:val="false"/>
                <w:bCs w:val="false"/>
                <w:sz w:val="20"/>
                <w:szCs w:val="20"/>
              </w:rPr>
              <w:t xml:space="preserve">The dashboard shall be read-only in the initial release; no configuration or control actions shall be performed through it.</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FR-4.7</w:t>
            </w:r>
          </w:p>
        </w:tc>
        <w:tc>
          <w:tcPr>
            <w:tcW w:type="dxa" w:w="7360"/>
            <w:tcMar>
              <w:top w:type="dxa" w:w="80"/>
              <w:left w:type="dxa" w:w="100"/>
              <w:bottom w:type="dxa" w:w="80"/>
              <w:right w:type="dxa" w:w="100"/>
            </w:tcMar>
          </w:tcPr>
          <w:p>
            <w:r>
              <w:rPr>
                <w:b w:val="false"/>
                <w:bCs w:val="false"/>
                <w:sz w:val="20"/>
                <w:szCs w:val="20"/>
              </w:rPr>
              <w:t xml:space="preserve">The dashboard and JSON endpoints shall be enabled by default with no built-in authentication. The system shall not implement its own auth mechanism; protection is achieved by the host application mounting its own middleware ahead of the configured dashboard path (e.g. app.use('/nodepulse', requireAuth) before app.use(nodepulse())), requiring no expansion of the public API.</w:t>
            </w:r>
          </w:p>
        </w:tc>
        <w:tc>
          <w:tcPr>
            <w:tcW w:type="dxa" w:w="1100"/>
            <w:tcMar>
              <w:top w:type="dxa" w:w="80"/>
              <w:left w:type="dxa" w:w="100"/>
              <w:bottom w:type="dxa" w:w="80"/>
              <w:right w:type="dxa" w:w="100"/>
            </w:tcMar>
          </w:tcPr>
          <w:p>
            <w:r>
              <w:rPr>
                <w:b w:val="false"/>
                <w:bCs w:val="false"/>
                <w:sz w:val="20"/>
                <w:szCs w:val="20"/>
              </w:rPr>
              <w:t xml:space="preserve">Must</w:t>
            </w:r>
          </w:p>
        </w:tc>
      </w:tr>
    </w:tbl>
    <w:p>
      <w:pPr>
        <w:pStyle w:val="Heading3"/>
        <w:spacing w:after="100" w:before="200"/>
      </w:pPr>
      <w:r>
        <w:t xml:space="preserve">3.1.6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360"/>
        <w:gridCol w:w="1100"/>
      </w:tblGrid>
      <w:tr>
        <w:tc>
          <w:tcPr>
            <w:tcW w:type="dxa" w:w="900"/>
            <w:shd w:fill="1F4E78" w:val="clear"/>
            <w:tcMar>
              <w:top w:type="dxa" w:w="80"/>
              <w:left w:type="dxa" w:w="100"/>
              <w:bottom w:type="dxa" w:w="80"/>
              <w:right w:type="dxa" w:w="100"/>
            </w:tcMar>
          </w:tcPr>
          <w:p>
            <w:r>
              <w:rPr>
                <w:b/>
                <w:bCs/>
                <w:color w:val="FFFFFF"/>
                <w:sz w:val="20"/>
                <w:szCs w:val="20"/>
              </w:rPr>
              <w:t xml:space="preserve">ID</w:t>
            </w:r>
          </w:p>
        </w:tc>
        <w:tc>
          <w:tcPr>
            <w:tcW w:type="dxa" w:w="7360"/>
            <w:shd w:fill="1F4E78" w:val="clear"/>
            <w:tcMar>
              <w:top w:type="dxa" w:w="80"/>
              <w:left w:type="dxa" w:w="100"/>
              <w:bottom w:type="dxa" w:w="80"/>
              <w:right w:type="dxa" w:w="100"/>
            </w:tcMar>
          </w:tcPr>
          <w:p>
            <w:r>
              <w:rPr>
                <w:b/>
                <w:bCs/>
                <w:color w:val="FFFFFF"/>
                <w:sz w:val="20"/>
                <w:szCs w:val="20"/>
              </w:rPr>
              <w:t xml:space="preserve">Requirement</w:t>
            </w:r>
          </w:p>
        </w:tc>
        <w:tc>
          <w:tcPr>
            <w:tcW w:type="dxa" w:w="1100"/>
            <w:shd w:fill="1F4E78" w:val="clear"/>
            <w:tcMar>
              <w:top w:type="dxa" w:w="80"/>
              <w:left w:type="dxa" w:w="100"/>
              <w:bottom w:type="dxa" w:w="80"/>
              <w:right w:type="dxa" w:w="100"/>
            </w:tcMar>
          </w:tcPr>
          <w:p>
            <w:r>
              <w:rPr>
                <w:b/>
                <w:bCs/>
                <w:color w:val="FFFFFF"/>
                <w:sz w:val="20"/>
                <w:szCs w:val="20"/>
              </w:rPr>
              <w:t xml:space="preserve">Priority</w:t>
            </w:r>
          </w:p>
        </w:tc>
      </w:tr>
      <w:tr>
        <w:tc>
          <w:tcPr>
            <w:tcW w:type="dxa" w:w="900"/>
            <w:tcMar>
              <w:top w:type="dxa" w:w="80"/>
              <w:left w:type="dxa" w:w="100"/>
              <w:bottom w:type="dxa" w:w="80"/>
              <w:right w:type="dxa" w:w="100"/>
            </w:tcMar>
          </w:tcPr>
          <w:p>
            <w:r>
              <w:rPr>
                <w:b w:val="false"/>
                <w:bCs w:val="false"/>
                <w:sz w:val="20"/>
                <w:szCs w:val="20"/>
              </w:rPr>
              <w:t xml:space="preserve">FR-5.1</w:t>
            </w:r>
          </w:p>
        </w:tc>
        <w:tc>
          <w:tcPr>
            <w:tcW w:type="dxa" w:w="7360"/>
            <w:tcMar>
              <w:top w:type="dxa" w:w="80"/>
              <w:left w:type="dxa" w:w="100"/>
              <w:bottom w:type="dxa" w:w="80"/>
              <w:right w:type="dxa" w:w="100"/>
            </w:tcMar>
          </w:tcPr>
          <w:p>
            <w:r>
              <w:rPr>
                <w:b w:val="false"/>
                <w:bCs w:val="false"/>
                <w:sz w:val="20"/>
                <w:szCs w:val="20"/>
              </w:rPr>
              <w:t xml:space="preserve">The system shall work with zero required configuration, applying documented sane defaults for retention window, bucket size, dashboard route, and error classification.</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FR-5.2</w:t>
            </w:r>
          </w:p>
        </w:tc>
        <w:tc>
          <w:tcPr>
            <w:tcW w:type="dxa" w:w="7360"/>
            <w:tcMar>
              <w:top w:type="dxa" w:w="80"/>
              <w:left w:type="dxa" w:w="100"/>
              <w:bottom w:type="dxa" w:w="80"/>
              <w:right w:type="dxa" w:w="100"/>
            </w:tcMar>
          </w:tcPr>
          <w:p>
            <w:r>
              <w:rPr>
                <w:b w:val="false"/>
                <w:bCs w:val="false"/>
                <w:sz w:val="20"/>
                <w:szCs w:val="20"/>
              </w:rPr>
              <w:t xml:space="preserve">The system shall accept an optional configuration object at initialization to override any default (e.g. retention window, dashboard path, tracked-route cap, error status threshold).</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FR-5.3</w:t>
            </w:r>
          </w:p>
        </w:tc>
        <w:tc>
          <w:tcPr>
            <w:tcW w:type="dxa" w:w="7360"/>
            <w:tcMar>
              <w:top w:type="dxa" w:w="80"/>
              <w:left w:type="dxa" w:w="100"/>
              <w:bottom w:type="dxa" w:w="80"/>
              <w:right w:type="dxa" w:w="100"/>
            </w:tcMar>
          </w:tcPr>
          <w:p>
            <w:r>
              <w:rPr>
                <w:b w:val="false"/>
                <w:bCs w:val="false"/>
                <w:sz w:val="20"/>
                <w:szCs w:val="20"/>
              </w:rPr>
              <w:t xml:space="preserve">The system shall validate configuration values at startup and throw a clear, descriptive error if an invalid configuration is supplied (non-positive numbers, retention/bucket-size mismatch per FR-2.1a, or dashboardPath equal to metricsJsonPath).</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FR-5.4</w:t>
            </w:r>
          </w:p>
        </w:tc>
        <w:tc>
          <w:tcPr>
            <w:tcW w:type="dxa" w:w="7360"/>
            <w:tcMar>
              <w:top w:type="dxa" w:w="80"/>
              <w:left w:type="dxa" w:w="100"/>
              <w:bottom w:type="dxa" w:w="80"/>
              <w:right w:type="dxa" w:w="100"/>
            </w:tcMar>
          </w:tcPr>
          <w:p>
            <w:r>
              <w:rPr>
                <w:b w:val="false"/>
                <w:bCs w:val="false"/>
                <w:sz w:val="20"/>
                <w:szCs w:val="20"/>
              </w:rPr>
              <w:t xml:space="preserve">The system shall validate that dashboardPath and metricsJsonPath are distinct. Detecting collisions with routes registered elsewhere in the host Express application is explicitly out of scope, as it would require fragile inspection of Express internals; route ownership and middleware ordering shall instead be documented as the caller's responsibility.</w:t>
            </w:r>
          </w:p>
        </w:tc>
        <w:tc>
          <w:tcPr>
            <w:tcW w:type="dxa" w:w="1100"/>
            <w:tcMar>
              <w:top w:type="dxa" w:w="80"/>
              <w:left w:type="dxa" w:w="100"/>
              <w:bottom w:type="dxa" w:w="80"/>
              <w:right w:type="dxa" w:w="100"/>
            </w:tcMar>
          </w:tcPr>
          <w:p>
            <w:r>
              <w:rPr>
                <w:b w:val="false"/>
                <w:bCs w:val="false"/>
                <w:sz w:val="20"/>
                <w:szCs w:val="20"/>
              </w:rPr>
              <w:t xml:space="preserve">Must</w:t>
            </w:r>
          </w:p>
        </w:tc>
      </w:tr>
      <w:tr>
        <w:tc>
          <w:tcPr>
            <w:tcW w:type="dxa" w:w="900"/>
            <w:tcMar>
              <w:top w:type="dxa" w:w="80"/>
              <w:left w:type="dxa" w:w="100"/>
              <w:bottom w:type="dxa" w:w="80"/>
              <w:right w:type="dxa" w:w="100"/>
            </w:tcMar>
          </w:tcPr>
          <w:p>
            <w:r>
              <w:rPr>
                <w:b w:val="false"/>
                <w:bCs w:val="false"/>
                <w:sz w:val="20"/>
                <w:szCs w:val="20"/>
              </w:rPr>
              <w:t xml:space="preserve">FR-5.5</w:t>
            </w:r>
          </w:p>
        </w:tc>
        <w:tc>
          <w:tcPr>
            <w:tcW w:type="dxa" w:w="7360"/>
            <w:tcMar>
              <w:top w:type="dxa" w:w="80"/>
              <w:left w:type="dxa" w:w="100"/>
              <w:bottom w:type="dxa" w:w="80"/>
              <w:right w:type="dxa" w:w="100"/>
            </w:tcMar>
          </w:tcPr>
          <w:p>
            <w:r>
              <w:rPr>
                <w:b w:val="false"/>
                <w:bCs w:val="false"/>
                <w:sz w:val="20"/>
                <w:szCs w:val="20"/>
              </w:rPr>
              <w:t xml:space="preserve">excludePaths entries shall be matched against the normalized route path (post FR-1.3 normalization, not the raw request URL). String entries shall match exactly (no implicit prefix matching); RegExp entries shall be tested with .test() against the normalized path. Stateful regex flags (g, y) are disallowed and rejected at startup validation, since RegExp.test() with those flags produces inconsistent results across calls due to internal lastIndex state.</w:t>
            </w:r>
          </w:p>
        </w:tc>
        <w:tc>
          <w:tcPr>
            <w:tcW w:type="dxa" w:w="1100"/>
            <w:tcMar>
              <w:top w:type="dxa" w:w="80"/>
              <w:left w:type="dxa" w:w="100"/>
              <w:bottom w:type="dxa" w:w="80"/>
              <w:right w:type="dxa" w:w="100"/>
            </w:tcMar>
          </w:tcPr>
          <w:p>
            <w:r>
              <w:rPr>
                <w:b w:val="false"/>
                <w:bCs w:val="false"/>
                <w:sz w:val="20"/>
                <w:szCs w:val="20"/>
              </w:rPr>
              <w:t xml:space="preserve">Must</w:t>
            </w:r>
          </w:p>
        </w:tc>
      </w:tr>
    </w:tbl>
    <w:p>
      <w:pPr>
        <w:pStyle w:val="Heading2"/>
        <w:spacing w:after="120" w:before="240"/>
      </w:pPr>
      <w: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F4E78" w:val="clear"/>
            <w:tcMar>
              <w:top w:type="dxa" w:w="80"/>
              <w:left w:type="dxa" w:w="100"/>
              <w:bottom w:type="dxa" w:w="80"/>
              <w:right w:type="dxa" w:w="100"/>
            </w:tcMar>
          </w:tcPr>
          <w:p>
            <w:r>
              <w:rPr>
                <w:b/>
                <w:bCs/>
                <w:color w:val="FFFFFF"/>
                <w:sz w:val="20"/>
                <w:szCs w:val="20"/>
              </w:rPr>
              <w:t xml:space="preserve">Category</w:t>
            </w:r>
          </w:p>
        </w:tc>
        <w:tc>
          <w:tcPr>
            <w:tcW w:type="dxa" w:w="6960"/>
            <w:shd w:fill="1F4E78" w:val="clear"/>
            <w:tcMar>
              <w:top w:type="dxa" w:w="80"/>
              <w:left w:type="dxa" w:w="100"/>
              <w:bottom w:type="dxa" w:w="80"/>
              <w:right w:type="dxa" w:w="100"/>
            </w:tcMar>
          </w:tcPr>
          <w:p>
            <w:r>
              <w:rPr>
                <w:b/>
                <w:bCs/>
                <w:color w:val="FFFFFF"/>
                <w:sz w:val="20"/>
                <w:szCs w:val="20"/>
              </w:rPr>
              <w:t xml:space="preserve">Requirement</w:t>
            </w:r>
          </w:p>
        </w:tc>
      </w:tr>
      <w:tr>
        <w:tc>
          <w:tcPr>
            <w:tcW w:type="dxa" w:w="2400"/>
            <w:tcMar>
              <w:top w:type="dxa" w:w="80"/>
              <w:left w:type="dxa" w:w="100"/>
              <w:bottom w:type="dxa" w:w="80"/>
              <w:right w:type="dxa" w:w="100"/>
            </w:tcMar>
          </w:tcPr>
          <w:p>
            <w:r>
              <w:rPr>
                <w:b w:val="false"/>
                <w:bCs w:val="false"/>
                <w:sz w:val="20"/>
                <w:szCs w:val="20"/>
              </w:rPr>
              <w:t xml:space="preserve">Performance</w:t>
            </w:r>
          </w:p>
        </w:tc>
        <w:tc>
          <w:tcPr>
            <w:tcW w:type="dxa" w:w="6960"/>
            <w:tcMar>
              <w:top w:type="dxa" w:w="80"/>
              <w:left w:type="dxa" w:w="100"/>
              <w:bottom w:type="dxa" w:w="80"/>
              <w:right w:type="dxa" w:w="100"/>
            </w:tcMar>
          </w:tcPr>
          <w:p>
            <w:r>
              <w:rPr>
                <w:b w:val="false"/>
                <w:bCs w:val="false"/>
                <w:sz w:val="20"/>
                <w:szCs w:val="20"/>
              </w:rPr>
              <w:t xml:space="preserve">Middleware overhead shall not exceed 1ms p95 per request under typical load on a documented reference environment (see FR-1.5 and Section 5); metrics aggregation shall not block the Node.js event loop for a perceptible duration.</w:t>
            </w:r>
          </w:p>
        </w:tc>
      </w:tr>
      <w:tr>
        <w:tc>
          <w:tcPr>
            <w:tcW w:type="dxa" w:w="2400"/>
            <w:tcMar>
              <w:top w:type="dxa" w:w="80"/>
              <w:left w:type="dxa" w:w="100"/>
              <w:bottom w:type="dxa" w:w="80"/>
              <w:right w:type="dxa" w:w="100"/>
            </w:tcMar>
          </w:tcPr>
          <w:p>
            <w:r>
              <w:rPr>
                <w:b w:val="false"/>
                <w:bCs w:val="false"/>
                <w:sz w:val="20"/>
                <w:szCs w:val="20"/>
              </w:rPr>
              <w:t xml:space="preserve">Scalability</w:t>
            </w:r>
          </w:p>
        </w:tc>
        <w:tc>
          <w:tcPr>
            <w:tcW w:type="dxa" w:w="6960"/>
            <w:tcMar>
              <w:top w:type="dxa" w:w="80"/>
              <w:left w:type="dxa" w:w="100"/>
              <w:bottom w:type="dxa" w:w="80"/>
              <w:right w:type="dxa" w:w="100"/>
            </w:tcMar>
          </w:tcPr>
          <w:p>
            <w:r>
              <w:rPr>
                <w:b w:val="false"/>
                <w:bCs w:val="false"/>
                <w:sz w:val="20"/>
                <w:szCs w:val="20"/>
              </w:rPr>
              <w:t xml:space="preserve">Memory usage shall remain bounded and predictable regardless of request volume, governed by the retention window and route-cardinality cap, not by raw traffic count.</w:t>
            </w:r>
          </w:p>
        </w:tc>
      </w:tr>
      <w:tr>
        <w:tc>
          <w:tcPr>
            <w:tcW w:type="dxa" w:w="2400"/>
            <w:tcMar>
              <w:top w:type="dxa" w:w="80"/>
              <w:left w:type="dxa" w:w="100"/>
              <w:bottom w:type="dxa" w:w="80"/>
              <w:right w:type="dxa" w:w="100"/>
            </w:tcMar>
          </w:tcPr>
          <w:p>
            <w:r>
              <w:rPr>
                <w:b w:val="false"/>
                <w:bCs w:val="false"/>
                <w:sz w:val="20"/>
                <w:szCs w:val="20"/>
              </w:rPr>
              <w:t xml:space="preserve">Reliability</w:t>
            </w:r>
          </w:p>
        </w:tc>
        <w:tc>
          <w:tcPr>
            <w:tcW w:type="dxa" w:w="6960"/>
            <w:tcMar>
              <w:top w:type="dxa" w:w="80"/>
              <w:left w:type="dxa" w:w="100"/>
              <w:bottom w:type="dxa" w:w="80"/>
              <w:right w:type="dxa" w:w="100"/>
            </w:tcMar>
          </w:tcPr>
          <w:p>
            <w:r>
              <w:rPr>
                <w:b w:val="false"/>
                <w:bCs w:val="false"/>
                <w:sz w:val="20"/>
                <w:szCs w:val="20"/>
              </w:rPr>
              <w:t xml:space="preserve">A failure or exception within the monitoring middleware shall never cause the host application's request handling to fail; monitoring code shall degrade gracefully (e.g. skip recording) rather than throw.</w:t>
            </w:r>
          </w:p>
        </w:tc>
      </w:tr>
      <w:tr>
        <w:tc>
          <w:tcPr>
            <w:tcW w:type="dxa" w:w="2400"/>
            <w:tcMar>
              <w:top w:type="dxa" w:w="80"/>
              <w:left w:type="dxa" w:w="100"/>
              <w:bottom w:type="dxa" w:w="80"/>
              <w:right w:type="dxa" w:w="100"/>
            </w:tcMar>
          </w:tcPr>
          <w:p>
            <w:r>
              <w:rPr>
                <w:b w:val="false"/>
                <w:bCs w:val="false"/>
                <w:sz w:val="20"/>
                <w:szCs w:val="20"/>
              </w:rPr>
              <w:t xml:space="preserve">Security</w:t>
            </w:r>
          </w:p>
        </w:tc>
        <w:tc>
          <w:tcPr>
            <w:tcW w:type="dxa" w:w="6960"/>
            <w:tcMar>
              <w:top w:type="dxa" w:w="80"/>
              <w:left w:type="dxa" w:w="100"/>
              <w:bottom w:type="dxa" w:w="80"/>
              <w:right w:type="dxa" w:w="100"/>
            </w:tcMar>
          </w:tcPr>
          <w:p>
            <w:r>
              <w:rPr>
                <w:b w:val="false"/>
                <w:bCs w:val="false"/>
                <w:sz w:val="20"/>
                <w:szCs w:val="20"/>
              </w:rPr>
              <w:t xml:space="preserve">The dashboard and JSON metrics endpoints are enabled and unauthenticated by default (FR-4.7). Documentation shall prominently state this and show the one-line pattern for mounting auth middleware ahead of the dashboard path; the system itself shall not implement authentication.</w:t>
            </w:r>
          </w:p>
        </w:tc>
      </w:tr>
      <w:tr>
        <w:tc>
          <w:tcPr>
            <w:tcW w:type="dxa" w:w="2400"/>
            <w:tcMar>
              <w:top w:type="dxa" w:w="80"/>
              <w:left w:type="dxa" w:w="100"/>
              <w:bottom w:type="dxa" w:w="80"/>
              <w:right w:type="dxa" w:w="100"/>
            </w:tcMar>
          </w:tcPr>
          <w:p>
            <w:r>
              <w:rPr>
                <w:b w:val="false"/>
                <w:bCs w:val="false"/>
                <w:sz w:val="20"/>
                <w:szCs w:val="20"/>
              </w:rPr>
              <w:t xml:space="preserve">Data privacy</w:t>
            </w:r>
          </w:p>
        </w:tc>
        <w:tc>
          <w:tcPr>
            <w:tcW w:type="dxa" w:w="6960"/>
            <w:tcMar>
              <w:top w:type="dxa" w:w="80"/>
              <w:left w:type="dxa" w:w="100"/>
              <w:bottom w:type="dxa" w:w="80"/>
              <w:right w:type="dxa" w:w="100"/>
            </w:tcMar>
          </w:tcPr>
          <w:p>
            <w:r>
              <w:rPr>
                <w:b w:val="false"/>
                <w:bCs w:val="false"/>
                <w:sz w:val="20"/>
                <w:szCs w:val="20"/>
              </w:rPr>
              <w:t xml:space="preserve">The system shall not transmit collected metrics to any third-party or external service; all data shall remain within the host process/server unless the operator explicitly configures an export integration in a future release.</w:t>
            </w:r>
          </w:p>
        </w:tc>
      </w:tr>
      <w:tr>
        <w:tc>
          <w:tcPr>
            <w:tcW w:type="dxa" w:w="2400"/>
            <w:tcMar>
              <w:top w:type="dxa" w:w="80"/>
              <w:left w:type="dxa" w:w="100"/>
              <w:bottom w:type="dxa" w:w="80"/>
              <w:right w:type="dxa" w:w="100"/>
            </w:tcMar>
          </w:tcPr>
          <w:p>
            <w:r>
              <w:rPr>
                <w:b w:val="false"/>
                <w:bCs w:val="false"/>
                <w:sz w:val="20"/>
                <w:szCs w:val="20"/>
              </w:rPr>
              <w:t xml:space="preserve">Usability</w:t>
            </w:r>
          </w:p>
        </w:tc>
        <w:tc>
          <w:tcPr>
            <w:tcW w:type="dxa" w:w="6960"/>
            <w:tcMar>
              <w:top w:type="dxa" w:w="80"/>
              <w:left w:type="dxa" w:w="100"/>
              <w:bottom w:type="dxa" w:w="80"/>
              <w:right w:type="dxa" w:w="100"/>
            </w:tcMar>
          </w:tcPr>
          <w:p>
            <w:r>
              <w:rPr>
                <w:b w:val="false"/>
                <w:bCs w:val="false"/>
                <w:sz w:val="20"/>
                <w:szCs w:val="20"/>
              </w:rPr>
              <w:t xml:space="preserve">A developer shall be able to go from npm install to a functioning dashboard using default configuration in under five minutes, requiring no more than one line of middleware setup code.</w:t>
            </w:r>
          </w:p>
        </w:tc>
      </w:tr>
      <w:tr>
        <w:tc>
          <w:tcPr>
            <w:tcW w:type="dxa" w:w="2400"/>
            <w:tcMar>
              <w:top w:type="dxa" w:w="80"/>
              <w:left w:type="dxa" w:w="100"/>
              <w:bottom w:type="dxa" w:w="80"/>
              <w:right w:type="dxa" w:w="100"/>
            </w:tcMar>
          </w:tcPr>
          <w:p>
            <w:r>
              <w:rPr>
                <w:b w:val="false"/>
                <w:bCs w:val="false"/>
                <w:sz w:val="20"/>
                <w:szCs w:val="20"/>
              </w:rPr>
              <w:t xml:space="preserve">Maintainability</w:t>
            </w:r>
          </w:p>
        </w:tc>
        <w:tc>
          <w:tcPr>
            <w:tcW w:type="dxa" w:w="6960"/>
            <w:tcMar>
              <w:top w:type="dxa" w:w="80"/>
              <w:left w:type="dxa" w:w="100"/>
              <w:bottom w:type="dxa" w:w="80"/>
              <w:right w:type="dxa" w:w="100"/>
            </w:tcMar>
          </w:tcPr>
          <w:p>
            <w:r>
              <w:rPr>
                <w:b w:val="false"/>
                <w:bCs w:val="false"/>
                <w:sz w:val="20"/>
                <w:szCs w:val="20"/>
              </w:rPr>
              <w:t xml:space="preserve">The codebase shall separate the middleware/instrumentation layer, the storage layer, and the dashboard/UI layer behind clear internal interfaces, so each can be modified or replaced independently.</w:t>
            </w:r>
          </w:p>
        </w:tc>
      </w:tr>
      <w:tr>
        <w:tc>
          <w:tcPr>
            <w:tcW w:type="dxa" w:w="2400"/>
            <w:tcMar>
              <w:top w:type="dxa" w:w="80"/>
              <w:left w:type="dxa" w:w="100"/>
              <w:bottom w:type="dxa" w:w="80"/>
              <w:right w:type="dxa" w:w="100"/>
            </w:tcMar>
          </w:tcPr>
          <w:p>
            <w:r>
              <w:rPr>
                <w:b w:val="false"/>
                <w:bCs w:val="false"/>
                <w:sz w:val="20"/>
                <w:szCs w:val="20"/>
              </w:rPr>
              <w:t xml:space="preserve">Portability</w:t>
            </w:r>
          </w:p>
        </w:tc>
        <w:tc>
          <w:tcPr>
            <w:tcW w:type="dxa" w:w="6960"/>
            <w:tcMar>
              <w:top w:type="dxa" w:w="80"/>
              <w:left w:type="dxa" w:w="100"/>
              <w:bottom w:type="dxa" w:w="80"/>
              <w:right w:type="dxa" w:w="100"/>
            </w:tcMar>
          </w:tcPr>
          <w:p>
            <w:r>
              <w:rPr>
                <w:b w:val="false"/>
                <w:bCs w:val="false"/>
                <w:sz w:val="20"/>
                <w:szCs w:val="20"/>
              </w:rPr>
              <w:t xml:space="preserve">The system shall run on any currently supported (non end-of-life) Node.js LTS release at time of release, enforced via the package.json engines field and CI, and shall have no native (compiled) dependencies, to keep installation friction-free.</w:t>
            </w:r>
          </w:p>
        </w:tc>
      </w:tr>
      <w:tr>
        <w:tc>
          <w:tcPr>
            <w:tcW w:type="dxa" w:w="2400"/>
            <w:tcMar>
              <w:top w:type="dxa" w:w="80"/>
              <w:left w:type="dxa" w:w="100"/>
              <w:bottom w:type="dxa" w:w="80"/>
              <w:right w:type="dxa" w:w="100"/>
            </w:tcMar>
          </w:tcPr>
          <w:p>
            <w:r>
              <w:rPr>
                <w:b w:val="false"/>
                <w:bCs w:val="false"/>
                <w:sz w:val="20"/>
                <w:szCs w:val="20"/>
              </w:rPr>
              <w:t xml:space="preserve">Compatibility</w:t>
            </w:r>
          </w:p>
        </w:tc>
        <w:tc>
          <w:tcPr>
            <w:tcW w:type="dxa" w:w="6960"/>
            <w:tcMar>
              <w:top w:type="dxa" w:w="80"/>
              <w:left w:type="dxa" w:w="100"/>
              <w:bottom w:type="dxa" w:w="80"/>
              <w:right w:type="dxa" w:w="100"/>
            </w:tcMar>
          </w:tcPr>
          <w:p>
            <w:r>
              <w:rPr>
                <w:b w:val="false"/>
                <w:bCs w:val="false"/>
                <w:sz w:val="20"/>
                <w:szCs w:val="20"/>
              </w:rPr>
              <w:t xml:space="preserve">The system shall support standard Express.js applications (Express 4.x and later) in the initial release; support for additional frameworks is out of scope for v1.</w:t>
            </w:r>
          </w:p>
        </w:tc>
      </w:tr>
      <w:tr>
        <w:tc>
          <w:tcPr>
            <w:tcW w:type="dxa" w:w="2400"/>
            <w:tcMar>
              <w:top w:type="dxa" w:w="80"/>
              <w:left w:type="dxa" w:w="100"/>
              <w:bottom w:type="dxa" w:w="80"/>
              <w:right w:type="dxa" w:w="100"/>
            </w:tcMar>
          </w:tcPr>
          <w:p>
            <w:r>
              <w:rPr>
                <w:b w:val="false"/>
                <w:bCs w:val="false"/>
                <w:sz w:val="20"/>
                <w:szCs w:val="20"/>
              </w:rPr>
              <w:t xml:space="preserve">Distribution</w:t>
            </w:r>
          </w:p>
        </w:tc>
        <w:tc>
          <w:tcPr>
            <w:tcW w:type="dxa" w:w="6960"/>
            <w:tcMar>
              <w:top w:type="dxa" w:w="80"/>
              <w:left w:type="dxa" w:w="100"/>
              <w:bottom w:type="dxa" w:w="80"/>
              <w:right w:type="dxa" w:w="100"/>
            </w:tcMar>
          </w:tcPr>
          <w:p>
            <w:r>
              <w:rPr>
                <w:b w:val="false"/>
                <w:bCs w:val="false"/>
                <w:sz w:val="20"/>
                <w:szCs w:val="20"/>
              </w:rPr>
              <w:t xml:space="preserve">The package shall be authored in TypeScript with generated .d.ts declarations, and published as a dual CommonJS/ESM distribution via the package.json exports field, so both require() and import consumers are supported without configuration.</w:t>
            </w:r>
          </w:p>
        </w:tc>
      </w:tr>
      <w:tr>
        <w:tc>
          <w:tcPr>
            <w:tcW w:type="dxa" w:w="2400"/>
            <w:tcMar>
              <w:top w:type="dxa" w:w="80"/>
              <w:left w:type="dxa" w:w="100"/>
              <w:bottom w:type="dxa" w:w="80"/>
              <w:right w:type="dxa" w:w="100"/>
            </w:tcMar>
          </w:tcPr>
          <w:p>
            <w:r>
              <w:rPr>
                <w:b w:val="false"/>
                <w:bCs w:val="false"/>
                <w:sz w:val="20"/>
                <w:szCs w:val="20"/>
              </w:rPr>
              <w:t xml:space="preserve">API stability</w:t>
            </w:r>
          </w:p>
        </w:tc>
        <w:tc>
          <w:tcPr>
            <w:tcW w:type="dxa" w:w="6960"/>
            <w:tcMar>
              <w:top w:type="dxa" w:w="80"/>
              <w:left w:type="dxa" w:w="100"/>
              <w:bottom w:type="dxa" w:w="80"/>
              <w:right w:type="dxa" w:w="100"/>
            </w:tcMar>
          </w:tcPr>
          <w:p>
            <w:r>
              <w:rPr>
                <w:b w:val="false"/>
                <w:bCs w:val="false"/>
                <w:sz w:val="20"/>
                <w:szCs w:val="20"/>
              </w:rPr>
              <w:t xml:space="preserve">The public API shall consist of exactly one exported middleware factory function, nodepulse(options?). Internal modules (storage, histogram, query logic) are not part of the public API and may change without a major version bump.</w:t>
            </w:r>
          </w:p>
        </w:tc>
      </w:tr>
    </w:tbl>
    <w:p>
      <w:pPr>
        <w:pStyle w:val="Heading2"/>
        <w:spacing w:after="120" w:before="240"/>
      </w:pPr>
      <w:r>
        <w:t xml:space="preserve">3.3 External Interface Requirements</w:t>
      </w:r>
    </w:p>
    <w:p>
      <w:pPr>
        <w:pStyle w:val="Heading3"/>
        <w:spacing w:after="100" w:before="200"/>
      </w:pPr>
      <w:r>
        <w:t xml:space="preserve">3.3.1 User Interfaces</w:t>
      </w:r>
    </w:p>
    <w:p>
      <w:pPr>
        <w:spacing w:after="160"/>
      </w:pPr>
      <w:r>
        <w:t xml:space="preserve">The only user interface is the built-in web dashboard described in FR-4.1–FR-4.4, accessed via a standard web browser at the configured route on the host application.</w:t>
      </w:r>
    </w:p>
    <w:p>
      <w:pPr>
        <w:pStyle w:val="Heading3"/>
        <w:spacing w:after="100" w:before="200"/>
      </w:pPr>
      <w:r>
        <w:t xml:space="preserve">3.3.2 Software Interfaces</w:t>
      </w:r>
    </w:p>
    <w:p>
      <w:pPr>
        <w:pStyle w:val="ListParagraph"/>
        <w:numPr>
          <w:ilvl w:val="0"/>
          <w:numId w:val="2"/>
        </w:numPr>
        <w:spacing w:after="80"/>
      </w:pPr>
      <w:r>
        <w:t xml:space="preserve">Express.js: the package integrates as standard Express middleware and must be compatible with the Express request/response/next() middleware contract.</w:t>
      </w:r>
    </w:p>
    <w:p>
      <w:pPr>
        <w:pStyle w:val="ListParagraph"/>
        <w:numPr>
          <w:ilvl w:val="0"/>
          <w:numId w:val="2"/>
        </w:numPr>
        <w:spacing w:after="80"/>
      </w:pPr>
      <w:r>
        <w:t xml:space="preserve">Node.js runtime: the package targets currently supported Node.js LTS versions.</w:t>
      </w:r>
    </w:p>
    <w:p>
      <w:pPr>
        <w:pStyle w:val="Heading3"/>
        <w:spacing w:after="100" w:before="200"/>
      </w:pPr>
      <w:r>
        <w:t xml:space="preserve">3.3.3 Communication Interfaces</w:t>
      </w:r>
    </w:p>
    <w:p>
      <w:pPr>
        <w:spacing w:after="160"/>
      </w:pPr>
      <w:r>
        <w:t xml:space="preserve">All communication in v1 is local HTTP within the host application (the dashboard and JSON endpoints are served over the same HTTP server as the host app). No outbound network calls are made by the package in the default configuration.</w:t>
      </w:r>
    </w:p>
    <w:p>
      <w:pPr>
        <w:pStyle w:val="Heading2"/>
        <w:spacing w:after="120" w:before="240"/>
      </w:pPr>
      <w:r>
        <w:t xml:space="preserve">3.4 System Architecture Overview</w:t>
      </w:r>
    </w:p>
    <w:p>
      <w:pPr>
        <w:spacing w:after="160"/>
      </w:pPr>
      <w:r>
        <w:t xml:space="preserve">The system is organized into three layers with clearly separated responsibilities, communicating only through defined internal interfaces:</w:t>
      </w:r>
    </w:p>
    <w:p>
      <w:pPr>
        <w:pStyle w:val="ListParagraph"/>
        <w:numPr>
          <w:ilvl w:val="0"/>
          <w:numId w:val="2"/>
        </w:numPr>
        <w:spacing w:after="80"/>
      </w:pPr>
      <w:r>
        <w:t xml:space="preserve">Instrumentation layer (middleware): intercepts each request/response cycle, measures timing, and normalizes the route path, then hands a metric event to the storage layer.</w:t>
      </w:r>
    </w:p>
    <w:p>
      <w:pPr>
        <w:pStyle w:val="ListParagraph"/>
        <w:numPr>
          <w:ilvl w:val="0"/>
          <w:numId w:val="2"/>
        </w:numPr>
        <w:spacing w:after="80"/>
      </w:pPr>
      <w:r>
        <w:t xml:space="preserve">Storage layer: maintains the time-bucketed rolling store per route and computes aggregates and percentiles on request; exposed behind an internal, replaceable interface (see FR-2.6) rather than a public extension point.</w:t>
      </w:r>
    </w:p>
    <w:p>
      <w:pPr>
        <w:pStyle w:val="ListParagraph"/>
        <w:numPr>
          <w:ilvl w:val="0"/>
          <w:numId w:val="2"/>
        </w:numPr>
        <w:spacing w:after="80"/>
      </w:pPr>
      <w:r>
        <w:t xml:space="preserve">Presentation layer: the dashboard route and the JSON metrics route, both read-only consumers of the storage layer's query interface.</w:t>
      </w:r>
    </w:p>
    <w:p>
      <w:pPr>
        <w:spacing w:after="160"/>
      </w:pPr>
      <w:r>
        <w:t xml:space="preserve">This separation is required so that, in future phases, the storage layer can be swapped (e.g. for a persistent or shared store) or the presentation layer extended (e.g. a Prometheus-format exporter) without modifying the instrumentation layer or the public middleware API.</w:t>
      </w:r>
    </w:p>
    <w:p>
      <w:pPr>
        <w:pStyle w:val="Heading1"/>
        <w:spacing w:after="160" w:before="320"/>
      </w:pPr>
      <w:r>
        <w:t xml:space="preserve">4. Data Requirements</w:t>
      </w:r>
    </w:p>
    <w:p>
      <w:pPr>
        <w:spacing w:after="160"/>
      </w:pPr>
      <w:r>
        <w:t xml:space="preserve">The core data structure is a per-route-key time-bucketed store. Each tracked key is a method+normalized-path string (FR-1.3a, e.g. "GET /users/:id"), plus the two reserved keys "unmatched" (FR-1.6) and "other" (cardinality overflow, FR-2.4). A rolling array of time buckets is maintained per key, and buckets older than the retention window are discarded (FR-2.3).</w:t>
      </w:r>
    </w:p>
    <w:p>
      <w:pPr>
        <w:pStyle w:val="Heading2"/>
        <w:spacing w:after="120" w:before="240"/>
      </w:pPr>
      <w:r>
        <w:t xml:space="preserve">4.1 Matched-Route Bucket Structure</w:t>
      </w:r>
    </w:p>
    <w:p>
      <w:pPr>
        <w:spacing w:after="160"/>
      </w:pPr>
      <w:r>
        <w:t xml:space="preserve">Each time bucket for a matched route key holds:</w:t>
      </w:r>
    </w:p>
    <w:p>
      <w:pPr>
        <w:pStyle w:val="ListParagraph"/>
        <w:numPr>
          <w:ilvl w:val="0"/>
          <w:numId w:val="2"/>
        </w:numPr>
        <w:spacing w:after="80"/>
      </w:pPr>
      <w:r>
        <w:t xml:space="preserve">bucketStartTime — timestamp marking the start of the interval.</w:t>
      </w:r>
    </w:p>
    <w:p>
      <w:pPr>
        <w:pStyle w:val="ListParagraph"/>
        <w:numPr>
          <w:ilvl w:val="0"/>
          <w:numId w:val="2"/>
        </w:numPr>
        <w:spacing w:after="80"/>
      </w:pPr>
      <w:r>
        <w:t xml:space="preserve">requestCount — total completed and aborted requests observed in the interval (FR-1.8).</w:t>
      </w:r>
    </w:p>
    <w:p>
      <w:pPr>
        <w:pStyle w:val="ListParagraph"/>
        <w:numPr>
          <w:ilvl w:val="0"/>
          <w:numId w:val="2"/>
        </w:numPr>
        <w:spacing w:after="80"/>
      </w:pPr>
      <w:r>
        <w:t xml:space="preserve">errorCount — completed requests classified as errors (status ≥ errorStatusThreshold); excludes aborts.</w:t>
      </w:r>
    </w:p>
    <w:p>
      <w:pPr>
        <w:pStyle w:val="ListParagraph"/>
        <w:numPr>
          <w:ilvl w:val="0"/>
          <w:numId w:val="2"/>
        </w:numPr>
        <w:spacing w:after="80"/>
      </w:pPr>
      <w:r>
        <w:t xml:space="preserve">abortedCount — requests where the connection closed before 'finish' fired (FR-1.8); excluded from errorCount and from all latency fields below.</w:t>
      </w:r>
    </w:p>
    <w:p>
      <w:pPr>
        <w:pStyle w:val="ListParagraph"/>
        <w:numPr>
          <w:ilvl w:val="0"/>
          <w:numId w:val="2"/>
        </w:numPr>
        <w:spacing w:after="80"/>
      </w:pPr>
      <w:r>
        <w:t xml:space="preserve">responseTimeSum, responseTimeMin, responseTimeMax — computed over completed, non-aborted responses only.</w:t>
      </w:r>
    </w:p>
    <w:p>
      <w:pPr>
        <w:pStyle w:val="ListParagraph"/>
        <w:numPr>
          <w:ilvl w:val="0"/>
          <w:numId w:val="2"/>
        </w:numPr>
        <w:spacing w:after="80"/>
      </w:pPr>
      <w:r>
        <w:t xml:space="preserve">latencyHistogram — counts of completed, non-aborted response times falling into each of the twelve fixed latency buckets: &lt;5ms, &lt;10ms, &lt;25ms, &lt;50ms, &lt;100ms, &lt;250ms, &lt;500ms, &lt;1000ms, &lt;2500ms, &lt;5000ms, &lt;10000ms, ≥10000ms (FR-3.2), used to derive p50/p95/p99 via linear interpolation, with the top bucket bounded by its maximum observed value (FR-3.2a).</w:t>
      </w:r>
    </w:p>
    <w:p>
      <w:pPr>
        <w:pStyle w:val="Heading2"/>
        <w:spacing w:after="120" w:before="240"/>
      </w:pPr>
      <w:r>
        <w:t xml:space="preserve">4.2 Unmatched-Request Record Structure</w:t>
      </w:r>
    </w:p>
    <w:p>
      <w:pPr>
        <w:spacing w:after="160"/>
      </w:pPr>
      <w:r>
        <w:t xml:space="preserve">The "unmatched" key does not use the matched-route bucket shape above. Instead, each time bucket holds:</w:t>
      </w:r>
    </w:p>
    <w:p>
      <w:pPr>
        <w:pStyle w:val="ListParagraph"/>
        <w:numPr>
          <w:ilvl w:val="0"/>
          <w:numId w:val="2"/>
        </w:numPr>
        <w:spacing w:after="80"/>
      </w:pPr>
      <w:r>
        <w:t xml:space="preserve">bucketStartTime — timestamp marking the start of the interval.</w:t>
      </w:r>
    </w:p>
    <w:p>
      <w:pPr>
        <w:pStyle w:val="ListParagraph"/>
        <w:numPr>
          <w:ilvl w:val="0"/>
          <w:numId w:val="2"/>
        </w:numPr>
        <w:spacing w:after="80"/>
      </w:pPr>
      <w:r>
        <w:t xml:space="preserve">requestCount — total unmatched requests observed in the interval.</w:t>
      </w:r>
    </w:p>
    <w:p>
      <w:pPr>
        <w:pStyle w:val="ListParagraph"/>
        <w:numPr>
          <w:ilvl w:val="0"/>
          <w:numId w:val="2"/>
        </w:numPr>
        <w:spacing w:after="80"/>
      </w:pPr>
      <w:r>
        <w:t xml:space="preserve">statusCounts — a bounded map of HTTP status code → count, capped at a fixed number of distinct codes with overflow aggregated under an "other" status entry (FR-1.6).</w:t>
      </w:r>
    </w:p>
    <w:p>
      <w:pPr>
        <w:spacing w:after="160"/>
      </w:pPr>
      <w:r>
        <w:t xml:space="preserve">No responseTimeSum/min/max and no latencyHistogram are stored for "unmatched", since FR-1.6 and FR-2.2 exempt it from latency capture entirely.</w:t>
      </w:r>
    </w:p>
    <w:p>
      <w:pPr>
        <w:spacing w:after="160"/>
      </w:pPr>
      <w:r>
        <w:t xml:space="preserve">Route keys are the normalized method+path pattern (FR-1.3a), not the literal request path, and the total number of distinct tracked matched-route keys is bounded (FR-2.4), with overflow routed to "other" — which uses the same bucket structure as Section 4.1. No request bodies, headers, query parameters, or other potentially sensitive payload data are collected or stored — only route key, status code, and timing.</w:t>
      </w:r>
    </w:p>
    <w:p>
      <w:pPr>
        <w:pStyle w:val="Heading1"/>
        <w:spacing w:after="160" w:before="320"/>
      </w:pPr>
      <w:r>
        <w:t xml:space="preserve">5. Verification Approach</w:t>
      </w:r>
    </w:p>
    <w:p>
      <w:pPr>
        <w:pStyle w:val="ListParagraph"/>
        <w:numPr>
          <w:ilvl w:val="0"/>
          <w:numId w:val="2"/>
        </w:numPr>
        <w:spacing w:after="80"/>
      </w:pPr>
      <w:r>
        <w:t xml:space="preserve">Functional requirements shall be verified by automated unit and integration tests exercising the middleware against a sample Express application, including dedicated tests for unmatched routes, aborted requests (finish/close double-firing), and dashboard self-traffic exclusion.</w:t>
      </w:r>
    </w:p>
    <w:p>
      <w:pPr>
        <w:pStyle w:val="ListParagraph"/>
        <w:numPr>
          <w:ilvl w:val="0"/>
          <w:numId w:val="2"/>
        </w:numPr>
        <w:spacing w:after="80"/>
      </w:pPr>
      <w:r>
        <w:t xml:space="preserve">Percentile correctness (FR-3.2, FR-3.4) shall be verified against two criteria: (1) a formal check that every reported percentile falls within the width of its containing histogram bucket, which must hold for all inputs; and (2) a supplementary benchmark comparing histogram-derived percentiles to an exact calculation on representative synthetic distributions (e.g. log-normal), targeting within 5% relative error — reported as a benchmark result, not asserted as a universal guarantee.</w:t>
      </w:r>
    </w:p>
    <w:p>
      <w:pPr>
        <w:pStyle w:val="ListParagraph"/>
        <w:numPr>
          <w:ilvl w:val="0"/>
          <w:numId w:val="2"/>
        </w:numPr>
        <w:spacing w:after="80"/>
      </w:pPr>
      <w:r>
        <w:t xml:space="preserve">Retention/bucket-size validation (FR-2.1a) and path-collision validation (FR-5.4) shall be verified with unit tests covering valid and invalid configuration inputs, confirming startup throws with a descriptive error in the invalid cases.</w:t>
      </w:r>
    </w:p>
    <w:p>
      <w:pPr>
        <w:pStyle w:val="ListParagraph"/>
        <w:numPr>
          <w:ilvl w:val="0"/>
          <w:numId w:val="2"/>
        </w:numPr>
        <w:spacing w:after="80"/>
      </w:pPr>
      <w:r>
        <w:t xml:space="preserve">Performance requirements shall be verified by benchmark scripts comparing an instrumented server to a non-instrumented baseline: p95 middleware overhead under 1ms per request on a documented reference environment (e.g. GitHub Actions standard runner), and flat/bounded memory usage over a sustained synthetic load test (e.g. 1 hour at 500 RPS across 50 routes) once the retention window has filled.</w:t>
      </w:r>
    </w:p>
    <w:p>
      <w:pPr>
        <w:pStyle w:val="ListParagraph"/>
        <w:numPr>
          <w:ilvl w:val="0"/>
          <w:numId w:val="2"/>
        </w:numPr>
        <w:spacing w:after="80"/>
      </w:pPr>
      <w:r>
        <w:t xml:space="preserve">Usability requirement (time-to-dashboard under five minutes) shall be verified manually by following the documented quick-start steps on a clean environment.</w:t>
      </w:r>
    </w:p>
    <w:p>
      <w:pPr>
        <w:pStyle w:val="ListParagraph"/>
        <w:numPr>
          <w:ilvl w:val="0"/>
          <w:numId w:val="2"/>
        </w:numPr>
        <w:spacing w:after="80"/>
      </w:pPr>
      <w:r>
        <w:t xml:space="preserve">Core storage and percentile logic shall carry a high automated test coverage target; dashboard rendering code, being lower-risk, may carry a lighter coverage bar.</w:t>
      </w:r>
    </w:p>
    <w:p>
      <w:pPr>
        <w:pStyle w:val="Heading1"/>
        <w:spacing w:after="160" w:before="320"/>
      </w:pPr>
      <w:r>
        <w:t xml:space="preserve">6. Appendices</w:t>
      </w:r>
    </w:p>
    <w:p>
      <w:pPr>
        <w:pStyle w:val="Heading2"/>
        <w:spacing w:after="120" w:before="240"/>
      </w:pPr>
      <w:r>
        <w:t xml:space="preserve">Appendix A: Configuration Schema and Defaults</w:t>
      </w:r>
    </w:p>
    <w:p>
      <w:pPr>
        <w:spacing w:after="160"/>
      </w:pPr>
      <w:r>
        <w:t xml:space="preserve">TypeScript shape of the single options argument to nodepulse(options?):</w:t>
      </w:r>
    </w:p>
    <w:p>
      <w:pPr>
        <w:spacing w:after="0"/>
      </w:pPr>
      <w:r>
        <w:rPr>
          <w:rFonts w:ascii="Courier New" w:cs="Courier New" w:eastAsia="Courier New" w:hAnsi="Courier New"/>
          <w:sz w:val="19"/>
          <w:szCs w:val="19"/>
        </w:rPr>
        <w:t xml:space="preserve">interface NodePulseConfig {</w:t>
      </w:r>
    </w:p>
    <w:p>
      <w:pPr>
        <w:spacing w:after="0"/>
      </w:pPr>
      <w:r>
        <w:rPr>
          <w:rFonts w:ascii="Courier New" w:cs="Courier New" w:eastAsia="Courier New" w:hAnsi="Courier New"/>
          <w:sz w:val="19"/>
          <w:szCs w:val="19"/>
        </w:rPr>
        <w:t xml:space="preserve">  retentionMinutes?: number;          // default: 60</w:t>
      </w:r>
    </w:p>
    <w:p>
      <w:pPr>
        <w:spacing w:after="0"/>
      </w:pPr>
      <w:r>
        <w:rPr>
          <w:rFonts w:ascii="Courier New" w:cs="Courier New" w:eastAsia="Courier New" w:hAnsi="Courier New"/>
          <w:sz w:val="19"/>
          <w:szCs w:val="19"/>
        </w:rPr>
        <w:t xml:space="preserve">  bucketSizeSeconds?: number;         // default: 60</w:t>
      </w:r>
    </w:p>
    <w:p>
      <w:pPr>
        <w:spacing w:after="0"/>
      </w:pPr>
      <w:r>
        <w:rPr>
          <w:rFonts w:ascii="Courier New" w:cs="Courier New" w:eastAsia="Courier New" w:hAnsi="Courier New"/>
          <w:sz w:val="19"/>
          <w:szCs w:val="19"/>
        </w:rPr>
        <w:t xml:space="preserve">  dashboardPath?: string;             // default: '/nodepulse'</w:t>
      </w:r>
    </w:p>
    <w:p>
      <w:pPr>
        <w:spacing w:after="0"/>
      </w:pPr>
      <w:r>
        <w:rPr>
          <w:rFonts w:ascii="Courier New" w:cs="Courier New" w:eastAsia="Courier New" w:hAnsi="Courier New"/>
          <w:sz w:val="19"/>
          <w:szCs w:val="19"/>
        </w:rPr>
        <w:t xml:space="preserve">  metricsJsonPath?: string;           // default: '/nodepulse/metrics.json'</w:t>
      </w:r>
    </w:p>
    <w:p>
      <w:pPr>
        <w:spacing w:after="0"/>
      </w:pPr>
      <w:r>
        <w:rPr>
          <w:rFonts w:ascii="Courier New" w:cs="Courier New" w:eastAsia="Courier New" w:hAnsi="Courier New"/>
          <w:sz w:val="19"/>
          <w:szCs w:val="19"/>
        </w:rPr>
        <w:t xml:space="preserve">  errorStatusThreshold?: number;      // default: 500</w:t>
      </w:r>
    </w:p>
    <w:p>
      <w:pPr>
        <w:spacing w:after="0"/>
      </w:pPr>
      <w:r>
        <w:rPr>
          <w:rFonts w:ascii="Courier New" w:cs="Courier New" w:eastAsia="Courier New" w:hAnsi="Courier New"/>
          <w:sz w:val="19"/>
          <w:szCs w:val="19"/>
        </w:rPr>
        <w:t xml:space="preserve">  maxTrackedRoutes?: number;          // default: 200</w:t>
      </w:r>
    </w:p>
    <w:p>
      <w:pPr>
        <w:spacing w:after="0"/>
      </w:pPr>
      <w:r>
        <w:rPr>
          <w:rFonts w:ascii="Courier New" w:cs="Courier New" w:eastAsia="Courier New" w:hAnsi="Courier New"/>
          <w:sz w:val="19"/>
          <w:szCs w:val="19"/>
        </w:rPr>
        <w:t xml:space="preserve">  excludePaths?: (string | RegExp)[]; // default: [] (dashboard paths auto-excluded)</w:t>
      </w:r>
    </w:p>
    <w:p>
      <w:pPr>
        <w:spacing w:after="160"/>
      </w:pPr>
      <w:r>
        <w:rPr>
          <w:rFonts w:ascii="Courier New" w:cs="Courier New" w:eastAsia="Courier New" w:hAnsi="Courier New"/>
          <w:sz w:val="19"/>
          <w:szCs w:val="19"/>
        </w:rPr>
        <w:t xml:space="preserve">}</w:t>
      </w:r>
    </w:p>
    <w:p>
      <w:pPr>
        <w:pStyle w:val="ListParagraph"/>
        <w:numPr>
          <w:ilvl w:val="0"/>
          <w:numId w:val="2"/>
        </w:numPr>
        <w:spacing w:after="80"/>
      </w:pPr>
      <w:r>
        <w:t xml:space="preserve">retentionMinutes × 60 must be evenly divisible by bucketSizeSeconds (FR-2.1a); invalid combinations throw at startup.</w:t>
      </w:r>
    </w:p>
    <w:p>
      <w:pPr>
        <w:pStyle w:val="ListParagraph"/>
        <w:numPr>
          <w:ilvl w:val="0"/>
          <w:numId w:val="2"/>
        </w:numPr>
        <w:spacing w:after="80"/>
      </w:pPr>
      <w:r>
        <w:t xml:space="preserve">dashboardPath and metricsJsonPath must be distinct (FR-5.4); collisions with routes registered elsewhere in the host app are the caller's responsibility — document mounting order, do not attempt to detect them.</w:t>
      </w:r>
    </w:p>
    <w:p>
      <w:pPr>
        <w:pStyle w:val="ListParagraph"/>
        <w:numPr>
          <w:ilvl w:val="0"/>
          <w:numId w:val="2"/>
        </w:numPr>
        <w:spacing w:after="80"/>
      </w:pPr>
      <w:r>
        <w:t xml:space="preserve">Error classification threshold default is HTTP status ≥ 500; 4xx inclusion is not a separate flag in v1 but may be added later without breaking the schema.</w:t>
      </w:r>
    </w:p>
    <w:p>
      <w:pPr>
        <w:pStyle w:val="ListParagraph"/>
        <w:numPr>
          <w:ilvl w:val="0"/>
          <w:numId w:val="2"/>
        </w:numPr>
        <w:spacing w:after="80"/>
      </w:pPr>
      <w:r>
        <w:t xml:space="preserve">Overflow beyond maxTrackedRoutes is aggregated under "other"; unmatched requests (no Express route match) are tracked separately under "unmatched" (FR-1.6) and are not subject to the cap.</w:t>
      </w:r>
    </w:p>
    <w:p>
      <w:pPr>
        <w:pStyle w:val="Heading2"/>
        <w:spacing w:after="120" w:before="240"/>
      </w:pPr>
      <w:r>
        <w:t xml:space="preserve">Appendix B: Out of Scope for v1 (Explicit)</w:t>
      </w:r>
    </w:p>
    <w:p>
      <w:pPr>
        <w:pStyle w:val="ListParagraph"/>
        <w:numPr>
          <w:ilvl w:val="0"/>
          <w:numId w:val="2"/>
        </w:numPr>
        <w:spacing w:after="80"/>
      </w:pPr>
      <w:r>
        <w:t xml:space="preserve">Multi-process / multi-instance / clustered aggregation.</w:t>
      </w:r>
    </w:p>
    <w:p>
      <w:pPr>
        <w:pStyle w:val="ListParagraph"/>
        <w:numPr>
          <w:ilvl w:val="0"/>
          <w:numId w:val="2"/>
        </w:numPr>
        <w:spacing w:after="80"/>
      </w:pPr>
      <w:r>
        <w:t xml:space="preserve">Persistent storage surviving process restart.</w:t>
      </w:r>
    </w:p>
    <w:p>
      <w:pPr>
        <w:pStyle w:val="ListParagraph"/>
        <w:numPr>
          <w:ilvl w:val="0"/>
          <w:numId w:val="2"/>
        </w:numPr>
        <w:spacing w:after="80"/>
      </w:pPr>
      <w:r>
        <w:t xml:space="preserve">Alerting or notification integrations.</w:t>
      </w:r>
    </w:p>
    <w:p>
      <w:pPr>
        <w:pStyle w:val="ListParagraph"/>
        <w:numPr>
          <w:ilvl w:val="0"/>
          <w:numId w:val="2"/>
        </w:numPr>
        <w:spacing w:after="80"/>
      </w:pPr>
      <w:r>
        <w:t xml:space="preserve">Support for frameworks other than Express (e.g. Fastify, Koa, NestJS).</w:t>
      </w:r>
    </w:p>
    <w:p>
      <w:pPr>
        <w:pStyle w:val="ListParagraph"/>
        <w:numPr>
          <w:ilvl w:val="0"/>
          <w:numId w:val="2"/>
        </w:numPr>
        <w:spacing w:after="80"/>
      </w:pPr>
      <w:r>
        <w:t xml:space="preserve">Built-in authentication on the dashboard route (protection is achieved via host-mounted middleware, FR-4.7).</w:t>
      </w:r>
    </w:p>
    <w:p>
      <w:pPr>
        <w:pStyle w:val="ListParagraph"/>
        <w:numPr>
          <w:ilvl w:val="0"/>
          <w:numId w:val="2"/>
        </w:numPr>
        <w:spacing w:after="80"/>
      </w:pPr>
      <w:r>
        <w:t xml:space="preserve">Automatic detection of route-path collisions with the host application's own routes (FR-5.4) — documented as caller responsibility instead.</w:t>
      </w:r>
    </w:p>
    <w:p>
      <w:pPr>
        <w:pStyle w:val="Heading2"/>
        <w:spacing w:after="120" w:before="240"/>
      </w:pPr>
      <w:r>
        <w:t xml:space="preserve">Appendix C: Approved v1 Contract Summary</w:t>
      </w:r>
    </w:p>
    <w:p>
      <w:pPr>
        <w:spacing w:after="160"/>
      </w:pPr>
      <w:r>
        <w:t xml:space="preserve">The following is the authoritative, approved summary of the v1 contract as of this revision. Where a bullet references requirement IDs, those requirements are the binding specification; this list is a convenience index.</w:t>
      </w:r>
    </w:p>
    <w:p>
      <w:pPr>
        <w:pStyle w:val="ListParagraph"/>
        <w:numPr>
          <w:ilvl w:val="0"/>
          <w:numId w:val="2"/>
        </w:numPr>
        <w:spacing w:after="80"/>
      </w:pPr>
      <w:r>
        <w:t xml:space="preserve">TypeScript source with generated .d.ts declarations (see Distribution, NFR).</w:t>
      </w:r>
    </w:p>
    <w:p>
      <w:pPr>
        <w:pStyle w:val="ListParagraph"/>
        <w:numPr>
          <w:ilvl w:val="0"/>
          <w:numId w:val="2"/>
        </w:numPr>
        <w:spacing w:after="80"/>
      </w:pPr>
      <w:r>
        <w:t xml:space="preserve">Dual ESM/CommonJS distribution via package.json exports.</w:t>
      </w:r>
    </w:p>
    <w:p>
      <w:pPr>
        <w:pStyle w:val="ListParagraph"/>
        <w:numPr>
          <w:ilvl w:val="0"/>
          <w:numId w:val="2"/>
        </w:numPr>
        <w:spacing w:after="80"/>
      </w:pPr>
      <w:r>
        <w:t xml:space="preserve">Supported, non end-of-life Node.js LTS releases, enforced through engines and CI.</w:t>
      </w:r>
    </w:p>
    <w:p>
      <w:pPr>
        <w:pStyle w:val="ListParagraph"/>
        <w:numPr>
          <w:ilvl w:val="0"/>
          <w:numId w:val="2"/>
        </w:numPr>
        <w:spacing w:after="80"/>
      </w:pPr>
      <w:r>
        <w:t xml:space="preserve">One public function: nodepulse(options?) — no other exported API surface in v1.</w:t>
      </w:r>
    </w:p>
    <w:p>
      <w:pPr>
        <w:pStyle w:val="ListParagraph"/>
        <w:numPr>
          <w:ilvl w:val="0"/>
          <w:numId w:val="2"/>
        </w:numPr>
        <w:spacing w:after="80"/>
      </w:pPr>
      <w:r>
        <w:t xml:space="preserve">Twelve fixed latency histogram buckets with linear interpolation for percentiles (FR-3.2); correctness guarantee is bucket-width bound, supplemented by a 5% relative-error benchmark (FR-3.4).</w:t>
      </w:r>
    </w:p>
    <w:p>
      <w:pPr>
        <w:pStyle w:val="ListParagraph"/>
        <w:numPr>
          <w:ilvl w:val="0"/>
          <w:numId w:val="2"/>
        </w:numPr>
        <w:spacing w:after="80"/>
      </w:pPr>
      <w:r>
        <w:t xml:space="preserve">Dedicated unmatched (FR-1.6) and cardinality-overflow other (FR-2.4) keys, kept distinct.</w:t>
      </w:r>
    </w:p>
    <w:p>
      <w:pPr>
        <w:pStyle w:val="ListParagraph"/>
        <w:numPr>
          <w:ilvl w:val="0"/>
          <w:numId w:val="2"/>
        </w:numPr>
        <w:spacing w:after="80"/>
      </w:pPr>
      <w:r>
        <w:t xml:space="preserve">Explicit abort tracking via a dedicated abortedCount, guarded against double-counting from finish/close (FR-1.7, FR-1.8).</w:t>
      </w:r>
    </w:p>
    <w:p>
      <w:pPr>
        <w:pStyle w:val="ListParagraph"/>
        <w:numPr>
          <w:ilvl w:val="0"/>
          <w:numId w:val="2"/>
        </w:numPr>
        <w:spacing w:after="80"/>
      </w:pPr>
      <w:r>
        <w:t xml:space="preserve">Automatic exclusion of dashboard and metrics-JSON traffic from instrumentation (FR-1.9).</w:t>
      </w:r>
    </w:p>
    <w:p>
      <w:pPr>
        <w:pStyle w:val="ListParagraph"/>
        <w:numPr>
          <w:ilvl w:val="0"/>
          <w:numId w:val="2"/>
        </w:numPr>
        <w:spacing w:after="80"/>
      </w:pPr>
      <w:r>
        <w:t xml:space="preserve">Dashboard and JSON endpoints enabled and unauthenticated by default, protected via host-mounted middleware ahead of the configured path, with prominent documentation (FR-4.7).</w:t>
      </w:r>
    </w:p>
    <w:p>
      <w:pPr>
        <w:pStyle w:val="ListParagraph"/>
        <w:numPr>
          <w:ilvl w:val="0"/>
          <w:numId w:val="2"/>
        </w:numPr>
        <w:spacing w:after="80"/>
      </w:pPr>
      <w:r>
        <w:t xml:space="preserve">Validated configuration per Appendix A, with retention/bucket-size and path-distinctness checks enforced at startup (FR-2.1a, FR-5.3, FR-5.4).</w:t>
      </w:r>
    </w:p>
    <w:p>
      <w:pPr>
        <w:pStyle w:val="ListParagraph"/>
        <w:numPr>
          <w:ilvl w:val="0"/>
          <w:numId w:val="2"/>
        </w:numPr>
        <w:spacing w:after="80"/>
      </w:pPr>
      <w:r>
        <w:t xml:space="preserve">Measurable performance (p95 overhead &lt; 1ms), memory (bounded/flat post-retention-fill), percentile, and test-coverage gates (Section 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2026-08-29T19:57:45.874Z</dcterms:created>
  <dcterms:modified xsi:type="dcterms:W3CDTF">2026-08-29T19:57:45.874Z</dcterms:modified>
</cp:coreProperties>
</file>

<file path=docProps/custom.xml><?xml version="1.0" encoding="utf-8"?>
<Properties xmlns="http://schemas.openxmlformats.org/officeDocument/2006/custom-properties" xmlns:vt="http://schemas.openxmlformats.org/officeDocument/2006/docPropsVTypes"/>
</file>