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CC9BB" w14:textId="77777777" w:rsidR="00614182" w:rsidRDefault="00467DC8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5583FDA6" w14:textId="77777777" w:rsidR="00614182" w:rsidRDefault="0061418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4182" w14:paraId="2AA566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A6AA" w14:textId="77777777" w:rsidR="00614182" w:rsidRDefault="00467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AE08" w14:textId="50E00125" w:rsidR="00614182" w:rsidRDefault="00807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JULY</w:t>
            </w:r>
            <w:r w:rsidR="00FD3B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7DC8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614182" w14:paraId="715C72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0CDB" w14:textId="77777777" w:rsidR="00614182" w:rsidRDefault="00467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ED40" w14:textId="7E18560C" w:rsidR="00614182" w:rsidRDefault="00FD3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739661</w:t>
            </w:r>
          </w:p>
        </w:tc>
      </w:tr>
      <w:tr w:rsidR="00614182" w14:paraId="3F69C7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4E1F" w14:textId="77777777" w:rsidR="00614182" w:rsidRDefault="00467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B9D4" w14:textId="56F18029" w:rsidR="00614182" w:rsidRPr="00FD3B06" w:rsidRDefault="00FD3B06" w:rsidP="00FD3B06">
            <w:pPr>
              <w:pStyle w:val="Heading3"/>
              <w:ind w:left="0"/>
            </w:pPr>
            <w:proofErr w:type="spellStart"/>
            <w:r>
              <w:t>Anemiasense</w:t>
            </w:r>
            <w:proofErr w:type="spellEnd"/>
            <w:r>
              <w:t xml:space="preserve">: Leveraging Machine Learning </w:t>
            </w:r>
            <w:proofErr w:type="gramStart"/>
            <w:r>
              <w:t>For</w:t>
            </w:r>
            <w:proofErr w:type="gramEnd"/>
            <w:r>
              <w:t xml:space="preserve"> Precise Anemia Recognitions</w:t>
            </w:r>
          </w:p>
        </w:tc>
      </w:tr>
      <w:tr w:rsidR="00614182" w14:paraId="335281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9717" w14:textId="77777777" w:rsidR="00614182" w:rsidRDefault="00467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2399" w14:textId="77777777" w:rsidR="00614182" w:rsidRDefault="00467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F2D6260" w14:textId="77777777" w:rsidR="00614182" w:rsidRDefault="0061418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0B2405D9" w14:textId="77777777" w:rsidR="00614182" w:rsidRDefault="00467DC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0010AD0" w14:textId="7CA22D58" w:rsidR="00614182" w:rsidRDefault="00FD3B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Optimizing and tuning machine learning models is crucial for enhancing the accuracy, reliability, and robustness of </w:t>
      </w:r>
      <w:proofErr w:type="spellStart"/>
      <w:r>
        <w:t>Anemiasense</w:t>
      </w:r>
      <w:proofErr w:type="spellEnd"/>
      <w:r>
        <w:t xml:space="preserve"> in recognizing anemia with precision. This phase focuses on refining model performance through systematic adjustments of hyperparameters and techniques tailored to the dataset characteristics and model requirements</w:t>
      </w:r>
      <w:r w:rsidR="00467D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86AC9" w14:textId="77777777" w:rsidR="00614182" w:rsidRDefault="00467DC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10773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9"/>
        <w:gridCol w:w="4692"/>
        <w:gridCol w:w="3742"/>
      </w:tblGrid>
      <w:tr w:rsidR="00614182" w14:paraId="5CB9570B" w14:textId="77777777" w:rsidTr="007347FB">
        <w:trPr>
          <w:trHeight w:val="41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F574B8" w14:textId="77777777" w:rsidR="00614182" w:rsidRDefault="00467DC8" w:rsidP="007347F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8B740F" w14:textId="77777777" w:rsidR="00614182" w:rsidRDefault="00467DC8" w:rsidP="007347F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F04CA6" w14:textId="77777777" w:rsidR="00614182" w:rsidRDefault="00467DC8" w:rsidP="007347F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614182" w14:paraId="03F69E56" w14:textId="77777777" w:rsidTr="007347FB">
        <w:trPr>
          <w:trHeight w:val="69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D1990" w14:textId="540A594A" w:rsidR="00614182" w:rsidRPr="00FD3B06" w:rsidRDefault="00FD3B06" w:rsidP="007347FB">
            <w:pPr>
              <w:widowControl/>
              <w:spacing w:after="160"/>
            </w:pPr>
            <w:r>
              <w:t>Logistic</w:t>
            </w:r>
            <w:r w:rsidR="007347FB">
              <w:t xml:space="preserve"> </w:t>
            </w:r>
            <w:r>
              <w:t>Regression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A779D" w14:textId="3582E7FF" w:rsidR="00614182" w:rsidRDefault="007347FB" w:rsidP="007347F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Regularization: L2 penalty (C)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B94C1" w14:textId="51F941A8" w:rsidR="00614182" w:rsidRDefault="007347FB" w:rsidP="007347F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 = 0.1</w:t>
            </w:r>
          </w:p>
        </w:tc>
      </w:tr>
      <w:tr w:rsidR="00614182" w14:paraId="3180EF45" w14:textId="77777777" w:rsidTr="007347FB">
        <w:trPr>
          <w:trHeight w:val="105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50423" w14:textId="1A00B577" w:rsidR="00614182" w:rsidRDefault="007347FB" w:rsidP="007347F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Random Forest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C83B6" w14:textId="3F9FA4AC" w:rsidR="00614182" w:rsidRDefault="007347FB" w:rsidP="007347F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Number of trees, Maximum features, Minimum samples per leaf.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5C485" w14:textId="133979A2" w:rsidR="007347FB" w:rsidRPr="007347FB" w:rsidRDefault="007347FB" w:rsidP="007347FB">
            <w:pPr>
              <w:widowControl/>
              <w:spacing w:after="160" w:line="411" w:lineRule="auto"/>
            </w:pPr>
            <w:r>
              <w:t>Number of trees = 150, Max features = sqrt, Min samples leaf = 2</w:t>
            </w:r>
          </w:p>
        </w:tc>
      </w:tr>
      <w:tr w:rsidR="00614182" w14:paraId="55058FE3" w14:textId="77777777" w:rsidTr="007347FB">
        <w:trPr>
          <w:trHeight w:val="69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7F273" w14:textId="07F11260" w:rsidR="00614182" w:rsidRDefault="007347FB" w:rsidP="007347F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Decision Tree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CEB16" w14:textId="67088318" w:rsidR="00614182" w:rsidRDefault="007347FB" w:rsidP="007347F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Maximum depth, Minimum samples per leaf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38582" w14:textId="5349C9DA" w:rsidR="00614182" w:rsidRDefault="007347FB" w:rsidP="007347F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 depth = 10, Min samples leaf = 5</w:t>
            </w:r>
          </w:p>
        </w:tc>
      </w:tr>
      <w:tr w:rsidR="007347FB" w:rsidRPr="007347FB" w14:paraId="25F0631C" w14:textId="0409AA1E" w:rsidTr="007347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2339" w:type="dxa"/>
          </w:tcPr>
          <w:p w14:paraId="1210B4AF" w14:textId="0D78DB2E" w:rsidR="007347FB" w:rsidRPr="007347FB" w:rsidRDefault="007347FB" w:rsidP="007347FB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bookmarkStart w:id="1" w:name="_lif9zc7yqlae" w:colFirst="0" w:colLast="0"/>
            <w:bookmarkEnd w:id="1"/>
            <w:r w:rsidRPr="007347FB">
              <w:rPr>
                <w:b w:val="0"/>
                <w:bCs/>
              </w:rPr>
              <w:t>Gaussian Naive Bayes</w:t>
            </w:r>
          </w:p>
        </w:tc>
        <w:tc>
          <w:tcPr>
            <w:tcW w:w="4692" w:type="dxa"/>
          </w:tcPr>
          <w:p w14:paraId="64EBA0F0" w14:textId="731E91D9" w:rsidR="007347FB" w:rsidRPr="007347FB" w:rsidRDefault="007347FB" w:rsidP="007347FB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7347FB">
              <w:rPr>
                <w:b w:val="0"/>
                <w:bCs/>
              </w:rPr>
              <w:t>No hyperparameters to optimize</w:t>
            </w:r>
          </w:p>
        </w:tc>
        <w:tc>
          <w:tcPr>
            <w:tcW w:w="3742" w:type="dxa"/>
          </w:tcPr>
          <w:p w14:paraId="01CFF760" w14:textId="152C0F74" w:rsidR="007347FB" w:rsidRPr="007347FB" w:rsidRDefault="007347FB" w:rsidP="007347FB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7347FB">
              <w:rPr>
                <w:b w:val="0"/>
                <w:bCs/>
              </w:rPr>
              <w:t>N/A (No tuning required)</w:t>
            </w:r>
          </w:p>
        </w:tc>
      </w:tr>
      <w:tr w:rsidR="007347FB" w14:paraId="1DE78CEB" w14:textId="6406E501" w:rsidTr="007347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25"/>
        </w:trPr>
        <w:tc>
          <w:tcPr>
            <w:tcW w:w="2340" w:type="dxa"/>
          </w:tcPr>
          <w:p w14:paraId="22547A61" w14:textId="2B25C924" w:rsidR="007347FB" w:rsidRPr="007347FB" w:rsidRDefault="007347FB" w:rsidP="007347FB">
            <w:pPr>
              <w:pStyle w:val="Heading3"/>
              <w:widowControl/>
              <w:shd w:val="clear" w:color="auto" w:fill="FFFFFF"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7347FB">
              <w:rPr>
                <w:b w:val="0"/>
                <w:bCs/>
              </w:rPr>
              <w:t>Gradient Boosting Classifier</w:t>
            </w:r>
          </w:p>
        </w:tc>
        <w:tc>
          <w:tcPr>
            <w:tcW w:w="4691" w:type="dxa"/>
          </w:tcPr>
          <w:p w14:paraId="33A9D799" w14:textId="7BEC8BD8" w:rsidR="007347FB" w:rsidRPr="007347FB" w:rsidRDefault="007347FB" w:rsidP="007347FB">
            <w:pPr>
              <w:pStyle w:val="Heading3"/>
              <w:widowControl/>
              <w:shd w:val="clear" w:color="auto" w:fill="FFFFFF"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7347FB">
              <w:rPr>
                <w:b w:val="0"/>
                <w:bCs/>
              </w:rPr>
              <w:t>Learning rate, Number of trees, Maximum depth</w:t>
            </w:r>
          </w:p>
        </w:tc>
        <w:tc>
          <w:tcPr>
            <w:tcW w:w="3742" w:type="dxa"/>
          </w:tcPr>
          <w:p w14:paraId="778C3625" w14:textId="1DE8812C" w:rsidR="007347FB" w:rsidRPr="007347FB" w:rsidRDefault="007347FB" w:rsidP="007347FB">
            <w:pPr>
              <w:pStyle w:val="Heading3"/>
              <w:widowControl/>
              <w:shd w:val="clear" w:color="auto" w:fill="FFFFFF"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7347FB">
              <w:rPr>
                <w:b w:val="0"/>
                <w:bCs/>
              </w:rPr>
              <w:t>Learning rate = 0.05, Number of trees = 200, Max depth = 3</w:t>
            </w:r>
          </w:p>
        </w:tc>
      </w:tr>
    </w:tbl>
    <w:p w14:paraId="66F418A1" w14:textId="77777777" w:rsidR="007347FB" w:rsidRDefault="007347FB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16DD221" w14:textId="447F6936" w:rsidR="00614182" w:rsidRPr="00B46247" w:rsidRDefault="00467DC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b w:val="0"/>
          <w:bCs/>
          <w:color w:val="0D0D0D"/>
          <w:sz w:val="24"/>
          <w:szCs w:val="24"/>
        </w:rPr>
      </w:pPr>
      <w:r w:rsidRPr="00B46247">
        <w:rPr>
          <w:rFonts w:ascii="Times New Roman" w:eastAsia="Times New Roman" w:hAnsi="Times New Roman" w:cs="Times New Roman"/>
          <w:b w:val="0"/>
          <w:bCs/>
          <w:sz w:val="24"/>
          <w:szCs w:val="24"/>
        </w:rPr>
        <w:lastRenderedPageBreak/>
        <w:t>Performance Metrics Comparison Report (2 Marks):</w:t>
      </w:r>
    </w:p>
    <w:tbl>
      <w:tblPr>
        <w:tblStyle w:val="a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028"/>
        <w:gridCol w:w="222"/>
        <w:gridCol w:w="7100"/>
      </w:tblGrid>
      <w:tr w:rsidR="00614182" w14:paraId="33DBD270" w14:textId="77777777" w:rsidTr="00561315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230D95" w14:textId="77777777" w:rsidR="00614182" w:rsidRDefault="00467DC8" w:rsidP="00B462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CD05EA" w14:textId="4BF9CB48" w:rsidR="00614182" w:rsidRDefault="00614182" w:rsidP="00B462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8B45C" w14:textId="77777777" w:rsidR="00614182" w:rsidRDefault="00467DC8" w:rsidP="00B462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614182" w14:paraId="0ED11642" w14:textId="77777777" w:rsidTr="00561315">
        <w:trPr>
          <w:trHeight w:val="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4E231" w14:textId="2946B3FA" w:rsidR="00614182" w:rsidRDefault="00B46247" w:rsidP="00B462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Logistic Regression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61A91" w14:textId="46D11BF8" w:rsidR="00614182" w:rsidRDefault="00614182" w:rsidP="00B462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5D8F5" w14:textId="0D9D9F2F" w:rsidR="00614182" w:rsidRDefault="0010213C" w:rsidP="00B462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13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2F07A34" wp14:editId="0E8D1C92">
                  <wp:extent cx="4374259" cy="1653683"/>
                  <wp:effectExtent l="0" t="0" r="7620" b="3810"/>
                  <wp:docPr id="26851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5140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259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182" w14:paraId="3D020618" w14:textId="77777777" w:rsidTr="00561315">
        <w:trPr>
          <w:trHeight w:val="695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FA0FF" w14:textId="51F96ACD" w:rsidR="00B46247" w:rsidRPr="00B46247" w:rsidRDefault="00B46247" w:rsidP="00B462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Random Forest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000E6" w14:textId="75153E07" w:rsidR="00614182" w:rsidRDefault="00614182" w:rsidP="00B462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F3C1E" w14:textId="53C4FBE0" w:rsidR="00614182" w:rsidRDefault="00AB57CF" w:rsidP="00B462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7C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6FFA8E6" wp14:editId="58FF684E">
                  <wp:extent cx="4191363" cy="1676545"/>
                  <wp:effectExtent l="0" t="0" r="0" b="0"/>
                  <wp:docPr id="980096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0965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247" w14:paraId="5D786AF7" w14:textId="7AC1E6BC" w:rsidTr="00561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31"/>
        </w:trPr>
        <w:tc>
          <w:tcPr>
            <w:tcW w:w="0" w:type="auto"/>
          </w:tcPr>
          <w:p w14:paraId="733543D6" w14:textId="5B9B5AC3" w:rsidR="00B46247" w:rsidRDefault="00B46247" w:rsidP="00B46247">
            <w:pPr>
              <w:widowControl/>
              <w:shd w:val="clear" w:color="auto" w:fill="FFFFFF"/>
              <w:spacing w:before="280" w:after="80" w:line="384" w:lineRule="auto"/>
            </w:pPr>
            <w:r>
              <w:t>Decision Tree</w:t>
            </w:r>
          </w:p>
        </w:tc>
        <w:tc>
          <w:tcPr>
            <w:tcW w:w="0" w:type="auto"/>
          </w:tcPr>
          <w:p w14:paraId="522B10D2" w14:textId="1A1369E9" w:rsidR="00B46247" w:rsidRDefault="00B46247" w:rsidP="00DA780C">
            <w:pPr>
              <w:widowControl/>
              <w:shd w:val="clear" w:color="auto" w:fill="FFFFFF"/>
              <w:spacing w:before="280" w:after="80" w:line="384" w:lineRule="auto"/>
            </w:pPr>
          </w:p>
        </w:tc>
        <w:tc>
          <w:tcPr>
            <w:tcW w:w="4179" w:type="dxa"/>
          </w:tcPr>
          <w:p w14:paraId="7BBDA837" w14:textId="43E203C9" w:rsidR="00B46247" w:rsidRDefault="00AB423E" w:rsidP="00DA780C">
            <w:pPr>
              <w:widowControl/>
              <w:shd w:val="clear" w:color="auto" w:fill="FFFFFF"/>
              <w:spacing w:before="280" w:after="80" w:line="384" w:lineRule="auto"/>
            </w:pPr>
            <w:r w:rsidRPr="00AB423E">
              <w:drawing>
                <wp:inline distT="0" distB="0" distL="0" distR="0" wp14:anchorId="50B80EF5" wp14:editId="4022BE25">
                  <wp:extent cx="4138019" cy="1607959"/>
                  <wp:effectExtent l="0" t="0" r="0" b="0"/>
                  <wp:docPr id="715292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2924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019" cy="160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247" w14:paraId="681DD502" w14:textId="6C99E31C" w:rsidTr="00561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0" w:type="auto"/>
          </w:tcPr>
          <w:p w14:paraId="307A8A71" w14:textId="08B12D0C" w:rsidR="00B46247" w:rsidRPr="00B46247" w:rsidRDefault="00B46247" w:rsidP="00B46247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bookmarkStart w:id="2" w:name="_icba2z55xfq0" w:colFirst="0" w:colLast="0"/>
            <w:bookmarkEnd w:id="2"/>
            <w:r w:rsidRPr="00B46247">
              <w:rPr>
                <w:b w:val="0"/>
                <w:bCs/>
              </w:rPr>
              <w:lastRenderedPageBreak/>
              <w:t>Gaussian Naive Bayes</w:t>
            </w:r>
          </w:p>
        </w:tc>
        <w:tc>
          <w:tcPr>
            <w:tcW w:w="0" w:type="auto"/>
          </w:tcPr>
          <w:p w14:paraId="77FF908F" w14:textId="1E564BBF" w:rsidR="00B46247" w:rsidRPr="00B46247" w:rsidRDefault="00B46247" w:rsidP="00B46247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4179" w:type="dxa"/>
          </w:tcPr>
          <w:p w14:paraId="66AA9285" w14:textId="6D2BDFCF" w:rsidR="00B46247" w:rsidRPr="00B46247" w:rsidRDefault="006277F4" w:rsidP="00B46247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6277F4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drawing>
                <wp:inline distT="0" distB="0" distL="0" distR="0" wp14:anchorId="4735F90B" wp14:editId="7C9FE3C0">
                  <wp:extent cx="3901778" cy="1546994"/>
                  <wp:effectExtent l="0" t="0" r="3810" b="0"/>
                  <wp:docPr id="1550393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3933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247" w14:paraId="15A4DCD2" w14:textId="0B559EF5" w:rsidTr="00561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0" w:type="auto"/>
          </w:tcPr>
          <w:p w14:paraId="558620CB" w14:textId="65581B42" w:rsidR="00B46247" w:rsidRPr="00B46247" w:rsidRDefault="00B46247" w:rsidP="00B46247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B46247">
              <w:rPr>
                <w:b w:val="0"/>
                <w:bCs/>
              </w:rPr>
              <w:t>Gradient Boosting Classifier</w:t>
            </w:r>
          </w:p>
        </w:tc>
        <w:tc>
          <w:tcPr>
            <w:tcW w:w="0" w:type="auto"/>
          </w:tcPr>
          <w:p w14:paraId="062644B6" w14:textId="70D3A004" w:rsidR="00B46247" w:rsidRPr="00B46247" w:rsidRDefault="00B46247" w:rsidP="00B46247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4179" w:type="dxa"/>
          </w:tcPr>
          <w:p w14:paraId="6EBFC40A" w14:textId="3334FEFE" w:rsidR="00B46247" w:rsidRPr="00B46247" w:rsidRDefault="008E5A20" w:rsidP="00B46247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8E5A20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drawing>
                <wp:inline distT="0" distB="0" distL="0" distR="0" wp14:anchorId="13272434" wp14:editId="5FA48EC5">
                  <wp:extent cx="3939881" cy="1676545"/>
                  <wp:effectExtent l="0" t="0" r="3810" b="0"/>
                  <wp:docPr id="2121344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3441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81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6C0FD" w14:textId="77777777" w:rsidR="00614182" w:rsidRDefault="00467DC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106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4"/>
        <w:gridCol w:w="8383"/>
      </w:tblGrid>
      <w:tr w:rsidR="00614182" w14:paraId="3567DF3E" w14:textId="77777777" w:rsidTr="007202F3">
        <w:trPr>
          <w:trHeight w:val="69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C6785D" w14:textId="77777777" w:rsidR="00614182" w:rsidRDefault="00467DC8" w:rsidP="007202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8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44214" w14:textId="77777777" w:rsidR="00614182" w:rsidRDefault="00467DC8" w:rsidP="007202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614182" w14:paraId="57AD340D" w14:textId="77777777" w:rsidTr="007202F3">
        <w:trPr>
          <w:trHeight w:val="69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EC2F87" w14:textId="7922EA0C" w:rsidR="00614182" w:rsidRDefault="00467DC8" w:rsidP="007202F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Gradient Boosting Classifier</w:t>
            </w:r>
          </w:p>
        </w:tc>
        <w:tc>
          <w:tcPr>
            <w:tcW w:w="8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E83E5C" w14:textId="3E730EF8" w:rsidR="00614182" w:rsidRDefault="00C90FE0" w:rsidP="007202F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After extensive experimentation and hyperparameter tuning, the Gradient Boosting Classifier emerged as the optimal choice for several reasons:</w:t>
            </w:r>
          </w:p>
        </w:tc>
      </w:tr>
      <w:tr w:rsidR="00C90FE0" w14:paraId="172EC704" w14:textId="54DECEA4" w:rsidTr="00720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860"/>
        </w:trPr>
        <w:tc>
          <w:tcPr>
            <w:tcW w:w="2244" w:type="dxa"/>
          </w:tcPr>
          <w:p w14:paraId="08D2B9CE" w14:textId="622DD2B7" w:rsidR="00C90FE0" w:rsidRDefault="00C90FE0" w:rsidP="00720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 Performance Metrics:</w:t>
            </w:r>
          </w:p>
        </w:tc>
        <w:tc>
          <w:tcPr>
            <w:tcW w:w="83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C85903" w:rsidRPr="00C85903" w14:paraId="731186C2" w14:textId="77777777" w:rsidTr="00C85903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5A16B1E0" w14:textId="77777777" w:rsidR="00305723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- </w:t>
                  </w:r>
                  <w:r w:rsidRPr="00C8590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Highest Optimized Accuracy:</w:t>
                  </w:r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Through rigorous cross-validation and</w:t>
                  </w:r>
                </w:p>
                <w:p w14:paraId="4FD18643" w14:textId="77777777" w:rsidR="00CE1122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hyperparameter tuning, the Gradient Boosting Classifier consistently achieved the</w:t>
                  </w:r>
                </w:p>
                <w:p w14:paraId="5E63DB35" w14:textId="77777777" w:rsidR="00CE1122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highest accuracy among the tested models. This indicates its ability to correctly </w:t>
                  </w:r>
                </w:p>
                <w:p w14:paraId="0FA9759B" w14:textId="078A441E" w:rsidR="00C85903" w:rsidRPr="00C85903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classify </w:t>
                  </w:r>
                  <w:proofErr w:type="spellStart"/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anemia</w:t>
                  </w:r>
                  <w:proofErr w:type="spellEnd"/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cases with high precision.</w:t>
                  </w:r>
                </w:p>
              </w:tc>
            </w:tr>
          </w:tbl>
          <w:p w14:paraId="026BBD50" w14:textId="77777777" w:rsidR="00C85903" w:rsidRPr="00C85903" w:rsidRDefault="00C85903" w:rsidP="007202F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5"/>
            </w:tblGrid>
            <w:tr w:rsidR="00C85903" w:rsidRPr="00C85903" w14:paraId="505CC0BC" w14:textId="77777777" w:rsidTr="00C859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4A4AD9" w14:textId="77777777" w:rsidR="00C85903" w:rsidRPr="00C85903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F266E28" w14:textId="77777777" w:rsidR="00C85903" w:rsidRPr="00C85903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115ABBB9" w14:textId="77777777" w:rsidR="00C85903" w:rsidRPr="00C85903" w:rsidRDefault="00C85903" w:rsidP="007202F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279"/>
            </w:tblGrid>
            <w:tr w:rsidR="00C85903" w:rsidRPr="00C85903" w14:paraId="4027E619" w14:textId="77777777" w:rsidTr="00C859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E0705C" w14:textId="77777777" w:rsidR="00C85903" w:rsidRPr="00C85903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9234" w:type="dxa"/>
                  <w:vAlign w:val="center"/>
                  <w:hideMark/>
                </w:tcPr>
                <w:p w14:paraId="45FDAC8A" w14:textId="77777777" w:rsidR="00CE1122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- </w:t>
                  </w:r>
                  <w:r w:rsidRPr="00C8590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Highest F1 Score:</w:t>
                  </w:r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F1 score, which balances precision and recall, is crucial in </w:t>
                  </w:r>
                </w:p>
                <w:p w14:paraId="22033F18" w14:textId="77777777" w:rsidR="00CE1122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medical diagnostics where both false positives and false negatives can have </w:t>
                  </w:r>
                </w:p>
                <w:p w14:paraId="326653A6" w14:textId="77777777" w:rsidR="00865D97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significant consequences. The Gradient Boosting Classifier demonstrated the highest</w:t>
                  </w:r>
                </w:p>
                <w:p w14:paraId="1AF2E646" w14:textId="77777777" w:rsidR="00865D97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F1 score after tuning, indicating robust performance across multiple evaluation</w:t>
                  </w:r>
                </w:p>
                <w:p w14:paraId="1D43768E" w14:textId="1AA3DA1A" w:rsidR="00C85903" w:rsidRPr="00C85903" w:rsidRDefault="00C8590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859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metrics.</w:t>
                  </w:r>
                </w:p>
              </w:tc>
            </w:tr>
          </w:tbl>
          <w:p w14:paraId="02AA5AA6" w14:textId="77777777" w:rsidR="00C90FE0" w:rsidRDefault="00C90FE0" w:rsidP="00720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5903" w14:paraId="1E977C32" w14:textId="398F8BF4" w:rsidTr="00720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452"/>
        </w:trPr>
        <w:tc>
          <w:tcPr>
            <w:tcW w:w="2244" w:type="dxa"/>
          </w:tcPr>
          <w:p w14:paraId="572AC369" w14:textId="35B70817" w:rsidR="00C85903" w:rsidRDefault="009E7E60" w:rsidP="00720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2. Ensemble Learning Benefits:</w:t>
            </w:r>
          </w:p>
        </w:tc>
        <w:tc>
          <w:tcPr>
            <w:tcW w:w="83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9E7E60" w:rsidRPr="009E7E60" w14:paraId="14D071B8" w14:textId="77777777" w:rsidTr="009E7E60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ABF1642" w14:textId="77777777" w:rsidR="00865D97" w:rsidRDefault="009E7E60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- </w:t>
                  </w:r>
                  <w:r w:rsidRPr="009E7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Robustness to Overfitting:</w:t>
                  </w:r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Gradient Boosting combines multiple weak learners</w:t>
                  </w:r>
                </w:p>
                <w:p w14:paraId="2FE0843D" w14:textId="77777777" w:rsidR="00865D97" w:rsidRDefault="009E7E60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(usually decision trees) sequentially, focusing on instances that previous models</w:t>
                  </w:r>
                </w:p>
                <w:p w14:paraId="0144893C" w14:textId="77777777" w:rsidR="00865D97" w:rsidRDefault="009E7E60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misclassified. This ensemble method helps mitigate overfitting and enhances</w:t>
                  </w:r>
                </w:p>
                <w:p w14:paraId="31C95BB8" w14:textId="031FE031" w:rsidR="009E7E60" w:rsidRPr="009E7E60" w:rsidRDefault="009E7E60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generalization ability, crucial for reliable </w:t>
                  </w:r>
                  <w:proofErr w:type="spellStart"/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anemia</w:t>
                  </w:r>
                  <w:proofErr w:type="spellEnd"/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recognition across diverse datasets.</w:t>
                  </w:r>
                </w:p>
              </w:tc>
            </w:tr>
          </w:tbl>
          <w:p w14:paraId="1BA76B73" w14:textId="77777777" w:rsidR="009E7E60" w:rsidRPr="009E7E60" w:rsidRDefault="009E7E60" w:rsidP="007202F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5"/>
            </w:tblGrid>
            <w:tr w:rsidR="009E7E60" w:rsidRPr="009E7E60" w14:paraId="441CCD7E" w14:textId="77777777" w:rsidTr="009E7E6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D1D8D2" w14:textId="77777777" w:rsidR="009E7E60" w:rsidRPr="009E7E60" w:rsidRDefault="009E7E60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D77B30E" w14:textId="77777777" w:rsidR="009E7E60" w:rsidRPr="009E7E60" w:rsidRDefault="009E7E60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200442F7" w14:textId="77777777" w:rsidR="009E7E60" w:rsidRPr="009E7E60" w:rsidRDefault="009E7E60" w:rsidP="007202F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279"/>
            </w:tblGrid>
            <w:tr w:rsidR="009E7E60" w:rsidRPr="009E7E60" w14:paraId="677D1E71" w14:textId="77777777" w:rsidTr="009E7E6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89B3FA" w14:textId="77777777" w:rsidR="009E7E60" w:rsidRPr="009E7E60" w:rsidRDefault="009E7E60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9234" w:type="dxa"/>
                  <w:vAlign w:val="center"/>
                  <w:hideMark/>
                </w:tcPr>
                <w:p w14:paraId="088AA769" w14:textId="77777777" w:rsidR="00B22039" w:rsidRDefault="009E7E60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- </w:t>
                  </w:r>
                  <w:r w:rsidRPr="009E7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Effective Handling of Complex Relationships:</w:t>
                  </w:r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proofErr w:type="spellStart"/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Anemia</w:t>
                  </w:r>
                  <w:proofErr w:type="spellEnd"/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classification can</w:t>
                  </w:r>
                </w:p>
                <w:p w14:paraId="5699E8C3" w14:textId="77777777" w:rsidR="00B22039" w:rsidRDefault="009E7E60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involve intricate relationships between various clinical features. Gradient Boosting</w:t>
                  </w:r>
                </w:p>
                <w:p w14:paraId="716DFD88" w14:textId="36E9B1B7" w:rsidR="00B22039" w:rsidRDefault="009E7E60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effectively captures these complexities through its iterative learning process, thereby</w:t>
                  </w:r>
                </w:p>
                <w:p w14:paraId="63CA6B24" w14:textId="6983695D" w:rsidR="009E7E60" w:rsidRPr="009E7E60" w:rsidRDefault="009E7E60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9E7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improving model accuracy compared to simpler models.</w:t>
                  </w:r>
                </w:p>
              </w:tc>
            </w:tr>
          </w:tbl>
          <w:p w14:paraId="52F8D540" w14:textId="77777777" w:rsidR="00C85903" w:rsidRDefault="00C85903" w:rsidP="00720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7E60" w14:paraId="09AF0FE9" w14:textId="655EE089" w:rsidTr="00720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52"/>
        </w:trPr>
        <w:tc>
          <w:tcPr>
            <w:tcW w:w="2244" w:type="dxa"/>
          </w:tcPr>
          <w:p w14:paraId="5DC92C22" w14:textId="595DF111" w:rsidR="009E7E60" w:rsidRDefault="00C53A8C" w:rsidP="00720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3. Practical Considerations:</w:t>
            </w:r>
          </w:p>
        </w:tc>
        <w:tc>
          <w:tcPr>
            <w:tcW w:w="8383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05723" w:rsidRPr="00305723" w14:paraId="063C3F41" w14:textId="77777777" w:rsidTr="00305723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5BF9AFF4" w14:textId="77777777" w:rsidR="00596E65" w:rsidRDefault="0030572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057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- </w:t>
                  </w:r>
                  <w:r w:rsidRPr="003057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Scalability and Deployment:</w:t>
                  </w:r>
                  <w:r w:rsidRPr="003057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Gradient Boosting, while computationally intensive</w:t>
                  </w:r>
                </w:p>
                <w:p w14:paraId="714B3AFF" w14:textId="77777777" w:rsidR="00596E65" w:rsidRDefault="0030572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057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during training, can be efficiently deployed in production environments. Its</w:t>
                  </w:r>
                </w:p>
                <w:p w14:paraId="0C5DD189" w14:textId="34D3744B" w:rsidR="00305723" w:rsidRPr="00305723" w:rsidRDefault="0030572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057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predictive power and the ability to handle large datasets make it suitable for real-time or batch processing scenarios typical in healthcare settings.</w:t>
                  </w:r>
                </w:p>
              </w:tc>
            </w:tr>
          </w:tbl>
          <w:p w14:paraId="505342DB" w14:textId="77777777" w:rsidR="00305723" w:rsidRPr="00305723" w:rsidRDefault="00305723" w:rsidP="007202F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5"/>
            </w:tblGrid>
            <w:tr w:rsidR="00305723" w:rsidRPr="00305723" w14:paraId="6DE4C969" w14:textId="77777777" w:rsidTr="0030572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38A5C6" w14:textId="77777777" w:rsidR="00305723" w:rsidRPr="00305723" w:rsidRDefault="0030572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93C6B15" w14:textId="77777777" w:rsidR="00305723" w:rsidRPr="00305723" w:rsidRDefault="0030572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7D0FB79A" w14:textId="77777777" w:rsidR="00305723" w:rsidRPr="00305723" w:rsidRDefault="00305723" w:rsidP="007202F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279"/>
            </w:tblGrid>
            <w:tr w:rsidR="00305723" w:rsidRPr="00305723" w14:paraId="606D19BD" w14:textId="77777777" w:rsidTr="0030572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395E4" w14:textId="77777777" w:rsidR="00305723" w:rsidRPr="00305723" w:rsidRDefault="0030572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9234" w:type="dxa"/>
                  <w:vAlign w:val="center"/>
                  <w:hideMark/>
                </w:tcPr>
                <w:p w14:paraId="6EC7ED51" w14:textId="77777777" w:rsidR="00731D22" w:rsidRDefault="0030572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057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- </w:t>
                  </w:r>
                  <w:r w:rsidRPr="003057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Interpretability:</w:t>
                  </w:r>
                  <w:r w:rsidRPr="003057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While not as straightforward as simpler models like logistic</w:t>
                  </w:r>
                </w:p>
                <w:p w14:paraId="13DB5BB9" w14:textId="77777777" w:rsidR="00731D22" w:rsidRDefault="0030572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057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regression, Gradient Boosting can still provide insights into feature importance, </w:t>
                  </w:r>
                </w:p>
                <w:p w14:paraId="6B162E67" w14:textId="77777777" w:rsidR="00731D22" w:rsidRDefault="0030572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057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aiding clinicians in understanding which clinical factors contribute most to </w:t>
                  </w:r>
                  <w:proofErr w:type="spellStart"/>
                  <w:r w:rsidRPr="003057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anemia</w:t>
                  </w:r>
                  <w:proofErr w:type="spellEnd"/>
                </w:p>
                <w:p w14:paraId="279A2AEA" w14:textId="615A9515" w:rsidR="00305723" w:rsidRPr="00305723" w:rsidRDefault="0030572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057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diagnosis.</w:t>
                  </w:r>
                </w:p>
              </w:tc>
            </w:tr>
          </w:tbl>
          <w:p w14:paraId="03D8CDD3" w14:textId="77777777" w:rsidR="009E7E60" w:rsidRDefault="009E7E60" w:rsidP="00720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6F9" w14:paraId="79597448" w14:textId="01D23A53" w:rsidTr="003808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54"/>
        </w:trPr>
        <w:tc>
          <w:tcPr>
            <w:tcW w:w="2244" w:type="dxa"/>
          </w:tcPr>
          <w:p w14:paraId="7CCA5630" w14:textId="26D7328A" w:rsidR="004036F9" w:rsidRDefault="004036F9" w:rsidP="00720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4. Industry Standard:</w:t>
            </w:r>
          </w:p>
        </w:tc>
        <w:tc>
          <w:tcPr>
            <w:tcW w:w="8383" w:type="dxa"/>
            <w:tcBorders>
              <w:bottom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202F3" w:rsidRPr="007202F3" w14:paraId="7D3A237A" w14:textId="77777777" w:rsidTr="007202F3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0580EBC" w14:textId="77777777" w:rsidR="007202F3" w:rsidRPr="007202F3" w:rsidRDefault="007202F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7202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- </w:t>
                  </w:r>
                  <w:r w:rsidRPr="007202F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Widely Adopted in Healthcare:</w:t>
                  </w:r>
                  <w:r w:rsidRPr="007202F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Gradient Boosting techniques are well-established in medical diagnostics and have shown success in various healthcare applications, making them a reliable choice backed by industry adoption and research support.</w:t>
                  </w:r>
                </w:p>
              </w:tc>
            </w:tr>
          </w:tbl>
          <w:p w14:paraId="3A6FEFCA" w14:textId="77777777" w:rsidR="007202F3" w:rsidRPr="007202F3" w:rsidRDefault="007202F3" w:rsidP="007202F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5"/>
            </w:tblGrid>
            <w:tr w:rsidR="007202F3" w:rsidRPr="007202F3" w14:paraId="171C8888" w14:textId="77777777" w:rsidTr="007202F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4EE495" w14:textId="77777777" w:rsidR="007202F3" w:rsidRPr="007202F3" w:rsidRDefault="007202F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34A41DEB" w14:textId="77777777" w:rsidR="007202F3" w:rsidRPr="007202F3" w:rsidRDefault="007202F3" w:rsidP="007202F3">
                  <w:pPr>
                    <w:widowControl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791425D1" w14:textId="77777777" w:rsidR="004036F9" w:rsidRDefault="004036F9" w:rsidP="00720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2F3" w14:paraId="018970AC" w14:textId="45FA7C10" w:rsidTr="003808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36"/>
        </w:trPr>
        <w:tc>
          <w:tcPr>
            <w:tcW w:w="2244" w:type="dxa"/>
          </w:tcPr>
          <w:p w14:paraId="79886B4D" w14:textId="1F06E313" w:rsidR="007202F3" w:rsidRDefault="00380889" w:rsidP="00720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Conclusion:</w:t>
            </w:r>
          </w:p>
        </w:tc>
        <w:tc>
          <w:tcPr>
            <w:tcW w:w="8383" w:type="dxa"/>
          </w:tcPr>
          <w:p w14:paraId="357648CE" w14:textId="368806F6" w:rsidR="007202F3" w:rsidRDefault="00380889" w:rsidP="00720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Based on its superior performance in accuracy, F1 score, robustness, and practical suitability for deployment, the Gradient Boosting Classifier is selected as the final model for "</w:t>
            </w:r>
            <w:proofErr w:type="spellStart"/>
            <w:r>
              <w:t>Anemiasense</w:t>
            </w:r>
            <w:proofErr w:type="spellEnd"/>
            <w:r>
              <w:t>." Its capabilities align closely with the project's objectives of achieving precise and reliable anemia recognition through machine learning.</w:t>
            </w:r>
          </w:p>
        </w:tc>
      </w:tr>
    </w:tbl>
    <w:p w14:paraId="2AB2AE64" w14:textId="77777777" w:rsidR="00614182" w:rsidRDefault="0061418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14182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97657" w14:textId="77777777" w:rsidR="00264E83" w:rsidRDefault="00264E83">
      <w:r>
        <w:separator/>
      </w:r>
    </w:p>
  </w:endnote>
  <w:endnote w:type="continuationSeparator" w:id="0">
    <w:p w14:paraId="4EF0F176" w14:textId="77777777" w:rsidR="00264E83" w:rsidRDefault="0026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D58A3" w14:textId="77777777" w:rsidR="00264E83" w:rsidRDefault="00264E83">
      <w:r>
        <w:separator/>
      </w:r>
    </w:p>
  </w:footnote>
  <w:footnote w:type="continuationSeparator" w:id="0">
    <w:p w14:paraId="6E70D703" w14:textId="77777777" w:rsidR="00264E83" w:rsidRDefault="00264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2784B" w14:textId="77777777" w:rsidR="00614182" w:rsidRDefault="00467DC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3221A4" wp14:editId="044145E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247B86" wp14:editId="2DA3A92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6DAC3D" w14:textId="77777777" w:rsidR="00614182" w:rsidRDefault="00614182"/>
  <w:p w14:paraId="57757594" w14:textId="77777777" w:rsidR="00614182" w:rsidRDefault="006141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182"/>
    <w:rsid w:val="0010213C"/>
    <w:rsid w:val="0019212C"/>
    <w:rsid w:val="00264E83"/>
    <w:rsid w:val="00305723"/>
    <w:rsid w:val="00325406"/>
    <w:rsid w:val="00380889"/>
    <w:rsid w:val="004036F9"/>
    <w:rsid w:val="00467DC8"/>
    <w:rsid w:val="004C266C"/>
    <w:rsid w:val="00561315"/>
    <w:rsid w:val="00596E65"/>
    <w:rsid w:val="00614182"/>
    <w:rsid w:val="006277F4"/>
    <w:rsid w:val="007202F3"/>
    <w:rsid w:val="00731D22"/>
    <w:rsid w:val="007347FB"/>
    <w:rsid w:val="008071C5"/>
    <w:rsid w:val="00865D97"/>
    <w:rsid w:val="008E5A20"/>
    <w:rsid w:val="009E7E60"/>
    <w:rsid w:val="00A73D28"/>
    <w:rsid w:val="00AB423E"/>
    <w:rsid w:val="00AB57CF"/>
    <w:rsid w:val="00B22039"/>
    <w:rsid w:val="00B46247"/>
    <w:rsid w:val="00BE7823"/>
    <w:rsid w:val="00C53A8C"/>
    <w:rsid w:val="00C85903"/>
    <w:rsid w:val="00C90FE0"/>
    <w:rsid w:val="00CE1122"/>
    <w:rsid w:val="00DA780C"/>
    <w:rsid w:val="00FD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885A"/>
  <w15:docId w15:val="{B0476EDF-BEE3-4E94-87DD-93461EC7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C85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4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Madhavarapu Ashritha</cp:lastModifiedBy>
  <cp:revision>26</cp:revision>
  <dcterms:created xsi:type="dcterms:W3CDTF">2024-07-14T14:57:00Z</dcterms:created>
  <dcterms:modified xsi:type="dcterms:W3CDTF">2024-07-15T11:00:00Z</dcterms:modified>
</cp:coreProperties>
</file>