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CF9F02"/>
          <w:sz w:val="20"/>
        </w:rPr>
        <w:t>IMPLEMENTATION HANDBOOK</w:t>
      </w:r>
    </w:p>
    <w:p>
      <w:pPr>
        <w:spacing w:before="2200" w:after="240"/>
        <w:jc w:val="center"/>
      </w:pPr>
      <w:r>
        <w:rPr>
          <w:rFonts w:ascii="Calibri" w:hAnsi="Calibri"/>
          <w:b/>
          <w:color w:val="172B4D"/>
          <w:sz w:val="60"/>
        </w:rPr>
        <w:t>NASDAQ-10 Stock AI Agent</w:t>
      </w:r>
    </w:p>
    <w:p>
      <w:pPr/>
      <w:r>
        <w:t>Updated for OpenSearch Serverless, renamed development AWS resources, and CI/CD operations</w:t>
      </w:r>
    </w:p>
    <w:p>
      <w:pPr>
        <w:spacing w:after="560"/>
        <w:jc w:val="center"/>
      </w:pPr>
      <w:r>
        <w:rPr>
          <w:rFonts w:ascii="Calibri" w:hAnsi="Calibri"/>
          <w:color w:val="5E6C84"/>
          <w:sz w:val="30"/>
        </w:rPr>
        <w:t>Complete project, architecture, development, testing, and AWS deployment guide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448"/>
            <w:shd w:fill="F3F0FF"/>
            <w:tcMar>
              <w:top w:w="100" w:type="dxa"/>
              <w:start w:w="120" w:type="dxa"/>
              <w:bottom w:w="100" w:type="dxa"/>
              <w:end w:w="120" w:type="dxa"/>
            </w:tcMar>
            <w:vAlign w:val="center"/>
          </w:tcPr>
          <w:p>
            <w:pPr>
              <w:jc w:val="left"/>
            </w:pPr>
            <w:r>
              <w:rPr>
                <w:rFonts w:ascii="Calibri" w:hAnsi="Calibri"/>
                <w:b/>
                <w:color w:val="172B4D"/>
                <w:sz w:val="19"/>
              </w:rPr>
              <w:t>Document detail</w:t>
            </w:r>
          </w:p>
        </w:tc>
        <w:tc>
          <w:tcPr>
            <w:tcW w:type="dxa" w:w="6552"/>
            <w:shd w:fill="F3F0FF"/>
            <w:tcMar>
              <w:top w:w="100" w:type="dxa"/>
              <w:start w:w="120" w:type="dxa"/>
              <w:bottom w:w="100" w:type="dxa"/>
              <w:end w:w="120" w:type="dxa"/>
            </w:tcMar>
            <w:vAlign w:val="center"/>
          </w:tcPr>
          <w:p>
            <w:pPr>
              <w:jc w:val="left"/>
            </w:pPr>
            <w:r>
              <w:rPr>
                <w:rFonts w:ascii="Calibri" w:hAnsi="Calibri"/>
                <w:b/>
                <w:color w:val="172B4D"/>
                <w:sz w:val="19"/>
              </w:rPr>
              <w:t>Value</w:t>
            </w:r>
          </w:p>
        </w:tc>
      </w:tr>
      <w:tr>
        <w:tc>
          <w:tcPr>
            <w:tcW w:type="dxa" w:w="4824"/>
            <w:tcMar>
              <w:top w:w="100" w:type="dxa"/>
              <w:start w:w="120" w:type="dxa"/>
              <w:bottom w:w="100" w:type="dxa"/>
              <w:end w:w="120" w:type="dxa"/>
            </w:tcMar>
            <w:vAlign w:val="center"/>
          </w:tcPr>
          <w:p>
            <w:r>
              <w:rPr>
                <w:rFonts w:ascii="Calibri" w:hAnsi="Calibri"/>
                <w:color w:val="172B4D"/>
                <w:sz w:val="18"/>
              </w:rPr>
              <w:t>Purpose</w:t>
            </w:r>
          </w:p>
        </w:tc>
        <w:tc>
          <w:tcPr>
            <w:tcW w:type="dxa" w:w="4824"/>
            <w:tcMar>
              <w:top w:w="100" w:type="dxa"/>
              <w:start w:w="120" w:type="dxa"/>
              <w:bottom w:w="100" w:type="dxa"/>
              <w:end w:w="120" w:type="dxa"/>
            </w:tcMar>
            <w:vAlign w:val="center"/>
          </w:tcPr>
          <w:p>
            <w:r>
              <w:rPr>
                <w:rFonts w:ascii="Calibri" w:hAnsi="Calibri"/>
                <w:color w:val="172B4D"/>
                <w:sz w:val="18"/>
              </w:rPr>
              <w:t>Human-readable explanation of every project phase</w:t>
            </w:r>
          </w:p>
        </w:tc>
      </w:tr>
      <w:tr>
        <w:tc>
          <w:tcPr>
            <w:tcW w:type="dxa" w:w="4824"/>
            <w:tcMar>
              <w:top w:w="100" w:type="dxa"/>
              <w:start w:w="120" w:type="dxa"/>
              <w:bottom w:w="100" w:type="dxa"/>
              <w:end w:w="120" w:type="dxa"/>
            </w:tcMar>
            <w:vAlign w:val="center"/>
          </w:tcPr>
          <w:p>
            <w:r>
              <w:rPr>
                <w:rFonts w:ascii="Calibri" w:hAnsi="Calibri"/>
                <w:color w:val="172B4D"/>
                <w:sz w:val="18"/>
              </w:rPr>
              <w:t>Current branch</w:t>
            </w:r>
          </w:p>
        </w:tc>
        <w:tc>
          <w:tcPr>
            <w:tcW w:type="dxa" w:w="4824"/>
            <w:tcMar>
              <w:top w:w="100" w:type="dxa"/>
              <w:start w:w="120" w:type="dxa"/>
              <w:bottom w:w="100" w:type="dxa"/>
              <w:end w:w="120" w:type="dxa"/>
            </w:tcMar>
            <w:vAlign w:val="center"/>
          </w:tcPr>
          <w:p>
            <w:r>
              <w:rPr>
                <w:rFonts w:ascii="Calibri" w:hAnsi="Calibri"/>
                <w:color w:val="172B4D"/>
                <w:sz w:val="18"/>
              </w:rPr>
              <w:t>Madhavi</w:t>
            </w:r>
          </w:p>
        </w:tc>
      </w:tr>
      <w:tr>
        <w:tc>
          <w:tcPr>
            <w:tcW w:type="dxa" w:w="4824"/>
            <w:tcMar>
              <w:top w:w="100" w:type="dxa"/>
              <w:start w:w="120" w:type="dxa"/>
              <w:bottom w:w="100" w:type="dxa"/>
              <w:end w:w="120" w:type="dxa"/>
            </w:tcMar>
            <w:vAlign w:val="center"/>
          </w:tcPr>
          <w:p>
            <w:r>
              <w:rPr>
                <w:rFonts w:ascii="Calibri" w:hAnsi="Calibri"/>
                <w:color w:val="172B4D"/>
                <w:sz w:val="18"/>
              </w:rPr>
              <w:t>Current release</w:t>
            </w:r>
          </w:p>
        </w:tc>
        <w:tc>
          <w:tcPr>
            <w:tcW w:type="dxa" w:w="4824"/>
            <w:tcMar>
              <w:top w:w="100" w:type="dxa"/>
              <w:start w:w="120" w:type="dxa"/>
              <w:bottom w:w="100" w:type="dxa"/>
              <w:end w:w="120" w:type="dxa"/>
            </w:tcMar>
            <w:vAlign w:val="center"/>
          </w:tcPr>
          <w:p>
            <w:r>
              <w:t>OpenSearch Serverless migration and AWS resource rename (commit 84fdd90)</w:t>
            </w:r>
          </w:p>
        </w:tc>
      </w:tr>
      <w:tr>
        <w:tc>
          <w:tcPr>
            <w:tcW w:type="dxa" w:w="4824"/>
            <w:tcMar>
              <w:top w:w="100" w:type="dxa"/>
              <w:start w:w="120" w:type="dxa"/>
              <w:bottom w:w="100" w:type="dxa"/>
              <w:end w:w="120" w:type="dxa"/>
            </w:tcMar>
            <w:vAlign w:val="center"/>
          </w:tcPr>
          <w:p>
            <w:r>
              <w:rPr>
                <w:rFonts w:ascii="Calibri" w:hAnsi="Calibri"/>
                <w:color w:val="172B4D"/>
                <w:sz w:val="18"/>
              </w:rPr>
              <w:t>AWS region</w:t>
            </w:r>
          </w:p>
        </w:tc>
        <w:tc>
          <w:tcPr>
            <w:tcW w:type="dxa" w:w="4824"/>
            <w:tcMar>
              <w:top w:w="100" w:type="dxa"/>
              <w:start w:w="120" w:type="dxa"/>
              <w:bottom w:w="100" w:type="dxa"/>
              <w:end w:w="120" w:type="dxa"/>
            </w:tcMar>
            <w:vAlign w:val="center"/>
          </w:tcPr>
          <w:p>
            <w:r>
              <w:rPr>
                <w:rFonts w:ascii="Calibri" w:hAnsi="Calibri"/>
                <w:color w:val="172B4D"/>
                <w:sz w:val="18"/>
              </w:rPr>
              <w:t>Europe (London) - eu-west-2</w:t>
            </w:r>
          </w:p>
        </w:tc>
      </w:tr>
      <w:tr>
        <w:tc>
          <w:tcPr>
            <w:tcW w:type="dxa" w:w="4824"/>
            <w:tcMar>
              <w:top w:w="100" w:type="dxa"/>
              <w:start w:w="120" w:type="dxa"/>
              <w:bottom w:w="100" w:type="dxa"/>
              <w:end w:w="120" w:type="dxa"/>
            </w:tcMar>
            <w:vAlign w:val="center"/>
          </w:tcPr>
          <w:p>
            <w:r>
              <w:rPr>
                <w:rFonts w:ascii="Calibri" w:hAnsi="Calibri"/>
                <w:color w:val="172B4D"/>
                <w:sz w:val="18"/>
              </w:rPr>
              <w:t>Document date</w:t>
            </w:r>
          </w:p>
        </w:tc>
        <w:tc>
          <w:tcPr>
            <w:tcW w:type="dxa" w:w="4824"/>
            <w:tcMar>
              <w:top w:w="100" w:type="dxa"/>
              <w:start w:w="120" w:type="dxa"/>
              <w:bottom w:w="100" w:type="dxa"/>
              <w:end w:w="120" w:type="dxa"/>
            </w:tcMar>
            <w:vAlign w:val="center"/>
          </w:tcPr>
          <w:p>
            <w:r>
              <w:rPr>
                <w:rFonts w:ascii="Calibri" w:hAnsi="Calibri"/>
                <w:color w:val="172B4D"/>
                <w:sz w:val="18"/>
              </w:rPr>
              <w:t>22 June 2026</w:t>
            </w:r>
          </w:p>
        </w:tc>
      </w:tr>
    </w:tbl>
    <w:p>
      <w:pPr>
        <w:spacing w:after="20"/>
      </w:pPr>
    </w:p>
    <w:p/>
    <w:tbl>
      <w:tblPr>
        <w:tblW w:type="auto" w:w="0"/>
        <w:jc w:val="center"/>
        <w:tblLayout w:type="fixed"/>
        <w:tblLook w:firstColumn="1" w:firstRow="1" w:lastColumn="0" w:lastRow="0" w:noHBand="0" w:noVBand="1" w:val="04A0"/>
      </w:tblPr>
      <w:tblGrid>
        <w:gridCol w:w="9648"/>
      </w:tblGrid>
      <w:tr>
        <w:tc>
          <w:tcPr>
            <w:tcW w:type="dxa" w:w="9000"/>
            <w:shd w:fill="FFF7D6"/>
            <w:tcMar>
              <w:top w:w="150" w:type="dxa"/>
              <w:start w:w="170" w:type="dxa"/>
              <w:bottom w:w="150" w:type="dxa"/>
              <w:end w:w="170" w:type="dxa"/>
            </w:tcMar>
          </w:tcPr>
          <w:p>
            <w:pPr>
              <w:spacing w:after="80"/>
            </w:pPr>
            <w:r>
              <w:rPr>
                <w:rFonts w:ascii="Calibri" w:hAnsi="Calibri"/>
                <w:b/>
                <w:color w:val="CF9F02"/>
                <w:sz w:val="22"/>
              </w:rPr>
              <w:t>Audience</w:t>
            </w:r>
          </w:p>
          <w:p>
            <w:pPr>
              <w:spacing w:after="0"/>
            </w:pPr>
            <w:r>
              <w:rPr>
                <w:rFonts w:ascii="Calibri" w:hAnsi="Calibri"/>
                <w:color w:val="172B4D"/>
                <w:sz w:val="20"/>
              </w:rPr>
              <w:t>Business stakeholders, developers, cloud engineers, testers, support teams, and new project members who need to understand how the system works without reading every source file.</w:t>
            </w:r>
          </w:p>
        </w:tc>
      </w:tr>
    </w:tbl>
    <w:p>
      <w:pPr>
        <w:spacing w:after="20"/>
      </w:pPr>
    </w:p>
    <w:p>
      <w:r>
        <w:br w:type="page"/>
      </w:r>
    </w:p>
    <w:p>
      <w:pPr>
        <w:pStyle w:val="Heading1"/>
        <w:keepNext/>
      </w:pPr>
      <w:r>
        <w:t>Contents</w:t>
      </w:r>
    </w:p>
    <w:p>
      <w:pPr>
        <w:pStyle w:val="ListBullet"/>
      </w:pPr>
      <w:r>
        <w:rPr>
          <w:rFonts w:ascii="Calibri" w:hAnsi="Calibri"/>
          <w:color w:val="172B4D"/>
          <w:sz w:val="22"/>
        </w:rPr>
        <w:t>1. Executive summary</w:t>
      </w:r>
    </w:p>
    <w:p>
      <w:pPr>
        <w:pStyle w:val="ListBullet"/>
      </w:pPr>
      <w:r>
        <w:rPr>
          <w:rFonts w:ascii="Calibri" w:hAnsi="Calibri"/>
          <w:color w:val="172B4D"/>
          <w:sz w:val="22"/>
        </w:rPr>
        <w:t>2. Business problem and project goals</w:t>
      </w:r>
    </w:p>
    <w:p>
      <w:pPr>
        <w:pStyle w:val="ListBullet"/>
      </w:pPr>
      <w:r>
        <w:rPr>
          <w:rFonts w:ascii="Calibri" w:hAnsi="Calibri"/>
          <w:color w:val="172B4D"/>
          <w:sz w:val="22"/>
        </w:rPr>
        <w:t>3. Current project scope</w:t>
      </w:r>
    </w:p>
    <w:p>
      <w:pPr>
        <w:pStyle w:val="ListBullet"/>
      </w:pPr>
      <w:r>
        <w:rPr>
          <w:rFonts w:ascii="Calibri" w:hAnsi="Calibri"/>
          <w:color w:val="172B4D"/>
          <w:sz w:val="22"/>
        </w:rPr>
        <w:t>4. End-to-end architecture</w:t>
      </w:r>
    </w:p>
    <w:p>
      <w:pPr>
        <w:pStyle w:val="ListBullet"/>
      </w:pPr>
      <w:r>
        <w:rPr>
          <w:rFonts w:ascii="Calibri" w:hAnsi="Calibri"/>
          <w:color w:val="172B4D"/>
          <w:sz w:val="22"/>
        </w:rPr>
        <w:t>5. Technology stack</w:t>
      </w:r>
    </w:p>
    <w:p>
      <w:pPr>
        <w:pStyle w:val="ListBullet"/>
      </w:pPr>
      <w:r>
        <w:rPr>
          <w:rFonts w:ascii="Calibri" w:hAnsi="Calibri"/>
          <w:color w:val="172B4D"/>
          <w:sz w:val="22"/>
        </w:rPr>
        <w:t>6. Phase 1 - Foundation and repository structure</w:t>
      </w:r>
    </w:p>
    <w:p>
      <w:pPr>
        <w:pStyle w:val="ListBullet"/>
      </w:pPr>
      <w:r>
        <w:rPr>
          <w:rFonts w:ascii="Calibri" w:hAnsi="Calibri"/>
          <w:color w:val="172B4D"/>
          <w:sz w:val="22"/>
        </w:rPr>
        <w:t>7. Phase 2 - Streamlit user interface</w:t>
      </w:r>
    </w:p>
    <w:p>
      <w:pPr>
        <w:pStyle w:val="ListBullet"/>
      </w:pPr>
      <w:r>
        <w:rPr>
          <w:rFonts w:ascii="Calibri" w:hAnsi="Calibri"/>
          <w:color w:val="172B4D"/>
          <w:sz w:val="22"/>
        </w:rPr>
        <w:t>8. Phase 3 - Supervisor Agent</w:t>
      </w:r>
    </w:p>
    <w:p>
      <w:pPr>
        <w:pStyle w:val="ListBullet"/>
      </w:pPr>
      <w:r>
        <w:rPr>
          <w:rFonts w:ascii="Calibri" w:hAnsi="Calibri"/>
          <w:color w:val="172B4D"/>
          <w:sz w:val="22"/>
        </w:rPr>
        <w:t>9. Phase 4 - RAG Agent and document processing</w:t>
      </w:r>
    </w:p>
    <w:p>
      <w:pPr>
        <w:pStyle w:val="ListBullet"/>
      </w:pPr>
      <w:r>
        <w:rPr>
          <w:rFonts w:ascii="Calibri" w:hAnsi="Calibri"/>
          <w:color w:val="172B4D"/>
          <w:sz w:val="22"/>
        </w:rPr>
        <w:t>10. Phase 5 - Stock Data Agent</w:t>
      </w:r>
    </w:p>
    <w:p>
      <w:pPr>
        <w:pStyle w:val="ListBullet"/>
      </w:pPr>
      <w:r>
        <w:rPr>
          <w:rFonts w:ascii="Calibri" w:hAnsi="Calibri"/>
          <w:color w:val="172B4D"/>
          <w:sz w:val="22"/>
        </w:rPr>
        <w:t>11. Phase 6 - Financial-report data pipeline</w:t>
      </w:r>
    </w:p>
    <w:p>
      <w:pPr>
        <w:pStyle w:val="ListBullet"/>
      </w:pPr>
      <w:r>
        <w:rPr>
          <w:rFonts w:ascii="Calibri" w:hAnsi="Calibri"/>
          <w:color w:val="172B4D"/>
          <w:sz w:val="22"/>
        </w:rPr>
        <w:t>12. Phase 7 - Amazon Bedrock integration</w:t>
      </w:r>
    </w:p>
    <w:p>
      <w:pPr>
        <w:pStyle w:val="ListBullet"/>
      </w:pPr>
      <w:r>
        <w:rPr>
          <w:rFonts w:ascii="Calibri" w:hAnsi="Calibri"/>
          <w:color w:val="172B4D"/>
          <w:sz w:val="22"/>
        </w:rPr>
        <w:t>13. Phase 8 - Docker containerization</w:t>
      </w:r>
    </w:p>
    <w:p>
      <w:pPr>
        <w:pStyle w:val="ListBullet"/>
      </w:pPr>
      <w:r>
        <w:rPr>
          <w:rFonts w:ascii="Calibri" w:hAnsi="Calibri"/>
          <w:color w:val="172B4D"/>
          <w:sz w:val="22"/>
        </w:rPr>
        <w:t>14. Phase 9 - AWS infrastructure and deployment</w:t>
      </w:r>
    </w:p>
    <w:p>
      <w:pPr>
        <w:pStyle w:val="ListBullet"/>
      </w:pPr>
      <w:r>
        <w:rPr>
          <w:rFonts w:ascii="Calibri" w:hAnsi="Calibri"/>
          <w:color w:val="172B4D"/>
          <w:sz w:val="22"/>
        </w:rPr>
        <w:t>15. Phase 10 - CI/CD with GitHub Actions</w:t>
      </w:r>
    </w:p>
    <w:p>
      <w:pPr>
        <w:pStyle w:val="ListBullet"/>
      </w:pPr>
      <w:r>
        <w:rPr>
          <w:rFonts w:ascii="Calibri" w:hAnsi="Calibri"/>
          <w:color w:val="172B4D"/>
          <w:sz w:val="22"/>
        </w:rPr>
        <w:t>16. Phase 11 - Testing and quality assurance</w:t>
      </w:r>
    </w:p>
    <w:p>
      <w:pPr>
        <w:pStyle w:val="ListBullet"/>
      </w:pPr>
      <w:r>
        <w:rPr>
          <w:rFonts w:ascii="Calibri" w:hAnsi="Calibri"/>
          <w:color w:val="172B4D"/>
          <w:sz w:val="22"/>
        </w:rPr>
        <w:t>17. Security, privacy, and IAM</w:t>
      </w:r>
    </w:p>
    <w:p>
      <w:pPr>
        <w:pStyle w:val="ListBullet"/>
      </w:pPr>
      <w:r>
        <w:rPr>
          <w:rFonts w:ascii="Calibri" w:hAnsi="Calibri"/>
          <w:color w:val="172B4D"/>
          <w:sz w:val="22"/>
        </w:rPr>
        <w:t>18. Operations and monitoring</w:t>
      </w:r>
    </w:p>
    <w:p>
      <w:pPr>
        <w:pStyle w:val="ListBullet"/>
      </w:pPr>
      <w:r>
        <w:rPr>
          <w:rFonts w:ascii="Calibri" w:hAnsi="Calibri"/>
          <w:color w:val="172B4D"/>
          <w:sz w:val="22"/>
        </w:rPr>
        <w:t>19. Deployment and support runbooks</w:t>
      </w:r>
    </w:p>
    <w:p>
      <w:pPr>
        <w:pStyle w:val="ListBullet"/>
      </w:pPr>
      <w:r>
        <w:rPr>
          <w:rFonts w:ascii="Calibri" w:hAnsi="Calibri"/>
          <w:color w:val="172B4D"/>
          <w:sz w:val="22"/>
        </w:rPr>
        <w:t>20. Known limitations and future roadmap</w:t>
      </w:r>
    </w:p>
    <w:p>
      <w:pPr>
        <w:pStyle w:val="ListBullet"/>
      </w:pPr>
      <w:r>
        <w:rPr>
          <w:rFonts w:ascii="Calibri" w:hAnsi="Calibri"/>
          <w:color w:val="172B4D"/>
          <w:sz w:val="22"/>
        </w:rPr>
        <w:t>Appendices - Configuration, resources, commands, and glossary</w:t>
      </w:r>
    </w:p>
    <w:tbl>
      <w:tblPr>
        <w:tblW w:type="auto" w:w="0"/>
        <w:jc w:val="center"/>
        <w:tblLayout w:type="fixed"/>
        <w:tblLook w:firstColumn="1" w:firstRow="1" w:lastColumn="0" w:lastRow="0" w:noHBand="0" w:noVBand="1" w:val="04A0"/>
      </w:tblPr>
      <w:tblGrid>
        <w:gridCol w:w="9648"/>
      </w:tblGrid>
      <w:tr>
        <w:tc>
          <w:tcPr>
            <w:tcW w:type="dxa" w:w="9000"/>
            <w:shd w:fill="DCFFF1"/>
            <w:tcMar>
              <w:top w:w="150" w:type="dxa"/>
              <w:start w:w="170" w:type="dxa"/>
              <w:bottom w:w="150" w:type="dxa"/>
              <w:end w:w="170" w:type="dxa"/>
            </w:tcMar>
          </w:tcPr>
          <w:p>
            <w:pPr>
              <w:spacing w:after="80"/>
            </w:pPr>
            <w:r>
              <w:rPr>
                <w:rFonts w:ascii="Calibri" w:hAnsi="Calibri"/>
                <w:b/>
                <w:color w:val="1F845A"/>
                <w:sz w:val="22"/>
              </w:rPr>
              <w:t>How to use this handbook</w:t>
            </w:r>
          </w:p>
          <w:p>
            <w:pPr>
              <w:spacing w:after="0"/>
            </w:pPr>
            <w:r>
              <w:rPr>
                <w:rFonts w:ascii="Calibri" w:hAnsi="Calibri"/>
                <w:color w:val="172B4D"/>
                <w:sz w:val="20"/>
              </w:rPr>
              <w:t>Read Sections 1-5 for a management overview. Developers should continue through Sections 6-13. Cloud and DevOps teams should focus on Sections 14-19. Appendices provide reusable operational references.</w:t>
            </w:r>
          </w:p>
        </w:tc>
      </w:tr>
    </w:tbl>
    <w:p>
      <w:pPr>
        <w:spacing w:after="20"/>
      </w:pPr>
    </w:p>
    <w:p>
      <w:r>
        <w:br w:type="page"/>
      </w:r>
    </w:p>
    <w:p>
      <w:pPr>
        <w:pStyle w:val="Heading1"/>
        <w:keepNext/>
      </w:pPr>
      <w:r>
        <w:t>1. Executive summary</w:t>
      </w:r>
    </w:p>
    <w:p>
      <w:r>
        <w:rPr>
          <w:rFonts w:ascii="Calibri" w:hAnsi="Calibri"/>
          <w:i w:val="0"/>
          <w:color w:val="172B4D"/>
          <w:sz w:val="22"/>
        </w:rPr>
        <w:t>The NASDAQ-10 Stock AI Agent is a cloud-hosted research application that helps a user inspect stock prices and analyze financial reports. The application is intentionally modular: Streamlit provides the interface, a Supervisor Agent decides which capability to use, a RAG Agent analyzes uploaded or stored reports, and a Stock Data Agent retrieves market information from Yahoo Finance.</w:t>
      </w:r>
    </w:p>
    <w:p>
      <w:r>
        <w:t>The application runs as a Docker container on Amazon ECS Fargate. Docker images are stored in Amazon ECR. Financial reports are stored privately in Amazon S3. Amazon Titan Text Embeddings V2 converts report chunks and questions into vectors, Amazon OpenSearch Serverless performs ticker-filtered semantic retrieval, and Amazon Nova Lite generates grounded summaries from the retrieved context. CloudWatch receives application logs, while GitHub and GitHub Actions manage source control and automated delivery.</w:t>
      </w:r>
    </w:p>
    <w:tbl>
      <w:tblPr>
        <w:tblW w:type="auto" w:w="0"/>
        <w:jc w:val="center"/>
        <w:tblLayout w:type="fixed"/>
        <w:tblLook w:firstColumn="1" w:firstRow="1" w:lastColumn="0" w:lastRow="0" w:noHBand="0" w:noVBand="1" w:val="04A0"/>
      </w:tblPr>
      <w:tblGrid>
        <w:gridCol w:w="9648"/>
      </w:tblGrid>
      <w:tr>
        <w:tc>
          <w:tcPr>
            <w:tcW w:type="dxa" w:w="9000"/>
            <w:shd w:fill="DCFFF1"/>
            <w:tcMar>
              <w:top w:w="150" w:type="dxa"/>
              <w:start w:w="170" w:type="dxa"/>
              <w:bottom w:w="150" w:type="dxa"/>
              <w:end w:w="170" w:type="dxa"/>
            </w:tcMar>
          </w:tcPr>
          <w:p>
            <w:r>
              <w:t>Current production state</w:t>
              <w:br/>
              <w:t>The renamed ECS service is active with one healthy Fargate task on task definition stock-agent:8. The S3 corpus contains 30 reports, and OpenSearch Serverless contains 712 embedded report chunks. The previous ECS service is retained at zero desired tasks for rollback. The News Agent remains deferred.</w:t>
            </w:r>
          </w:p>
        </w:tc>
      </w:tr>
    </w:tbl>
    <w:p>
      <w:pPr>
        <w:spacing w:after="20"/>
      </w:pP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E9F2FF"/>
            <w:tcMar>
              <w:top w:w="100" w:type="dxa"/>
              <w:start w:w="120" w:type="dxa"/>
              <w:bottom w:w="100" w:type="dxa"/>
              <w:end w:w="120" w:type="dxa"/>
            </w:tcMar>
            <w:vAlign w:val="center"/>
          </w:tcPr>
          <w:p>
            <w:pPr>
              <w:jc w:val="left"/>
            </w:pPr>
            <w:r>
              <w:rPr>
                <w:rFonts w:ascii="Calibri" w:hAnsi="Calibri"/>
                <w:b/>
                <w:color w:val="172B4D"/>
                <w:sz w:val="19"/>
              </w:rPr>
              <w:t>Capability</w:t>
            </w:r>
          </w:p>
        </w:tc>
        <w:tc>
          <w:tcPr>
            <w:tcW w:type="dxa" w:w="1655"/>
            <w:shd w:fill="E9F2FF"/>
            <w:tcMar>
              <w:top w:w="100" w:type="dxa"/>
              <w:start w:w="120" w:type="dxa"/>
              <w:bottom w:w="100" w:type="dxa"/>
              <w:end w:w="120" w:type="dxa"/>
            </w:tcMar>
            <w:vAlign w:val="center"/>
          </w:tcPr>
          <w:p>
            <w:pPr>
              <w:jc w:val="left"/>
            </w:pPr>
            <w:r>
              <w:rPr>
                <w:rFonts w:ascii="Calibri" w:hAnsi="Calibri"/>
                <w:b/>
                <w:color w:val="172B4D"/>
                <w:sz w:val="19"/>
              </w:rPr>
              <w:t>Current status</w:t>
            </w:r>
          </w:p>
        </w:tc>
        <w:tc>
          <w:tcPr>
            <w:tcW w:type="dxa" w:w="5256"/>
            <w:shd w:fill="E9F2FF"/>
            <w:tcMar>
              <w:top w:w="100" w:type="dxa"/>
              <w:start w:w="120" w:type="dxa"/>
              <w:bottom w:w="100" w:type="dxa"/>
              <w:end w:w="120" w:type="dxa"/>
            </w:tcMar>
            <w:vAlign w:val="center"/>
          </w:tcPr>
          <w:p>
            <w:pPr>
              <w:jc w:val="left"/>
            </w:pPr>
            <w:r>
              <w:rPr>
                <w:rFonts w:ascii="Calibri" w:hAnsi="Calibri"/>
                <w:b/>
                <w:color w:val="172B4D"/>
                <w:sz w:val="19"/>
              </w:rPr>
              <w:t>Human meaning</w:t>
            </w:r>
          </w:p>
        </w:tc>
      </w:tr>
      <w:tr>
        <w:tc>
          <w:tcPr>
            <w:tcW w:type="dxa" w:w="3216"/>
            <w:tcMar>
              <w:top w:w="100" w:type="dxa"/>
              <w:start w:w="120" w:type="dxa"/>
              <w:bottom w:w="100" w:type="dxa"/>
              <w:end w:w="120" w:type="dxa"/>
            </w:tcMar>
            <w:vAlign w:val="center"/>
          </w:tcPr>
          <w:p>
            <w:r>
              <w:rPr>
                <w:rFonts w:ascii="Calibri" w:hAnsi="Calibri"/>
                <w:color w:val="172B4D"/>
                <w:sz w:val="18"/>
              </w:rPr>
              <w:t>Streamlit UI</w:t>
            </w:r>
          </w:p>
        </w:tc>
        <w:tc>
          <w:tcPr>
            <w:tcW w:type="dxa" w:w="3216"/>
            <w:tcMar>
              <w:top w:w="100" w:type="dxa"/>
              <w:start w:w="120" w:type="dxa"/>
              <w:bottom w:w="100" w:type="dxa"/>
              <w:end w:w="120" w:type="dxa"/>
            </w:tcMar>
            <w:vAlign w:val="center"/>
          </w:tcPr>
          <w:p>
            <w:r>
              <w:rPr>
                <w:rFonts w:ascii="Calibri" w:hAnsi="Calibri"/>
                <w:color w:val="172B4D"/>
                <w:sz w:val="18"/>
              </w:rPr>
              <w:t>Implemented</w:t>
            </w:r>
          </w:p>
        </w:tc>
        <w:tc>
          <w:tcPr>
            <w:tcW w:type="dxa" w:w="3216"/>
            <w:tcMar>
              <w:top w:w="100" w:type="dxa"/>
              <w:start w:w="120" w:type="dxa"/>
              <w:bottom w:w="100" w:type="dxa"/>
              <w:end w:w="120" w:type="dxa"/>
            </w:tcMar>
            <w:vAlign w:val="center"/>
          </w:tcPr>
          <w:p>
            <w:r>
              <w:rPr>
                <w:rFonts w:ascii="Calibri" w:hAnsi="Calibri"/>
                <w:color w:val="172B4D"/>
                <w:sz w:val="18"/>
              </w:rPr>
              <w:t>Users can upload reports, ask questions, and view the NASDAQ-10 dashboard.</w:t>
            </w:r>
          </w:p>
        </w:tc>
      </w:tr>
      <w:tr>
        <w:tc>
          <w:tcPr>
            <w:tcW w:type="dxa" w:w="3216"/>
            <w:tcMar>
              <w:top w:w="100" w:type="dxa"/>
              <w:start w:w="120" w:type="dxa"/>
              <w:bottom w:w="100" w:type="dxa"/>
              <w:end w:w="120" w:type="dxa"/>
            </w:tcMar>
            <w:vAlign w:val="center"/>
          </w:tcPr>
          <w:p>
            <w:r>
              <w:rPr>
                <w:rFonts w:ascii="Calibri" w:hAnsi="Calibri"/>
                <w:color w:val="172B4D"/>
                <w:sz w:val="18"/>
              </w:rPr>
              <w:t>Supervisor Agent</w:t>
            </w:r>
          </w:p>
        </w:tc>
        <w:tc>
          <w:tcPr>
            <w:tcW w:type="dxa" w:w="3216"/>
            <w:tcMar>
              <w:top w:w="100" w:type="dxa"/>
              <w:start w:w="120" w:type="dxa"/>
              <w:bottom w:w="100" w:type="dxa"/>
              <w:end w:w="120" w:type="dxa"/>
            </w:tcMar>
            <w:vAlign w:val="center"/>
          </w:tcPr>
          <w:p>
            <w:r>
              <w:rPr>
                <w:rFonts w:ascii="Calibri" w:hAnsi="Calibri"/>
                <w:color w:val="172B4D"/>
                <w:sz w:val="18"/>
              </w:rPr>
              <w:t>Implemented</w:t>
            </w:r>
          </w:p>
        </w:tc>
        <w:tc>
          <w:tcPr>
            <w:tcW w:type="dxa" w:w="3216"/>
            <w:tcMar>
              <w:top w:w="100" w:type="dxa"/>
              <w:start w:w="120" w:type="dxa"/>
              <w:bottom w:w="100" w:type="dxa"/>
              <w:end w:w="120" w:type="dxa"/>
            </w:tcMar>
            <w:vAlign w:val="center"/>
          </w:tcPr>
          <w:p>
            <w:r>
              <w:rPr>
                <w:rFonts w:ascii="Calibri" w:hAnsi="Calibri"/>
                <w:color w:val="172B4D"/>
                <w:sz w:val="18"/>
              </w:rPr>
              <w:t>The system decides whether report analysis, stock data, or both are required.</w:t>
            </w:r>
          </w:p>
        </w:tc>
      </w:tr>
      <w:tr>
        <w:tc>
          <w:tcPr>
            <w:tcW w:type="dxa" w:w="3216"/>
            <w:tcMar>
              <w:top w:w="100" w:type="dxa"/>
              <w:start w:w="120" w:type="dxa"/>
              <w:bottom w:w="100" w:type="dxa"/>
              <w:end w:w="120" w:type="dxa"/>
            </w:tcMar>
            <w:vAlign w:val="center"/>
          </w:tcPr>
          <w:p>
            <w:r>
              <w:rPr>
                <w:rFonts w:ascii="Calibri" w:hAnsi="Calibri"/>
                <w:color w:val="172B4D"/>
                <w:sz w:val="18"/>
              </w:rPr>
              <w:t>RAG Agent</w:t>
            </w:r>
          </w:p>
        </w:tc>
        <w:tc>
          <w:tcPr>
            <w:tcW w:type="dxa" w:w="3216"/>
            <w:tcMar>
              <w:top w:w="100" w:type="dxa"/>
              <w:start w:w="120" w:type="dxa"/>
              <w:bottom w:w="100" w:type="dxa"/>
              <w:end w:w="120" w:type="dxa"/>
            </w:tcMar>
            <w:vAlign w:val="center"/>
          </w:tcPr>
          <w:p>
            <w:r>
              <w:t>Implemented</w:t>
            </w:r>
          </w:p>
        </w:tc>
        <w:tc>
          <w:tcPr>
            <w:tcW w:type="dxa" w:w="3216"/>
            <w:tcMar>
              <w:top w:w="100" w:type="dxa"/>
              <w:start w:w="120" w:type="dxa"/>
              <w:bottom w:w="100" w:type="dxa"/>
              <w:end w:w="120" w:type="dxa"/>
            </w:tcMar>
            <w:vAlign w:val="center"/>
          </w:tcPr>
          <w:p>
            <w:r>
              <w:t>Uses upload-only retrieval for uploaded documents and Titan/OpenSearch semantic retrieval for stored reports.</w:t>
            </w:r>
          </w:p>
        </w:tc>
      </w:tr>
      <w:tr>
        <w:tc>
          <w:tcPr>
            <w:tcW w:type="dxa" w:w="3216"/>
            <w:tcMar>
              <w:top w:w="100" w:type="dxa"/>
              <w:start w:w="120" w:type="dxa"/>
              <w:bottom w:w="100" w:type="dxa"/>
              <w:end w:w="120" w:type="dxa"/>
            </w:tcMar>
            <w:vAlign w:val="center"/>
          </w:tcPr>
          <w:p>
            <w:r>
              <w:rPr>
                <w:rFonts w:ascii="Calibri" w:hAnsi="Calibri"/>
                <w:color w:val="172B4D"/>
                <w:sz w:val="18"/>
              </w:rPr>
              <w:t>Stock Data Agent</w:t>
            </w:r>
          </w:p>
        </w:tc>
        <w:tc>
          <w:tcPr>
            <w:tcW w:type="dxa" w:w="3216"/>
            <w:tcMar>
              <w:top w:w="100" w:type="dxa"/>
              <w:start w:w="120" w:type="dxa"/>
              <w:bottom w:w="100" w:type="dxa"/>
              <w:end w:w="120" w:type="dxa"/>
            </w:tcMar>
            <w:vAlign w:val="center"/>
          </w:tcPr>
          <w:p>
            <w:r>
              <w:rPr>
                <w:rFonts w:ascii="Calibri" w:hAnsi="Calibri"/>
                <w:color w:val="172B4D"/>
                <w:sz w:val="18"/>
              </w:rPr>
              <w:t>Implemented</w:t>
            </w:r>
          </w:p>
        </w:tc>
        <w:tc>
          <w:tcPr>
            <w:tcW w:type="dxa" w:w="3216"/>
            <w:tcMar>
              <w:top w:w="100" w:type="dxa"/>
              <w:start w:w="120" w:type="dxa"/>
              <w:bottom w:w="100" w:type="dxa"/>
              <w:end w:w="120" w:type="dxa"/>
            </w:tcMar>
            <w:vAlign w:val="center"/>
          </w:tcPr>
          <w:p>
            <w:r>
              <w:rPr>
                <w:rFonts w:ascii="Calibri" w:hAnsi="Calibri"/>
                <w:color w:val="172B4D"/>
                <w:sz w:val="18"/>
              </w:rPr>
              <w:t>Returns price, previous close, market capitalization, and currency.</w:t>
            </w:r>
          </w:p>
        </w:tc>
      </w:tr>
      <w:tr>
        <w:tc>
          <w:tcPr>
            <w:tcW w:type="dxa" w:w="3216"/>
            <w:tcMar>
              <w:top w:w="100" w:type="dxa"/>
              <w:start w:w="120" w:type="dxa"/>
              <w:bottom w:w="100" w:type="dxa"/>
              <w:end w:w="120" w:type="dxa"/>
            </w:tcMar>
            <w:vAlign w:val="center"/>
          </w:tcPr>
          <w:p>
            <w:r>
              <w:rPr>
                <w:rFonts w:ascii="Calibri" w:hAnsi="Calibri"/>
                <w:color w:val="172B4D"/>
                <w:sz w:val="18"/>
              </w:rPr>
              <w:t>News Agent</w:t>
            </w:r>
          </w:p>
        </w:tc>
        <w:tc>
          <w:tcPr>
            <w:tcW w:type="dxa" w:w="3216"/>
            <w:tcMar>
              <w:top w:w="100" w:type="dxa"/>
              <w:start w:w="120" w:type="dxa"/>
              <w:bottom w:w="100" w:type="dxa"/>
              <w:end w:w="120" w:type="dxa"/>
            </w:tcMar>
            <w:vAlign w:val="center"/>
          </w:tcPr>
          <w:p>
            <w:r>
              <w:rPr>
                <w:rFonts w:ascii="Calibri" w:hAnsi="Calibri"/>
                <w:color w:val="172B4D"/>
                <w:sz w:val="18"/>
              </w:rPr>
              <w:t>Deferred</w:t>
            </w:r>
          </w:p>
        </w:tc>
        <w:tc>
          <w:tcPr>
            <w:tcW w:type="dxa" w:w="3216"/>
            <w:tcMar>
              <w:top w:w="100" w:type="dxa"/>
              <w:start w:w="120" w:type="dxa"/>
              <w:bottom w:w="100" w:type="dxa"/>
              <w:end w:w="120" w:type="dxa"/>
            </w:tcMar>
            <w:vAlign w:val="center"/>
          </w:tcPr>
          <w:p>
            <w:r>
              <w:rPr>
                <w:rFonts w:ascii="Calibri" w:hAnsi="Calibri"/>
                <w:color w:val="172B4D"/>
                <w:sz w:val="18"/>
              </w:rPr>
              <w:t>Removed from the current application and planned for a future release.</w:t>
            </w:r>
          </w:p>
        </w:tc>
      </w:tr>
      <w:tr>
        <w:tc>
          <w:tcPr>
            <w:tcW w:type="dxa" w:w="3216"/>
            <w:tcMar>
              <w:top w:w="100" w:type="dxa"/>
              <w:start w:w="120" w:type="dxa"/>
              <w:bottom w:w="100" w:type="dxa"/>
              <w:end w:w="120" w:type="dxa"/>
            </w:tcMar>
            <w:vAlign w:val="center"/>
          </w:tcPr>
          <w:p>
            <w:r>
              <w:rPr>
                <w:rFonts w:ascii="Calibri" w:hAnsi="Calibri"/>
                <w:color w:val="172B4D"/>
                <w:sz w:val="18"/>
              </w:rPr>
              <w:t>AWS deployment</w:t>
            </w:r>
          </w:p>
        </w:tc>
        <w:tc>
          <w:tcPr>
            <w:tcW w:type="dxa" w:w="3216"/>
            <w:tcMar>
              <w:top w:w="100" w:type="dxa"/>
              <w:start w:w="120" w:type="dxa"/>
              <w:bottom w:w="100" w:type="dxa"/>
              <w:end w:w="120" w:type="dxa"/>
            </w:tcMar>
            <w:vAlign w:val="center"/>
          </w:tcPr>
          <w:p>
            <w:r>
              <w:rPr>
                <w:rFonts w:ascii="Calibri" w:hAnsi="Calibri"/>
                <w:color w:val="172B4D"/>
                <w:sz w:val="18"/>
              </w:rPr>
              <w:t>Implemented</w:t>
            </w:r>
          </w:p>
        </w:tc>
        <w:tc>
          <w:tcPr>
            <w:tcW w:type="dxa" w:w="3216"/>
            <w:tcMar>
              <w:top w:w="100" w:type="dxa"/>
              <w:start w:w="120" w:type="dxa"/>
              <w:bottom w:w="100" w:type="dxa"/>
              <w:end w:w="120" w:type="dxa"/>
            </w:tcMar>
            <w:vAlign w:val="center"/>
          </w:tcPr>
          <w:p>
            <w:r>
              <w:rPr>
                <w:rFonts w:ascii="Calibri" w:hAnsi="Calibri"/>
                <w:color w:val="172B4D"/>
                <w:sz w:val="18"/>
              </w:rPr>
              <w:t>The container is deployed on ECS Fargate in eu-west-2.</w:t>
            </w:r>
          </w:p>
        </w:tc>
      </w:tr>
    </w:tbl>
    <w:p>
      <w:pPr>
        <w:spacing w:after="20"/>
      </w:pPr>
    </w:p>
    <w:p>
      <w:pPr>
        <w:pStyle w:val="Heading1"/>
        <w:keepNext/>
      </w:pPr>
      <w:r>
        <w:t>2. Business problem and project goals</w:t>
      </w:r>
    </w:p>
    <w:p>
      <w:pPr>
        <w:pStyle w:val="Heading2"/>
        <w:keepNext/>
      </w:pPr>
      <w:r>
        <w:t>2.1 Problem being solved</w:t>
      </w:r>
    </w:p>
    <w:p>
      <w:r>
        <w:rPr>
          <w:rFonts w:ascii="Calibri" w:hAnsi="Calibri"/>
          <w:i w:val="0"/>
          <w:color w:val="172B4D"/>
          <w:sz w:val="22"/>
        </w:rPr>
        <w:t>Financial information is normally spread across market-data websites, annual reports, quarterly statements, locally uploaded PDFs, and cloud storage. A user must manually locate documents, compare periods, interpret financial terminology, and ensure that information from one company is not accidentally mixed with another.</w:t>
      </w:r>
    </w:p>
    <w:p>
      <w:pPr>
        <w:pStyle w:val="Heading2"/>
        <w:keepNext/>
      </w:pPr>
      <w:r>
        <w:t>2.2 Project goals</w:t>
      </w:r>
    </w:p>
    <w:p>
      <w:pPr>
        <w:pStyle w:val="ListBullet"/>
      </w:pPr>
      <w:r>
        <w:rPr>
          <w:rFonts w:ascii="Calibri" w:hAnsi="Calibri"/>
          <w:color w:val="172B4D"/>
          <w:sz w:val="22"/>
        </w:rPr>
        <w:t>Provide one simple interface for report analysis and stock-market information.</w:t>
      </w:r>
    </w:p>
    <w:p>
      <w:pPr>
        <w:pStyle w:val="ListBullet"/>
      </w:pPr>
      <w:r>
        <w:rPr>
          <w:rFonts w:ascii="Calibri" w:hAnsi="Calibri"/>
          <w:color w:val="172B4D"/>
          <w:sz w:val="22"/>
        </w:rPr>
        <w:t>Use grounded AI responses based on known documents rather than unsupported model memory.</w:t>
      </w:r>
    </w:p>
    <w:p>
      <w:pPr>
        <w:pStyle w:val="ListBullet"/>
      </w:pPr>
      <w:r>
        <w:rPr>
          <w:rFonts w:ascii="Calibri" w:hAnsi="Calibri"/>
          <w:color w:val="172B4D"/>
          <w:sz w:val="22"/>
        </w:rPr>
        <w:t>Store reusable financial reports centrally in Amazon S3.</w:t>
      </w:r>
    </w:p>
    <w:p>
      <w:pPr>
        <w:pStyle w:val="ListBullet"/>
      </w:pPr>
      <w:r>
        <w:rPr>
          <w:rFonts w:ascii="Calibri" w:hAnsi="Calibri"/>
          <w:color w:val="172B4D"/>
          <w:sz w:val="22"/>
        </w:rPr>
        <w:t>Support a fixed, configurable universe of ten NASDAQ-listed companies.</w:t>
      </w:r>
    </w:p>
    <w:p>
      <w:pPr>
        <w:pStyle w:val="ListBullet"/>
      </w:pPr>
      <w:r>
        <w:rPr>
          <w:rFonts w:ascii="Calibri" w:hAnsi="Calibri"/>
          <w:color w:val="172B4D"/>
          <w:sz w:val="22"/>
        </w:rPr>
        <w:t>Deploy consistently through Docker, Amazon ECR, and Amazon ECS Fargate.</w:t>
      </w:r>
    </w:p>
    <w:p>
      <w:pPr>
        <w:pStyle w:val="ListBullet"/>
      </w:pPr>
      <w:r>
        <w:rPr>
          <w:rFonts w:ascii="Calibri" w:hAnsi="Calibri"/>
          <w:color w:val="172B4D"/>
          <w:sz w:val="22"/>
        </w:rPr>
        <w:t>Keep the architecture modular so deferred agents can be added later.</w:t>
      </w:r>
    </w:p>
    <w:p>
      <w:pPr>
        <w:pStyle w:val="ListBullet"/>
      </w:pPr>
      <w:r>
        <w:rPr>
          <w:rFonts w:ascii="Calibri" w:hAnsi="Calibri"/>
          <w:color w:val="172B4D"/>
          <w:sz w:val="22"/>
        </w:rPr>
        <w:t>Automate testing and deployment while preserving clear operational controls.</w:t>
      </w:r>
    </w:p>
    <w:p>
      <w:pPr>
        <w:pStyle w:val="Heading2"/>
        <w:keepNext/>
      </w:pPr>
      <w:r>
        <w:t>2.3 Non-goals and disclaimers</w:t>
      </w:r>
    </w:p>
    <w:p>
      <w:pPr>
        <w:pStyle w:val="ListBullet"/>
      </w:pPr>
      <w:r>
        <w:rPr>
          <w:rFonts w:ascii="Calibri" w:hAnsi="Calibri"/>
          <w:color w:val="172B4D"/>
          <w:sz w:val="22"/>
        </w:rPr>
        <w:t>The application is not a trading platform and does not place orders.</w:t>
      </w:r>
    </w:p>
    <w:p>
      <w:pPr>
        <w:pStyle w:val="ListBullet"/>
      </w:pPr>
      <w:r>
        <w:rPr>
          <w:rFonts w:ascii="Calibri" w:hAnsi="Calibri"/>
          <w:color w:val="172B4D"/>
          <w:sz w:val="22"/>
        </w:rPr>
        <w:t>The output is informational and must not be treated as investment advice.</w:t>
      </w:r>
    </w:p>
    <w:p>
      <w:pPr>
        <w:pStyle w:val="ListBullet"/>
      </w:pPr>
      <w:r>
        <w:rPr>
          <w:rFonts w:ascii="Calibri" w:hAnsi="Calibri"/>
          <w:color w:val="172B4D"/>
          <w:sz w:val="22"/>
        </w:rPr>
        <w:t>Yahoo Finance through yfinance is appropriate for prototyping; commercial production may require a licensed data vendor.</w:t>
      </w:r>
    </w:p>
    <w:p>
      <w:pPr>
        <w:pStyle w:val="ListBullet"/>
      </w:pPr>
      <w:r>
        <w:t>The current version does not include the News Agent, portfolio optimization, authentication, or an Application Load Balancer. OpenSearch Serverless semantic retrieval is implemented.</w:t>
      </w:r>
    </w:p>
    <w:p>
      <w:pPr>
        <w:pStyle w:val="Heading1"/>
        <w:keepNext/>
      </w:pPr>
      <w:r>
        <w:t>3. Current project scope</w:t>
      </w:r>
    </w:p>
    <w:p>
      <w:pPr>
        <w:pStyle w:val="Heading2"/>
        <w:keepNext/>
      </w:pPr>
      <w:r>
        <w:t>3.1 NASDAQ-10 universe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12"/>
            <w:shd w:fill="E9F2FF"/>
            <w:tcMar>
              <w:top w:w="100" w:type="dxa"/>
              <w:start w:w="120" w:type="dxa"/>
              <w:bottom w:w="100" w:type="dxa"/>
              <w:end w:w="120" w:type="dxa"/>
            </w:tcMar>
            <w:vAlign w:val="center"/>
          </w:tcPr>
          <w:p>
            <w:pPr>
              <w:jc w:val="left"/>
            </w:pPr>
            <w:r>
              <w:rPr>
                <w:rFonts w:ascii="Calibri" w:hAnsi="Calibri"/>
                <w:b/>
                <w:color w:val="172B4D"/>
                <w:sz w:val="19"/>
              </w:rPr>
              <w:t>Ticker</w:t>
            </w:r>
          </w:p>
        </w:tc>
        <w:tc>
          <w:tcPr>
            <w:tcW w:type="dxa" w:w="3384"/>
            <w:shd w:fill="E9F2FF"/>
            <w:tcMar>
              <w:top w:w="100" w:type="dxa"/>
              <w:start w:w="120" w:type="dxa"/>
              <w:bottom w:w="100" w:type="dxa"/>
              <w:end w:w="120" w:type="dxa"/>
            </w:tcMar>
            <w:vAlign w:val="center"/>
          </w:tcPr>
          <w:p>
            <w:pPr>
              <w:jc w:val="left"/>
            </w:pPr>
            <w:r>
              <w:rPr>
                <w:rFonts w:ascii="Calibri" w:hAnsi="Calibri"/>
                <w:b/>
                <w:color w:val="172B4D"/>
                <w:sz w:val="19"/>
              </w:rPr>
              <w:t>Company scope</w:t>
            </w:r>
          </w:p>
        </w:tc>
        <w:tc>
          <w:tcPr>
            <w:tcW w:type="dxa" w:w="4104"/>
            <w:shd w:fill="E9F2FF"/>
            <w:tcMar>
              <w:top w:w="100" w:type="dxa"/>
              <w:start w:w="120" w:type="dxa"/>
              <w:bottom w:w="100" w:type="dxa"/>
              <w:end w:w="120" w:type="dxa"/>
            </w:tcMar>
            <w:vAlign w:val="center"/>
          </w:tcPr>
          <w:p>
            <w:pPr>
              <w:jc w:val="left"/>
            </w:pPr>
            <w:r>
              <w:rPr>
                <w:rFonts w:ascii="Calibri" w:hAnsi="Calibri"/>
                <w:b/>
                <w:color w:val="172B4D"/>
                <w:sz w:val="19"/>
              </w:rPr>
              <w:t>Stored report periods</w:t>
            </w:r>
          </w:p>
        </w:tc>
      </w:tr>
      <w:tr>
        <w:tc>
          <w:tcPr>
            <w:tcW w:type="dxa" w:w="3216"/>
            <w:tcMar>
              <w:top w:w="100" w:type="dxa"/>
              <w:start w:w="120" w:type="dxa"/>
              <w:bottom w:w="100" w:type="dxa"/>
              <w:end w:w="120" w:type="dxa"/>
            </w:tcMar>
            <w:vAlign w:val="center"/>
          </w:tcPr>
          <w:p>
            <w:r>
              <w:rPr>
                <w:rFonts w:ascii="Calibri" w:hAnsi="Calibri"/>
                <w:color w:val="172B4D"/>
                <w:sz w:val="18"/>
              </w:rPr>
              <w:t>NVDA</w:t>
            </w:r>
          </w:p>
        </w:tc>
        <w:tc>
          <w:tcPr>
            <w:tcW w:type="dxa" w:w="3216"/>
            <w:tcMar>
              <w:top w:w="100" w:type="dxa"/>
              <w:start w:w="120" w:type="dxa"/>
              <w:bottom w:w="100" w:type="dxa"/>
              <w:end w:w="120" w:type="dxa"/>
            </w:tcMar>
            <w:vAlign w:val="center"/>
          </w:tcPr>
          <w:p>
            <w:r>
              <w:rPr>
                <w:rFonts w:ascii="Calibri" w:hAnsi="Calibri"/>
                <w:color w:val="172B4D"/>
                <w:sz w:val="18"/>
              </w:rPr>
              <w:t>NVIDIA</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GOOGL</w:t>
            </w:r>
          </w:p>
        </w:tc>
        <w:tc>
          <w:tcPr>
            <w:tcW w:type="dxa" w:w="3216"/>
            <w:tcMar>
              <w:top w:w="100" w:type="dxa"/>
              <w:start w:w="120" w:type="dxa"/>
              <w:bottom w:w="100" w:type="dxa"/>
              <w:end w:w="120" w:type="dxa"/>
            </w:tcMar>
            <w:vAlign w:val="center"/>
          </w:tcPr>
          <w:p>
            <w:r>
              <w:rPr>
                <w:rFonts w:ascii="Calibri" w:hAnsi="Calibri"/>
                <w:color w:val="172B4D"/>
                <w:sz w:val="18"/>
              </w:rPr>
              <w:t>Alphabet Class A</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AAPL</w:t>
            </w:r>
          </w:p>
        </w:tc>
        <w:tc>
          <w:tcPr>
            <w:tcW w:type="dxa" w:w="3216"/>
            <w:tcMar>
              <w:top w:w="100" w:type="dxa"/>
              <w:start w:w="120" w:type="dxa"/>
              <w:bottom w:w="100" w:type="dxa"/>
              <w:end w:w="120" w:type="dxa"/>
            </w:tcMar>
            <w:vAlign w:val="center"/>
          </w:tcPr>
          <w:p>
            <w:r>
              <w:rPr>
                <w:rFonts w:ascii="Calibri" w:hAnsi="Calibri"/>
                <w:color w:val="172B4D"/>
                <w:sz w:val="18"/>
              </w:rPr>
              <w:t>Apple</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MSFT</w:t>
            </w:r>
          </w:p>
        </w:tc>
        <w:tc>
          <w:tcPr>
            <w:tcW w:type="dxa" w:w="3216"/>
            <w:tcMar>
              <w:top w:w="100" w:type="dxa"/>
              <w:start w:w="120" w:type="dxa"/>
              <w:bottom w:w="100" w:type="dxa"/>
              <w:end w:w="120" w:type="dxa"/>
            </w:tcMar>
            <w:vAlign w:val="center"/>
          </w:tcPr>
          <w:p>
            <w:r>
              <w:rPr>
                <w:rFonts w:ascii="Calibri" w:hAnsi="Calibri"/>
                <w:color w:val="172B4D"/>
                <w:sz w:val="18"/>
              </w:rPr>
              <w:t>Microsoft</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AMZN</w:t>
            </w:r>
          </w:p>
        </w:tc>
        <w:tc>
          <w:tcPr>
            <w:tcW w:type="dxa" w:w="3216"/>
            <w:tcMar>
              <w:top w:w="100" w:type="dxa"/>
              <w:start w:w="120" w:type="dxa"/>
              <w:bottom w:w="100" w:type="dxa"/>
              <w:end w:w="120" w:type="dxa"/>
            </w:tcMar>
            <w:vAlign w:val="center"/>
          </w:tcPr>
          <w:p>
            <w:r>
              <w:rPr>
                <w:rFonts w:ascii="Calibri" w:hAnsi="Calibri"/>
                <w:color w:val="172B4D"/>
                <w:sz w:val="18"/>
              </w:rPr>
              <w:t>Amazon</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META</w:t>
            </w:r>
          </w:p>
        </w:tc>
        <w:tc>
          <w:tcPr>
            <w:tcW w:type="dxa" w:w="3216"/>
            <w:tcMar>
              <w:top w:w="100" w:type="dxa"/>
              <w:start w:w="120" w:type="dxa"/>
              <w:bottom w:w="100" w:type="dxa"/>
              <w:end w:w="120" w:type="dxa"/>
            </w:tcMar>
            <w:vAlign w:val="center"/>
          </w:tcPr>
          <w:p>
            <w:r>
              <w:rPr>
                <w:rFonts w:ascii="Calibri" w:hAnsi="Calibri"/>
                <w:color w:val="172B4D"/>
                <w:sz w:val="18"/>
              </w:rPr>
              <w:t>Meta Platforms</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AVGO</w:t>
            </w:r>
          </w:p>
        </w:tc>
        <w:tc>
          <w:tcPr>
            <w:tcW w:type="dxa" w:w="3216"/>
            <w:tcMar>
              <w:top w:w="100" w:type="dxa"/>
              <w:start w:w="120" w:type="dxa"/>
              <w:bottom w:w="100" w:type="dxa"/>
              <w:end w:w="120" w:type="dxa"/>
            </w:tcMar>
            <w:vAlign w:val="center"/>
          </w:tcPr>
          <w:p>
            <w:r>
              <w:rPr>
                <w:rFonts w:ascii="Calibri" w:hAnsi="Calibri"/>
                <w:color w:val="172B4D"/>
                <w:sz w:val="18"/>
              </w:rPr>
              <w:t>Broadcom</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TSLA</w:t>
            </w:r>
          </w:p>
        </w:tc>
        <w:tc>
          <w:tcPr>
            <w:tcW w:type="dxa" w:w="3216"/>
            <w:tcMar>
              <w:top w:w="100" w:type="dxa"/>
              <w:start w:w="120" w:type="dxa"/>
              <w:bottom w:w="100" w:type="dxa"/>
              <w:end w:w="120" w:type="dxa"/>
            </w:tcMar>
            <w:vAlign w:val="center"/>
          </w:tcPr>
          <w:p>
            <w:r>
              <w:rPr>
                <w:rFonts w:ascii="Calibri" w:hAnsi="Calibri"/>
                <w:color w:val="172B4D"/>
                <w:sz w:val="18"/>
              </w:rPr>
              <w:t>Tesla</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COST</w:t>
            </w:r>
          </w:p>
        </w:tc>
        <w:tc>
          <w:tcPr>
            <w:tcW w:type="dxa" w:w="3216"/>
            <w:tcMar>
              <w:top w:w="100" w:type="dxa"/>
              <w:start w:w="120" w:type="dxa"/>
              <w:bottom w:w="100" w:type="dxa"/>
              <w:end w:w="120" w:type="dxa"/>
            </w:tcMar>
            <w:vAlign w:val="center"/>
          </w:tcPr>
          <w:p>
            <w:r>
              <w:rPr>
                <w:rFonts w:ascii="Calibri" w:hAnsi="Calibri"/>
                <w:color w:val="172B4D"/>
                <w:sz w:val="18"/>
              </w:rPr>
              <w:t>Costco</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r>
        <w:tc>
          <w:tcPr>
            <w:tcW w:type="dxa" w:w="3216"/>
            <w:tcMar>
              <w:top w:w="100" w:type="dxa"/>
              <w:start w:w="120" w:type="dxa"/>
              <w:bottom w:w="100" w:type="dxa"/>
              <w:end w:w="120" w:type="dxa"/>
            </w:tcMar>
            <w:vAlign w:val="center"/>
          </w:tcPr>
          <w:p>
            <w:r>
              <w:rPr>
                <w:rFonts w:ascii="Calibri" w:hAnsi="Calibri"/>
                <w:color w:val="172B4D"/>
                <w:sz w:val="18"/>
              </w:rPr>
              <w:t>NFLX</w:t>
            </w:r>
          </w:p>
        </w:tc>
        <w:tc>
          <w:tcPr>
            <w:tcW w:type="dxa" w:w="3216"/>
            <w:tcMar>
              <w:top w:w="100" w:type="dxa"/>
              <w:start w:w="120" w:type="dxa"/>
              <w:bottom w:w="100" w:type="dxa"/>
              <w:end w:w="120" w:type="dxa"/>
            </w:tcMar>
            <w:vAlign w:val="center"/>
          </w:tcPr>
          <w:p>
            <w:r>
              <w:rPr>
                <w:rFonts w:ascii="Calibri" w:hAnsi="Calibri"/>
                <w:color w:val="172B4D"/>
                <w:sz w:val="18"/>
              </w:rPr>
              <w:t>Netflix</w:t>
            </w:r>
          </w:p>
        </w:tc>
        <w:tc>
          <w:tcPr>
            <w:tcW w:type="dxa" w:w="3216"/>
            <w:tcMar>
              <w:top w:w="100" w:type="dxa"/>
              <w:start w:w="120" w:type="dxa"/>
              <w:bottom w:w="100" w:type="dxa"/>
              <w:end w:w="120" w:type="dxa"/>
            </w:tcMar>
            <w:vAlign w:val="center"/>
          </w:tcPr>
          <w:p>
            <w:r>
              <w:rPr>
                <w:rFonts w:ascii="Calibri" w:hAnsi="Calibri"/>
                <w:color w:val="172B4D"/>
                <w:sz w:val="18"/>
              </w:rPr>
              <w:t>Annual, quarterly, half-yearly</w:t>
            </w:r>
          </w:p>
        </w:tc>
      </w:tr>
    </w:tbl>
    <w:p>
      <w:pPr>
        <w:spacing w:after="20"/>
      </w:pPr>
    </w:p>
    <w:p>
      <w:pPr>
        <w:pStyle w:val="Heading2"/>
        <w:keepNext/>
      </w:pPr>
      <w:r>
        <w:t>3.2 Main user journeys</w:t>
      </w:r>
    </w:p>
    <w:p>
      <w:pPr>
        <w:pStyle w:val="ListNumber"/>
      </w:pPr>
      <w:r>
        <w:rPr>
          <w:rFonts w:ascii="Calibri" w:hAnsi="Calibri"/>
          <w:color w:val="172B4D"/>
          <w:sz w:val="22"/>
        </w:rPr>
        <w:t>Upload a PDF or text financial report, ask for a summary, and receive an answer based only on that uploaded file.</w:t>
      </w:r>
    </w:p>
    <w:p>
      <w:pPr>
        <w:pStyle w:val="ListNumber"/>
      </w:pPr>
      <w:r>
        <w:rPr>
          <w:rFonts w:ascii="Calibri" w:hAnsi="Calibri"/>
          <w:color w:val="172B4D"/>
          <w:sz w:val="22"/>
        </w:rPr>
        <w:t>Ask about a selected company report without uploading a file; the RAG Agent searches matching S3 objects.</w:t>
      </w:r>
    </w:p>
    <w:p>
      <w:pPr>
        <w:pStyle w:val="ListNumber"/>
      </w:pPr>
      <w:r>
        <w:rPr>
          <w:rFonts w:ascii="Calibri" w:hAnsi="Calibri"/>
          <w:color w:val="172B4D"/>
          <w:sz w:val="22"/>
        </w:rPr>
        <w:t>Ask for a stock price or refresh the dashboard; the Stock Data Agent retrieves Yahoo Finance data.</w:t>
      </w:r>
    </w:p>
    <w:p>
      <w:pPr>
        <w:pStyle w:val="ListNumber"/>
      </w:pPr>
      <w:r>
        <w:rPr>
          <w:rFonts w:ascii="Calibri" w:hAnsi="Calibri"/>
          <w:color w:val="172B4D"/>
          <w:sz w:val="22"/>
        </w:rPr>
        <w:t>Ask a combined question about a financial report and stock performance; the Supervisor invokes both agents and combines the sections.</w:t>
      </w:r>
    </w:p>
    <w:tbl>
      <w:tblPr>
        <w:tblW w:type="auto" w:w="0"/>
        <w:jc w:val="center"/>
        <w:tblLayout w:type="fixed"/>
        <w:tblLook w:firstColumn="1" w:firstRow="1" w:lastColumn="0" w:lastRow="0" w:noHBand="0" w:noVBand="1" w:val="04A0"/>
      </w:tblPr>
      <w:tblGrid>
        <w:gridCol w:w="9648"/>
      </w:tblGrid>
      <w:tr>
        <w:tc>
          <w:tcPr>
            <w:tcW w:type="dxa" w:w="9000"/>
            <w:shd w:fill="FFF0F0"/>
            <w:tcMar>
              <w:top w:w="150" w:type="dxa"/>
              <w:start w:w="170" w:type="dxa"/>
              <w:bottom w:w="150" w:type="dxa"/>
              <w:end w:w="170" w:type="dxa"/>
            </w:tcMar>
          </w:tcPr>
          <w:p>
            <w:pPr>
              <w:spacing w:after="80"/>
            </w:pPr>
            <w:r>
              <w:rPr>
                <w:rFonts w:ascii="Calibri" w:hAnsi="Calibri"/>
                <w:b/>
                <w:color w:val="C9372C"/>
                <w:sz w:val="22"/>
              </w:rPr>
              <w:t>Important source-isolation rule</w:t>
            </w:r>
          </w:p>
          <w:p>
            <w:pPr>
              <w:spacing w:after="0"/>
            </w:pPr>
            <w:r>
              <w:rPr>
                <w:rFonts w:ascii="Calibri" w:hAnsi="Calibri"/>
                <w:color w:val="172B4D"/>
                <w:sz w:val="20"/>
              </w:rPr>
              <w:t>When a user uploads a document, the RAG Agent analyzes only that file. S3 is not searched in the same request. This rule was introduced after an AAPL upload incorrectly pulled a TSLA passage from S3.</w:t>
            </w:r>
          </w:p>
        </w:tc>
      </w:tr>
    </w:tbl>
    <w:p>
      <w:pPr>
        <w:spacing w:after="20"/>
      </w:pPr>
    </w:p>
    <w:p>
      <w:r>
        <w:br w:type="page"/>
      </w:r>
    </w:p>
    <w:p>
      <w:pPr>
        <w:pStyle w:val="Heading1"/>
        <w:keepNext/>
      </w:pPr>
      <w:r>
        <w:t>4. End-to-end architecture</w:t>
      </w:r>
    </w:p>
    <w:p>
      <w:pPr>
        <w:jc w:val="center"/>
      </w:pPr>
      <w:r>
        <w:drawing>
          <wp:inline xmlns:a="http://schemas.openxmlformats.org/drawingml/2006/main" xmlns:pic="http://schemas.openxmlformats.org/drawingml/2006/picture">
            <wp:extent cx="5897880" cy="2830982"/>
            <wp:docPr id="1" name="Picture 1" descr="Architecture diagram showing the end user, Streamlit UI, Supervisor Agent, RAG Agent, Stock Data Agent, Amazon Bedrock, Amazon S3, Yahoo Finance, and the GitHub-to-ECR-to-ECS deployment flow." title="NASDAQ-10 Stock AI Agent architecture"/>
            <wp:cNvGraphicFramePr>
              <a:graphicFrameLocks noChangeAspect="1"/>
            </wp:cNvGraphicFramePr>
            <a:graphic>
              <a:graphicData uri="http://schemas.openxmlformats.org/drawingml/2006/picture">
                <pic:pic>
                  <pic:nvPicPr>
                    <pic:cNvPr id="0" name="project_architecture.png"/>
                    <pic:cNvPicPr/>
                  </pic:nvPicPr>
                  <pic:blipFill>
                    <a:blip r:embed="rId9"/>
                    <a:stretch>
                      <a:fillRect/>
                    </a:stretch>
                  </pic:blipFill>
                  <pic:spPr>
                    <a:xfrm>
                      <a:off x="0" y="0"/>
                      <a:ext cx="5897880" cy="2830982"/>
                    </a:xfrm>
                    <a:prstGeom prst="rect"/>
                  </pic:spPr>
                </pic:pic>
              </a:graphicData>
            </a:graphic>
          </wp:inline>
        </w:drawing>
      </w:r>
    </w:p>
    <w:p>
      <w:pPr>
        <w:jc w:val="center"/>
      </w:pPr>
      <w:r>
        <w:rPr>
          <w:rFonts w:ascii="Calibri" w:hAnsi="Calibri"/>
          <w:i/>
          <w:color w:val="5E6C84"/>
          <w:sz w:val="18"/>
        </w:rPr>
        <w:t>Figure 1. Runtime components and AWS deployment flow</w:t>
      </w:r>
    </w:p>
    <w:p>
      <w:pPr>
        <w:pStyle w:val="Heading2"/>
        <w:keepNext/>
      </w:pPr>
      <w:r>
        <w:t>4.1 Runtime request flow</w:t>
      </w:r>
    </w:p>
    <w:p>
      <w:pPr>
        <w:pStyle w:val="ListNumber"/>
      </w:pPr>
      <w:r>
        <w:rPr>
          <w:rFonts w:ascii="Calibri" w:hAnsi="Calibri"/>
          <w:color w:val="172B4D"/>
          <w:sz w:val="22"/>
        </w:rPr>
        <w:t>The end user enters a question and optionally uploads a PDF or text file.</w:t>
      </w:r>
    </w:p>
    <w:p>
      <w:pPr>
        <w:pStyle w:val="ListNumber"/>
      </w:pPr>
      <w:r>
        <w:rPr>
          <w:rFonts w:ascii="Calibri" w:hAnsi="Calibri"/>
          <w:color w:val="172B4D"/>
          <w:sz w:val="22"/>
        </w:rPr>
        <w:t>Streamlit passes the request, selected tickers, file bytes, and content type to the Supervisor Agent.</w:t>
      </w:r>
    </w:p>
    <w:p>
      <w:pPr>
        <w:pStyle w:val="ListNumber"/>
      </w:pPr>
      <w:r>
        <w:rPr>
          <w:rFonts w:ascii="Calibri" w:hAnsi="Calibri"/>
          <w:color w:val="172B4D"/>
          <w:sz w:val="22"/>
        </w:rPr>
        <w:t>The Supervisor chooses the RAG Agent when a file/report question is detected and the Stock Data Agent for price/market questions.</w:t>
      </w:r>
    </w:p>
    <w:p>
      <w:pPr>
        <w:pStyle w:val="ListNumber"/>
      </w:pPr>
      <w:r>
        <w:t>For uploaded files, the RAG Agent extracts and chunks only the uploaded document. For stored reports, it embeds the question with Amazon Titan Text Embeddings V2, performs ticker-filtered k-nearest-neighbor retrieval in Amazon OpenSearch Serverless, and asks Amazon Nova Lite for a grounded answer.</w:t>
      </w:r>
    </w:p>
    <w:p>
      <w:pPr>
        <w:pStyle w:val="ListNumber"/>
      </w:pPr>
      <w:r>
        <w:rPr>
          <w:rFonts w:ascii="Calibri" w:hAnsi="Calibri"/>
          <w:color w:val="172B4D"/>
          <w:sz w:val="22"/>
        </w:rPr>
        <w:t>The Stock Data Agent calls Yahoo Finance and normalizes vendor field names and missing values.</w:t>
      </w:r>
    </w:p>
    <w:p>
      <w:pPr>
        <w:pStyle w:val="ListNumber"/>
      </w:pPr>
      <w:r>
        <w:rPr>
          <w:rFonts w:ascii="Calibri" w:hAnsi="Calibri"/>
          <w:color w:val="172B4D"/>
          <w:sz w:val="22"/>
        </w:rPr>
        <w:t>The Supervisor returns clearly labeled response sections and sources to Streamlit.</w:t>
      </w:r>
    </w:p>
    <w:p>
      <w:pPr>
        <w:pStyle w:val="Heading2"/>
        <w:keepNext/>
      </w:pPr>
      <w:r>
        <w:t>4.2 Deployment flow</w:t>
      </w:r>
    </w:p>
    <w:p>
      <w:r>
        <w:rPr>
          <w:rFonts w:ascii="Calibri" w:hAnsi="Calibri"/>
          <w:i w:val="0"/>
          <w:color w:val="172B4D"/>
          <w:sz w:val="22"/>
        </w:rPr>
        <w:t>Source code is maintained in GitHub. GitHub Actions runs linting, tests, coverage, and a Docker build. When AWS deployment is enabled on the main branch, the workflow assumes an AWS role through OpenID Connect, pushes the image to ECR, renders the ECS task definition, and updates the ECS service.</w:t>
      </w:r>
    </w:p>
    <w:p>
      <w:pPr>
        <w:pStyle w:val="Heading1"/>
        <w:keepNext/>
      </w:pPr>
      <w:r>
        <w:t>5. Technology stack</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655"/>
            <w:shd w:fill="E9F2FF"/>
            <w:tcMar>
              <w:top w:w="100" w:type="dxa"/>
              <w:start w:w="120" w:type="dxa"/>
              <w:bottom w:w="100" w:type="dxa"/>
              <w:end w:w="120" w:type="dxa"/>
            </w:tcMar>
            <w:vAlign w:val="center"/>
          </w:tcPr>
          <w:p>
            <w:pPr>
              <w:jc w:val="left"/>
            </w:pPr>
            <w:r>
              <w:rPr>
                <w:rFonts w:ascii="Calibri" w:hAnsi="Calibri"/>
                <w:b/>
                <w:color w:val="172B4D"/>
                <w:sz w:val="19"/>
              </w:rPr>
              <w:t>Layer</w:t>
            </w:r>
          </w:p>
        </w:tc>
        <w:tc>
          <w:tcPr>
            <w:tcW w:type="dxa" w:w="2520"/>
            <w:shd w:fill="E9F2FF"/>
            <w:tcMar>
              <w:top w:w="100" w:type="dxa"/>
              <w:start w:w="120" w:type="dxa"/>
              <w:bottom w:w="100" w:type="dxa"/>
              <w:end w:w="120" w:type="dxa"/>
            </w:tcMar>
            <w:vAlign w:val="center"/>
          </w:tcPr>
          <w:p>
            <w:pPr>
              <w:jc w:val="left"/>
            </w:pPr>
            <w:r>
              <w:rPr>
                <w:rFonts w:ascii="Calibri" w:hAnsi="Calibri"/>
                <w:b/>
                <w:color w:val="172B4D"/>
                <w:sz w:val="19"/>
              </w:rPr>
              <w:t>Technology</w:t>
            </w:r>
          </w:p>
        </w:tc>
        <w:tc>
          <w:tcPr>
            <w:tcW w:type="dxa" w:w="4824"/>
            <w:shd w:fill="E9F2FF"/>
            <w:tcMar>
              <w:top w:w="100" w:type="dxa"/>
              <w:start w:w="120" w:type="dxa"/>
              <w:bottom w:w="100" w:type="dxa"/>
              <w:end w:w="120" w:type="dxa"/>
            </w:tcMar>
            <w:vAlign w:val="center"/>
          </w:tcPr>
          <w:p>
            <w:pPr>
              <w:jc w:val="left"/>
            </w:pPr>
            <w:r>
              <w:rPr>
                <w:rFonts w:ascii="Calibri" w:hAnsi="Calibri"/>
                <w:b/>
                <w:color w:val="172B4D"/>
                <w:sz w:val="19"/>
              </w:rPr>
              <w:t>Role in the project</w:t>
            </w:r>
          </w:p>
        </w:tc>
      </w:tr>
      <w:tr>
        <w:tc>
          <w:tcPr>
            <w:tcW w:type="dxa" w:w="3216"/>
            <w:tcMar>
              <w:top w:w="100" w:type="dxa"/>
              <w:start w:w="120" w:type="dxa"/>
              <w:bottom w:w="100" w:type="dxa"/>
              <w:end w:w="120" w:type="dxa"/>
            </w:tcMar>
            <w:vAlign w:val="center"/>
          </w:tcPr>
          <w:p>
            <w:r>
              <w:rPr>
                <w:rFonts w:ascii="Calibri" w:hAnsi="Calibri"/>
                <w:color w:val="172B4D"/>
                <w:sz w:val="18"/>
              </w:rPr>
              <w:t>Language</w:t>
            </w:r>
          </w:p>
        </w:tc>
        <w:tc>
          <w:tcPr>
            <w:tcW w:type="dxa" w:w="3216"/>
            <w:tcMar>
              <w:top w:w="100" w:type="dxa"/>
              <w:start w:w="120" w:type="dxa"/>
              <w:bottom w:w="100" w:type="dxa"/>
              <w:end w:w="120" w:type="dxa"/>
            </w:tcMar>
            <w:vAlign w:val="center"/>
          </w:tcPr>
          <w:p>
            <w:r>
              <w:rPr>
                <w:rFonts w:ascii="Calibri" w:hAnsi="Calibri"/>
                <w:color w:val="172B4D"/>
                <w:sz w:val="18"/>
              </w:rPr>
              <w:t>Python 3.12</w:t>
            </w:r>
          </w:p>
        </w:tc>
        <w:tc>
          <w:tcPr>
            <w:tcW w:type="dxa" w:w="3216"/>
            <w:tcMar>
              <w:top w:w="100" w:type="dxa"/>
              <w:start w:w="120" w:type="dxa"/>
              <w:bottom w:w="100" w:type="dxa"/>
              <w:end w:w="120" w:type="dxa"/>
            </w:tcMar>
            <w:vAlign w:val="center"/>
          </w:tcPr>
          <w:p>
            <w:r>
              <w:rPr>
                <w:rFonts w:ascii="Calibri" w:hAnsi="Calibri"/>
                <w:color w:val="172B4D"/>
                <w:sz w:val="18"/>
              </w:rPr>
              <w:t>Application, agents, AWS integrations, scripts, and tests.</w:t>
            </w:r>
          </w:p>
        </w:tc>
      </w:tr>
      <w:tr>
        <w:tc>
          <w:tcPr>
            <w:tcW w:type="dxa" w:w="3216"/>
            <w:tcMar>
              <w:top w:w="100" w:type="dxa"/>
              <w:start w:w="120" w:type="dxa"/>
              <w:bottom w:w="100" w:type="dxa"/>
              <w:end w:w="120" w:type="dxa"/>
            </w:tcMar>
            <w:vAlign w:val="center"/>
          </w:tcPr>
          <w:p>
            <w:r>
              <w:rPr>
                <w:rFonts w:ascii="Calibri" w:hAnsi="Calibri"/>
                <w:color w:val="172B4D"/>
                <w:sz w:val="18"/>
              </w:rPr>
              <w:t>User interface</w:t>
            </w:r>
          </w:p>
        </w:tc>
        <w:tc>
          <w:tcPr>
            <w:tcW w:type="dxa" w:w="3216"/>
            <w:tcMar>
              <w:top w:w="100" w:type="dxa"/>
              <w:start w:w="120" w:type="dxa"/>
              <w:bottom w:w="100" w:type="dxa"/>
              <w:end w:w="120" w:type="dxa"/>
            </w:tcMar>
            <w:vAlign w:val="center"/>
          </w:tcPr>
          <w:p>
            <w:r>
              <w:rPr>
                <w:rFonts w:ascii="Calibri" w:hAnsi="Calibri"/>
                <w:color w:val="172B4D"/>
                <w:sz w:val="18"/>
              </w:rPr>
              <w:t>Streamlit</w:t>
            </w:r>
          </w:p>
        </w:tc>
        <w:tc>
          <w:tcPr>
            <w:tcW w:type="dxa" w:w="3216"/>
            <w:tcMar>
              <w:top w:w="100" w:type="dxa"/>
              <w:start w:w="120" w:type="dxa"/>
              <w:bottom w:w="100" w:type="dxa"/>
              <w:end w:w="120" w:type="dxa"/>
            </w:tcMar>
            <w:vAlign w:val="center"/>
          </w:tcPr>
          <w:p>
            <w:r>
              <w:rPr>
                <w:rFonts w:ascii="Calibri" w:hAnsi="Calibri"/>
                <w:color w:val="172B4D"/>
                <w:sz w:val="18"/>
              </w:rPr>
              <w:t>Upload, question input, responses, data table, and price chart.</w:t>
            </w:r>
          </w:p>
        </w:tc>
      </w:tr>
      <w:tr>
        <w:tc>
          <w:tcPr>
            <w:tcW w:type="dxa" w:w="3216"/>
            <w:tcMar>
              <w:top w:w="100" w:type="dxa"/>
              <w:start w:w="120" w:type="dxa"/>
              <w:bottom w:w="100" w:type="dxa"/>
              <w:end w:w="120" w:type="dxa"/>
            </w:tcMar>
            <w:vAlign w:val="center"/>
          </w:tcPr>
          <w:p>
            <w:r>
              <w:rPr>
                <w:rFonts w:ascii="Calibri" w:hAnsi="Calibri"/>
                <w:color w:val="172B4D"/>
                <w:sz w:val="18"/>
              </w:rPr>
              <w:t>AI model</w:t>
            </w:r>
          </w:p>
        </w:tc>
        <w:tc>
          <w:tcPr>
            <w:tcW w:type="dxa" w:w="3216"/>
            <w:tcMar>
              <w:top w:w="100" w:type="dxa"/>
              <w:start w:w="120" w:type="dxa"/>
              <w:bottom w:w="100" w:type="dxa"/>
              <w:end w:w="120" w:type="dxa"/>
            </w:tcMar>
            <w:vAlign w:val="center"/>
          </w:tcPr>
          <w:p>
            <w:r>
              <w:rPr>
                <w:rFonts w:ascii="Calibri" w:hAnsi="Calibri"/>
                <w:color w:val="172B4D"/>
                <w:sz w:val="18"/>
              </w:rPr>
              <w:t>Amazon Bedrock - Nova Lite</w:t>
            </w:r>
          </w:p>
        </w:tc>
        <w:tc>
          <w:tcPr>
            <w:tcW w:type="dxa" w:w="3216"/>
            <w:tcMar>
              <w:top w:w="100" w:type="dxa"/>
              <w:start w:w="120" w:type="dxa"/>
              <w:bottom w:w="100" w:type="dxa"/>
              <w:end w:w="120" w:type="dxa"/>
            </w:tcMar>
            <w:vAlign w:val="center"/>
          </w:tcPr>
          <w:p>
            <w:r>
              <w:rPr>
                <w:rFonts w:ascii="Calibri" w:hAnsi="Calibri"/>
                <w:color w:val="172B4D"/>
                <w:sz w:val="18"/>
              </w:rPr>
              <w:t>Grounded financial-report summarization.</w:t>
            </w:r>
          </w:p>
        </w:tc>
      </w:tr>
      <w:tr>
        <w:tc>
          <w:tcPr>
            <w:tcW w:type="dxa" w:w="3216"/>
            <w:tcMar>
              <w:top w:w="100" w:type="dxa"/>
              <w:start w:w="120" w:type="dxa"/>
              <w:bottom w:w="100" w:type="dxa"/>
              <w:end w:w="120" w:type="dxa"/>
            </w:tcMar>
            <w:vAlign w:val="center"/>
          </w:tcPr>
          <w:p>
            <w:r>
              <w:rPr>
                <w:rFonts w:ascii="Calibri" w:hAnsi="Calibri"/>
                <w:color w:val="172B4D"/>
                <w:sz w:val="18"/>
              </w:rPr>
              <w:t>Document processing</w:t>
            </w:r>
          </w:p>
        </w:tc>
        <w:tc>
          <w:tcPr>
            <w:tcW w:type="dxa" w:w="3216"/>
            <w:tcMar>
              <w:top w:w="100" w:type="dxa"/>
              <w:start w:w="120" w:type="dxa"/>
              <w:bottom w:w="100" w:type="dxa"/>
              <w:end w:w="120" w:type="dxa"/>
            </w:tcMar>
            <w:vAlign w:val="center"/>
          </w:tcPr>
          <w:p>
            <w:r>
              <w:rPr>
                <w:rFonts w:ascii="Calibri" w:hAnsi="Calibri"/>
                <w:color w:val="172B4D"/>
                <w:sz w:val="18"/>
              </w:rPr>
              <w:t>PyPDF and BeautifulSoup</w:t>
            </w:r>
          </w:p>
        </w:tc>
        <w:tc>
          <w:tcPr>
            <w:tcW w:type="dxa" w:w="3216"/>
            <w:tcMar>
              <w:top w:w="100" w:type="dxa"/>
              <w:start w:w="120" w:type="dxa"/>
              <w:bottom w:w="100" w:type="dxa"/>
              <w:end w:w="120" w:type="dxa"/>
            </w:tcMar>
            <w:vAlign w:val="center"/>
          </w:tcPr>
          <w:p>
            <w:r>
              <w:rPr>
                <w:rFonts w:ascii="Calibri" w:hAnsi="Calibri"/>
                <w:color w:val="172B4D"/>
                <w:sz w:val="18"/>
              </w:rPr>
              <w:t>Extract PDF, text, and HTML content.</w:t>
            </w:r>
          </w:p>
        </w:tc>
      </w:tr>
      <w:tr>
        <w:tc>
          <w:tcPr>
            <w:tcW w:type="dxa" w:w="3216"/>
            <w:tcMar>
              <w:top w:w="100" w:type="dxa"/>
              <w:start w:w="120" w:type="dxa"/>
              <w:bottom w:w="100" w:type="dxa"/>
              <w:end w:w="120" w:type="dxa"/>
            </w:tcMar>
            <w:vAlign w:val="center"/>
          </w:tcPr>
          <w:p>
            <w:r>
              <w:rPr>
                <w:rFonts w:ascii="Calibri" w:hAnsi="Calibri"/>
                <w:color w:val="172B4D"/>
                <w:sz w:val="18"/>
              </w:rPr>
              <w:t>Market data</w:t>
            </w:r>
          </w:p>
        </w:tc>
        <w:tc>
          <w:tcPr>
            <w:tcW w:type="dxa" w:w="3216"/>
            <w:tcMar>
              <w:top w:w="100" w:type="dxa"/>
              <w:start w:w="120" w:type="dxa"/>
              <w:bottom w:w="100" w:type="dxa"/>
              <w:end w:w="120" w:type="dxa"/>
            </w:tcMar>
            <w:vAlign w:val="center"/>
          </w:tcPr>
          <w:p>
            <w:r>
              <w:rPr>
                <w:rFonts w:ascii="Calibri" w:hAnsi="Calibri"/>
                <w:color w:val="172B4D"/>
                <w:sz w:val="18"/>
              </w:rPr>
              <w:t>yfinance / Yahoo Finance</w:t>
            </w:r>
          </w:p>
        </w:tc>
        <w:tc>
          <w:tcPr>
            <w:tcW w:type="dxa" w:w="3216"/>
            <w:tcMar>
              <w:top w:w="100" w:type="dxa"/>
              <w:start w:w="120" w:type="dxa"/>
              <w:bottom w:w="100" w:type="dxa"/>
              <w:end w:w="120" w:type="dxa"/>
            </w:tcMar>
            <w:vAlign w:val="center"/>
          </w:tcPr>
          <w:p>
            <w:r>
              <w:rPr>
                <w:rFonts w:ascii="Calibri" w:hAnsi="Calibri"/>
                <w:color w:val="172B4D"/>
                <w:sz w:val="18"/>
              </w:rPr>
              <w:t>Quotes, history, and financial statements.</w:t>
            </w:r>
          </w:p>
        </w:tc>
      </w:tr>
      <w:tr>
        <w:tc>
          <w:tcPr>
            <w:tcW w:type="dxa" w:w="3216"/>
            <w:tcMar>
              <w:top w:w="100" w:type="dxa"/>
              <w:start w:w="120" w:type="dxa"/>
              <w:bottom w:w="100" w:type="dxa"/>
              <w:end w:w="120" w:type="dxa"/>
            </w:tcMar>
            <w:vAlign w:val="center"/>
          </w:tcPr>
          <w:p>
            <w:r>
              <w:rPr>
                <w:rFonts w:ascii="Calibri" w:hAnsi="Calibri"/>
                <w:color w:val="172B4D"/>
                <w:sz w:val="18"/>
              </w:rPr>
              <w:t>Cloud storage</w:t>
            </w:r>
          </w:p>
        </w:tc>
        <w:tc>
          <w:tcPr>
            <w:tcW w:type="dxa" w:w="3216"/>
            <w:tcMar>
              <w:top w:w="100" w:type="dxa"/>
              <w:start w:w="120" w:type="dxa"/>
              <w:bottom w:w="100" w:type="dxa"/>
              <w:end w:w="120" w:type="dxa"/>
            </w:tcMar>
            <w:vAlign w:val="center"/>
          </w:tcPr>
          <w:p>
            <w:r>
              <w:rPr>
                <w:rFonts w:ascii="Calibri" w:hAnsi="Calibri"/>
                <w:color w:val="172B4D"/>
                <w:sz w:val="18"/>
              </w:rPr>
              <w:t>Amazon S3</w:t>
            </w:r>
          </w:p>
        </w:tc>
        <w:tc>
          <w:tcPr>
            <w:tcW w:type="dxa" w:w="3216"/>
            <w:tcMar>
              <w:top w:w="100" w:type="dxa"/>
              <w:start w:w="120" w:type="dxa"/>
              <w:bottom w:w="100" w:type="dxa"/>
              <w:end w:w="120" w:type="dxa"/>
            </w:tcMar>
            <w:vAlign w:val="center"/>
          </w:tcPr>
          <w:p>
            <w:r>
              <w:rPr>
                <w:rFonts w:ascii="Calibri" w:hAnsi="Calibri"/>
                <w:color w:val="172B4D"/>
                <w:sz w:val="18"/>
              </w:rPr>
              <w:t>Private financial-report object storage.</w:t>
            </w:r>
          </w:p>
        </w:tc>
      </w:tr>
      <w:tr>
        <w:tc>
          <w:tcPr>
            <w:tcW w:type="dxa" w:w="3216"/>
            <w:tcMar>
              <w:top w:w="100" w:type="dxa"/>
              <w:start w:w="120" w:type="dxa"/>
              <w:bottom w:w="100" w:type="dxa"/>
              <w:end w:w="120" w:type="dxa"/>
            </w:tcMar>
            <w:vAlign w:val="center"/>
          </w:tcPr>
          <w:p>
            <w:r>
              <w:rPr>
                <w:rFonts w:ascii="Calibri" w:hAnsi="Calibri"/>
                <w:color w:val="172B4D"/>
                <w:sz w:val="18"/>
              </w:rPr>
              <w:t>Container</w:t>
            </w:r>
          </w:p>
        </w:tc>
        <w:tc>
          <w:tcPr>
            <w:tcW w:type="dxa" w:w="3216"/>
            <w:tcMar>
              <w:top w:w="100" w:type="dxa"/>
              <w:start w:w="120" w:type="dxa"/>
              <w:bottom w:w="100" w:type="dxa"/>
              <w:end w:w="120" w:type="dxa"/>
            </w:tcMar>
            <w:vAlign w:val="center"/>
          </w:tcPr>
          <w:p>
            <w:r>
              <w:rPr>
                <w:rFonts w:ascii="Calibri" w:hAnsi="Calibri"/>
                <w:color w:val="172B4D"/>
                <w:sz w:val="18"/>
              </w:rPr>
              <w:t>Docker</w:t>
            </w:r>
          </w:p>
        </w:tc>
        <w:tc>
          <w:tcPr>
            <w:tcW w:type="dxa" w:w="3216"/>
            <w:tcMar>
              <w:top w:w="100" w:type="dxa"/>
              <w:start w:w="120" w:type="dxa"/>
              <w:bottom w:w="100" w:type="dxa"/>
              <w:end w:w="120" w:type="dxa"/>
            </w:tcMar>
            <w:vAlign w:val="center"/>
          </w:tcPr>
          <w:p>
            <w:r>
              <w:rPr>
                <w:rFonts w:ascii="Calibri" w:hAnsi="Calibri"/>
                <w:color w:val="172B4D"/>
                <w:sz w:val="18"/>
              </w:rPr>
              <w:t>Reproducible application runtime.</w:t>
            </w:r>
          </w:p>
        </w:tc>
      </w:tr>
      <w:tr>
        <w:tc>
          <w:tcPr>
            <w:tcW w:type="dxa" w:w="3216"/>
            <w:tcMar>
              <w:top w:w="100" w:type="dxa"/>
              <w:start w:w="120" w:type="dxa"/>
              <w:bottom w:w="100" w:type="dxa"/>
              <w:end w:w="120" w:type="dxa"/>
            </w:tcMar>
            <w:vAlign w:val="center"/>
          </w:tcPr>
          <w:p>
            <w:r>
              <w:rPr>
                <w:rFonts w:ascii="Calibri" w:hAnsi="Calibri"/>
                <w:color w:val="172B4D"/>
                <w:sz w:val="18"/>
              </w:rPr>
              <w:t>Image registry</w:t>
            </w:r>
          </w:p>
        </w:tc>
        <w:tc>
          <w:tcPr>
            <w:tcW w:type="dxa" w:w="3216"/>
            <w:tcMar>
              <w:top w:w="100" w:type="dxa"/>
              <w:start w:w="120" w:type="dxa"/>
              <w:bottom w:w="100" w:type="dxa"/>
              <w:end w:w="120" w:type="dxa"/>
            </w:tcMar>
            <w:vAlign w:val="center"/>
          </w:tcPr>
          <w:p>
            <w:r>
              <w:rPr>
                <w:rFonts w:ascii="Calibri" w:hAnsi="Calibri"/>
                <w:color w:val="172B4D"/>
                <w:sz w:val="18"/>
              </w:rPr>
              <w:t>Amazon ECR</w:t>
            </w:r>
          </w:p>
        </w:tc>
        <w:tc>
          <w:tcPr>
            <w:tcW w:type="dxa" w:w="3216"/>
            <w:tcMar>
              <w:top w:w="100" w:type="dxa"/>
              <w:start w:w="120" w:type="dxa"/>
              <w:bottom w:w="100" w:type="dxa"/>
              <w:end w:w="120" w:type="dxa"/>
            </w:tcMar>
            <w:vAlign w:val="center"/>
          </w:tcPr>
          <w:p>
            <w:r>
              <w:rPr>
                <w:rFonts w:ascii="Calibri" w:hAnsi="Calibri"/>
                <w:color w:val="172B4D"/>
                <w:sz w:val="18"/>
              </w:rPr>
              <w:t>Stores versioned container images.</w:t>
            </w:r>
          </w:p>
        </w:tc>
      </w:tr>
      <w:tr>
        <w:tc>
          <w:tcPr>
            <w:tcW w:type="dxa" w:w="3216"/>
            <w:tcMar>
              <w:top w:w="100" w:type="dxa"/>
              <w:start w:w="120" w:type="dxa"/>
              <w:bottom w:w="100" w:type="dxa"/>
              <w:end w:w="120" w:type="dxa"/>
            </w:tcMar>
            <w:vAlign w:val="center"/>
          </w:tcPr>
          <w:p>
            <w:r>
              <w:rPr>
                <w:rFonts w:ascii="Calibri" w:hAnsi="Calibri"/>
                <w:color w:val="172B4D"/>
                <w:sz w:val="18"/>
              </w:rPr>
              <w:t>Compute</w:t>
            </w:r>
          </w:p>
        </w:tc>
        <w:tc>
          <w:tcPr>
            <w:tcW w:type="dxa" w:w="3216"/>
            <w:tcMar>
              <w:top w:w="100" w:type="dxa"/>
              <w:start w:w="120" w:type="dxa"/>
              <w:bottom w:w="100" w:type="dxa"/>
              <w:end w:w="120" w:type="dxa"/>
            </w:tcMar>
            <w:vAlign w:val="center"/>
          </w:tcPr>
          <w:p>
            <w:r>
              <w:rPr>
                <w:rFonts w:ascii="Calibri" w:hAnsi="Calibri"/>
                <w:color w:val="172B4D"/>
                <w:sz w:val="18"/>
              </w:rPr>
              <w:t>Amazon ECS Fargate</w:t>
            </w:r>
          </w:p>
        </w:tc>
        <w:tc>
          <w:tcPr>
            <w:tcW w:type="dxa" w:w="3216"/>
            <w:tcMar>
              <w:top w:w="100" w:type="dxa"/>
              <w:start w:w="120" w:type="dxa"/>
              <w:bottom w:w="100" w:type="dxa"/>
              <w:end w:w="120" w:type="dxa"/>
            </w:tcMar>
            <w:vAlign w:val="center"/>
          </w:tcPr>
          <w:p>
            <w:r>
              <w:rPr>
                <w:rFonts w:ascii="Calibri" w:hAnsi="Calibri"/>
                <w:color w:val="172B4D"/>
                <w:sz w:val="18"/>
              </w:rPr>
              <w:t>Runs the container without managing servers.</w:t>
            </w:r>
          </w:p>
        </w:tc>
      </w:tr>
      <w:tr>
        <w:tc>
          <w:tcPr>
            <w:tcW w:type="dxa" w:w="3216"/>
            <w:tcMar>
              <w:top w:w="100" w:type="dxa"/>
              <w:start w:w="120" w:type="dxa"/>
              <w:bottom w:w="100" w:type="dxa"/>
              <w:end w:w="120" w:type="dxa"/>
            </w:tcMar>
            <w:vAlign w:val="center"/>
          </w:tcPr>
          <w:p>
            <w:r>
              <w:rPr>
                <w:rFonts w:ascii="Calibri" w:hAnsi="Calibri"/>
                <w:color w:val="172B4D"/>
                <w:sz w:val="18"/>
              </w:rPr>
              <w:t>Observability</w:t>
            </w:r>
          </w:p>
        </w:tc>
        <w:tc>
          <w:tcPr>
            <w:tcW w:type="dxa" w:w="3216"/>
            <w:tcMar>
              <w:top w:w="100" w:type="dxa"/>
              <w:start w:w="120" w:type="dxa"/>
              <w:bottom w:w="100" w:type="dxa"/>
              <w:end w:w="120" w:type="dxa"/>
            </w:tcMar>
            <w:vAlign w:val="center"/>
          </w:tcPr>
          <w:p>
            <w:r>
              <w:rPr>
                <w:rFonts w:ascii="Calibri" w:hAnsi="Calibri"/>
                <w:color w:val="172B4D"/>
                <w:sz w:val="18"/>
              </w:rPr>
              <w:t>Amazon CloudWatch</w:t>
            </w:r>
          </w:p>
        </w:tc>
        <w:tc>
          <w:tcPr>
            <w:tcW w:type="dxa" w:w="3216"/>
            <w:tcMar>
              <w:top w:w="100" w:type="dxa"/>
              <w:start w:w="120" w:type="dxa"/>
              <w:bottom w:w="100" w:type="dxa"/>
              <w:end w:w="120" w:type="dxa"/>
            </w:tcMar>
            <w:vAlign w:val="center"/>
          </w:tcPr>
          <w:p>
            <w:r>
              <w:rPr>
                <w:rFonts w:ascii="Calibri" w:hAnsi="Calibri"/>
                <w:color w:val="172B4D"/>
                <w:sz w:val="18"/>
              </w:rPr>
              <w:t>Container logs and operational visibility.</w:t>
            </w:r>
          </w:p>
        </w:tc>
      </w:tr>
      <w:tr>
        <w:tc>
          <w:tcPr>
            <w:tcW w:type="dxa" w:w="3216"/>
            <w:tcMar>
              <w:top w:w="100" w:type="dxa"/>
              <w:start w:w="120" w:type="dxa"/>
              <w:bottom w:w="100" w:type="dxa"/>
              <w:end w:w="120" w:type="dxa"/>
            </w:tcMar>
            <w:vAlign w:val="center"/>
          </w:tcPr>
          <w:p>
            <w:r>
              <w:rPr>
                <w:rFonts w:ascii="Calibri" w:hAnsi="Calibri"/>
                <w:color w:val="172B4D"/>
                <w:sz w:val="18"/>
              </w:rPr>
              <w:t>Source control</w:t>
            </w:r>
          </w:p>
        </w:tc>
        <w:tc>
          <w:tcPr>
            <w:tcW w:type="dxa" w:w="3216"/>
            <w:tcMar>
              <w:top w:w="100" w:type="dxa"/>
              <w:start w:w="120" w:type="dxa"/>
              <w:bottom w:w="100" w:type="dxa"/>
              <w:end w:w="120" w:type="dxa"/>
            </w:tcMar>
            <w:vAlign w:val="center"/>
          </w:tcPr>
          <w:p>
            <w:r>
              <w:rPr>
                <w:rFonts w:ascii="Calibri" w:hAnsi="Calibri"/>
                <w:color w:val="172B4D"/>
                <w:sz w:val="18"/>
              </w:rPr>
              <w:t>Git and GitHub</w:t>
            </w:r>
          </w:p>
        </w:tc>
        <w:tc>
          <w:tcPr>
            <w:tcW w:type="dxa" w:w="3216"/>
            <w:tcMar>
              <w:top w:w="100" w:type="dxa"/>
              <w:start w:w="120" w:type="dxa"/>
              <w:bottom w:w="100" w:type="dxa"/>
              <w:end w:w="120" w:type="dxa"/>
            </w:tcMar>
            <w:vAlign w:val="center"/>
          </w:tcPr>
          <w:p>
            <w:r>
              <w:rPr>
                <w:rFonts w:ascii="Calibri" w:hAnsi="Calibri"/>
                <w:color w:val="172B4D"/>
                <w:sz w:val="18"/>
              </w:rPr>
              <w:t>Version history and collaboration.</w:t>
            </w:r>
          </w:p>
        </w:tc>
      </w:tr>
      <w:tr>
        <w:tc>
          <w:tcPr>
            <w:tcW w:type="dxa" w:w="3216"/>
            <w:tcMar>
              <w:top w:w="100" w:type="dxa"/>
              <w:start w:w="120" w:type="dxa"/>
              <w:bottom w:w="100" w:type="dxa"/>
              <w:end w:w="120" w:type="dxa"/>
            </w:tcMar>
            <w:vAlign w:val="center"/>
          </w:tcPr>
          <w:p>
            <w:r>
              <w:rPr>
                <w:rFonts w:ascii="Calibri" w:hAnsi="Calibri"/>
                <w:color w:val="172B4D"/>
                <w:sz w:val="18"/>
              </w:rPr>
              <w:t>CI/CD</w:t>
            </w:r>
          </w:p>
        </w:tc>
        <w:tc>
          <w:tcPr>
            <w:tcW w:type="dxa" w:w="3216"/>
            <w:tcMar>
              <w:top w:w="100" w:type="dxa"/>
              <w:start w:w="120" w:type="dxa"/>
              <w:bottom w:w="100" w:type="dxa"/>
              <w:end w:w="120" w:type="dxa"/>
            </w:tcMar>
            <w:vAlign w:val="center"/>
          </w:tcPr>
          <w:p>
            <w:r>
              <w:rPr>
                <w:rFonts w:ascii="Calibri" w:hAnsi="Calibri"/>
                <w:color w:val="172B4D"/>
                <w:sz w:val="18"/>
              </w:rPr>
              <w:t>GitHub Actions</w:t>
            </w:r>
          </w:p>
        </w:tc>
        <w:tc>
          <w:tcPr>
            <w:tcW w:type="dxa" w:w="3216"/>
            <w:tcMar>
              <w:top w:w="100" w:type="dxa"/>
              <w:start w:w="120" w:type="dxa"/>
              <w:bottom w:w="100" w:type="dxa"/>
              <w:end w:w="120" w:type="dxa"/>
            </w:tcMar>
            <w:vAlign w:val="center"/>
          </w:tcPr>
          <w:p>
            <w:r>
              <w:rPr>
                <w:rFonts w:ascii="Calibri" w:hAnsi="Calibri"/>
                <w:color w:val="172B4D"/>
                <w:sz w:val="18"/>
              </w:rPr>
              <w:t>Automated tests, image build, ECR push, and ECS deployment.</w:t>
            </w:r>
          </w:p>
        </w:tc>
      </w:tr>
      <w:tr>
        <w:tc>
          <w:tcPr>
            <w:tcW w:type="dxa" w:w="3216"/>
            <w:tcMar>
              <w:top w:w="100" w:type="dxa"/>
              <w:start w:w="120" w:type="dxa"/>
              <w:bottom w:w="100" w:type="dxa"/>
              <w:end w:w="120" w:type="dxa"/>
            </w:tcMar>
            <w:vAlign w:val="center"/>
          </w:tcPr>
          <w:p>
            <w:r>
              <w:rPr>
                <w:rFonts w:ascii="Calibri" w:hAnsi="Calibri"/>
                <w:color w:val="172B4D"/>
                <w:sz w:val="18"/>
              </w:rPr>
              <w:t>Testing</w:t>
            </w:r>
          </w:p>
        </w:tc>
        <w:tc>
          <w:tcPr>
            <w:tcW w:type="dxa" w:w="3216"/>
            <w:tcMar>
              <w:top w:w="100" w:type="dxa"/>
              <w:start w:w="120" w:type="dxa"/>
              <w:bottom w:w="100" w:type="dxa"/>
              <w:end w:w="120" w:type="dxa"/>
            </w:tcMar>
            <w:vAlign w:val="center"/>
          </w:tcPr>
          <w:p>
            <w:r>
              <w:rPr>
                <w:rFonts w:ascii="Calibri" w:hAnsi="Calibri"/>
                <w:color w:val="172B4D"/>
                <w:sz w:val="18"/>
              </w:rPr>
              <w:t>Pytest, Ruff, Streamlit AppTest</w:t>
            </w:r>
          </w:p>
        </w:tc>
        <w:tc>
          <w:tcPr>
            <w:tcW w:type="dxa" w:w="3216"/>
            <w:tcMar>
              <w:top w:w="100" w:type="dxa"/>
              <w:start w:w="120" w:type="dxa"/>
              <w:bottom w:w="100" w:type="dxa"/>
              <w:end w:w="120" w:type="dxa"/>
            </w:tcMar>
            <w:vAlign w:val="center"/>
          </w:tcPr>
          <w:p>
            <w:r>
              <w:rPr>
                <w:rFonts w:ascii="Calibri" w:hAnsi="Calibri"/>
                <w:color w:val="172B4D"/>
                <w:sz w:val="18"/>
              </w:rPr>
              <w:t>Behavior, quality, and UI regression checks.</w:t>
            </w:r>
          </w:p>
        </w:tc>
      </w:tr>
      <w:tr>
        <w:tc>
          <w:tcPr>
            <w:tcW w:type="dxa" w:w="3216"/>
          </w:tcPr>
          <w:p>
            <w:r>
              <w:t>Embeddings</w:t>
            </w:r>
          </w:p>
        </w:tc>
        <w:tc>
          <w:tcPr>
            <w:tcW w:type="dxa" w:w="3216"/>
          </w:tcPr>
          <w:p>
            <w:r>
              <w:t>Amazon Titan Text Embeddings V2</w:t>
            </w:r>
          </w:p>
        </w:tc>
        <w:tc>
          <w:tcPr>
            <w:tcW w:type="dxa" w:w="3216"/>
          </w:tcPr>
          <w:p>
            <w:r>
              <w:t>Creates normalized 1,024-dimension vectors for chunks and questions.</w:t>
            </w:r>
          </w:p>
        </w:tc>
      </w:tr>
      <w:tr>
        <w:tc>
          <w:tcPr>
            <w:tcW w:type="dxa" w:w="3216"/>
          </w:tcPr>
          <w:p>
            <w:r>
              <w:t>Vector database</w:t>
            </w:r>
          </w:p>
        </w:tc>
        <w:tc>
          <w:tcPr>
            <w:tcW w:type="dxa" w:w="3216"/>
          </w:tcPr>
          <w:p>
            <w:r>
              <w:t>Amazon OpenSearch Serverless</w:t>
            </w:r>
          </w:p>
        </w:tc>
        <w:tc>
          <w:tcPr>
            <w:tcW w:type="dxa" w:w="3216"/>
          </w:tcPr>
          <w:p>
            <w:r>
              <w:t>Stores 712 report chunks and performs ticker-filtered k-NN retrieval.</w:t>
            </w:r>
          </w:p>
        </w:tc>
      </w:tr>
    </w:tbl>
    <w:p>
      <w:pPr>
        <w:spacing w:after="20"/>
      </w:pPr>
    </w:p>
    <w:p>
      <w:r>
        <w:br w:type="page"/>
      </w:r>
    </w:p>
    <w:p>
      <w:pPr>
        <w:pStyle w:val="Heading1"/>
        <w:keepNext/>
      </w:pPr>
      <w:r>
        <w:t>6. Phase 1 - Foundation and repository structure</w:t>
      </w:r>
    </w:p>
    <w:p>
      <w:r>
        <w:rPr>
          <w:rFonts w:ascii="Calibri" w:hAnsi="Calibri"/>
          <w:i w:val="0"/>
          <w:color w:val="172B4D"/>
          <w:sz w:val="22"/>
        </w:rPr>
        <w:t>The project began as a minimal Python repository and was reorganized into a src-layout application. This separates reusable business logic from the Streamlit entry point, deployment assets, tests, scripts, and documentation.</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384"/>
            <w:shd w:fill="E9F2FF"/>
            <w:tcMar>
              <w:top w:w="100" w:type="dxa"/>
              <w:start w:w="120" w:type="dxa"/>
              <w:bottom w:w="100" w:type="dxa"/>
              <w:end w:w="120" w:type="dxa"/>
            </w:tcMar>
            <w:vAlign w:val="center"/>
          </w:tcPr>
          <w:p>
            <w:pPr>
              <w:jc w:val="left"/>
            </w:pPr>
            <w:r>
              <w:rPr>
                <w:rFonts w:ascii="Calibri" w:hAnsi="Calibri"/>
                <w:b/>
                <w:color w:val="172B4D"/>
                <w:sz w:val="19"/>
              </w:rPr>
              <w:t>Path</w:t>
            </w:r>
          </w:p>
        </w:tc>
        <w:tc>
          <w:tcPr>
            <w:tcW w:type="dxa" w:w="5616"/>
            <w:shd w:fill="E9F2FF"/>
            <w:tcMar>
              <w:top w:w="100" w:type="dxa"/>
              <w:start w:w="120" w:type="dxa"/>
              <w:bottom w:w="100" w:type="dxa"/>
              <w:end w:w="120" w:type="dxa"/>
            </w:tcMar>
            <w:vAlign w:val="center"/>
          </w:tcPr>
          <w:p>
            <w:pPr>
              <w:jc w:val="left"/>
            </w:pPr>
            <w:r>
              <w:rPr>
                <w:rFonts w:ascii="Calibri" w:hAnsi="Calibri"/>
                <w:b/>
                <w:color w:val="172B4D"/>
                <w:sz w:val="19"/>
              </w:rPr>
              <w:t>Purpose</w:t>
            </w:r>
          </w:p>
        </w:tc>
      </w:tr>
      <w:tr>
        <w:tc>
          <w:tcPr>
            <w:tcW w:type="dxa" w:w="4824"/>
            <w:tcMar>
              <w:top w:w="100" w:type="dxa"/>
              <w:start w:w="120" w:type="dxa"/>
              <w:bottom w:w="100" w:type="dxa"/>
              <w:end w:w="120" w:type="dxa"/>
            </w:tcMar>
            <w:vAlign w:val="center"/>
          </w:tcPr>
          <w:p>
            <w:r>
              <w:rPr>
                <w:rFonts w:ascii="Calibri" w:hAnsi="Calibri"/>
                <w:color w:val="172B4D"/>
                <w:sz w:val="18"/>
              </w:rPr>
              <w:t>app.py</w:t>
            </w:r>
          </w:p>
        </w:tc>
        <w:tc>
          <w:tcPr>
            <w:tcW w:type="dxa" w:w="4824"/>
            <w:tcMar>
              <w:top w:w="100" w:type="dxa"/>
              <w:start w:w="120" w:type="dxa"/>
              <w:bottom w:w="100" w:type="dxa"/>
              <w:end w:w="120" w:type="dxa"/>
            </w:tcMar>
            <w:vAlign w:val="center"/>
          </w:tcPr>
          <w:p>
            <w:r>
              <w:rPr>
                <w:rFonts w:ascii="Calibri" w:hAnsi="Calibri"/>
                <w:color w:val="172B4D"/>
                <w:sz w:val="18"/>
              </w:rPr>
              <w:t>Streamlit application entry point.</w:t>
            </w:r>
          </w:p>
        </w:tc>
      </w:tr>
      <w:tr>
        <w:tc>
          <w:tcPr>
            <w:tcW w:type="dxa" w:w="4824"/>
            <w:tcMar>
              <w:top w:w="100" w:type="dxa"/>
              <w:start w:w="120" w:type="dxa"/>
              <w:bottom w:w="100" w:type="dxa"/>
              <w:end w:w="120" w:type="dxa"/>
            </w:tcMar>
            <w:vAlign w:val="center"/>
          </w:tcPr>
          <w:p>
            <w:r>
              <w:rPr>
                <w:rFonts w:ascii="Calibri" w:hAnsi="Calibri"/>
                <w:color w:val="172B4D"/>
                <w:sz w:val="18"/>
              </w:rPr>
              <w:t>src/stock_agent/agents/</w:t>
            </w:r>
          </w:p>
        </w:tc>
        <w:tc>
          <w:tcPr>
            <w:tcW w:type="dxa" w:w="4824"/>
            <w:tcMar>
              <w:top w:w="100" w:type="dxa"/>
              <w:start w:w="120" w:type="dxa"/>
              <w:bottom w:w="100" w:type="dxa"/>
              <w:end w:w="120" w:type="dxa"/>
            </w:tcMar>
            <w:vAlign w:val="center"/>
          </w:tcPr>
          <w:p>
            <w:r>
              <w:t>Bedrock, S3, OpenSearch, and document-processing services.</w:t>
            </w:r>
          </w:p>
        </w:tc>
      </w:tr>
      <w:tr>
        <w:tc>
          <w:tcPr>
            <w:tcW w:type="dxa" w:w="4824"/>
            <w:tcMar>
              <w:top w:w="100" w:type="dxa"/>
              <w:start w:w="120" w:type="dxa"/>
              <w:bottom w:w="100" w:type="dxa"/>
              <w:end w:w="120" w:type="dxa"/>
            </w:tcMar>
            <w:vAlign w:val="center"/>
          </w:tcPr>
          <w:p>
            <w:r>
              <w:rPr>
                <w:rFonts w:ascii="Calibri" w:hAnsi="Calibri"/>
                <w:color w:val="172B4D"/>
                <w:sz w:val="18"/>
              </w:rPr>
              <w:t>src/stock_agent/services/</w:t>
            </w:r>
          </w:p>
        </w:tc>
        <w:tc>
          <w:tcPr>
            <w:tcW w:type="dxa" w:w="4824"/>
            <w:tcMar>
              <w:top w:w="100" w:type="dxa"/>
              <w:start w:w="120" w:type="dxa"/>
              <w:bottom w:w="100" w:type="dxa"/>
              <w:end w:w="120" w:type="dxa"/>
            </w:tcMar>
            <w:vAlign w:val="center"/>
          </w:tcPr>
          <w:p>
            <w:r>
              <w:rPr>
                <w:rFonts w:ascii="Calibri" w:hAnsi="Calibri"/>
                <w:color w:val="172B4D"/>
                <w:sz w:val="18"/>
              </w:rPr>
              <w:t>Bedrock, S3, and document-processing services.</w:t>
            </w:r>
          </w:p>
        </w:tc>
      </w:tr>
      <w:tr>
        <w:tc>
          <w:tcPr>
            <w:tcW w:type="dxa" w:w="4824"/>
            <w:tcMar>
              <w:top w:w="100" w:type="dxa"/>
              <w:start w:w="120" w:type="dxa"/>
              <w:bottom w:w="100" w:type="dxa"/>
              <w:end w:w="120" w:type="dxa"/>
            </w:tcMar>
            <w:vAlign w:val="center"/>
          </w:tcPr>
          <w:p>
            <w:r>
              <w:rPr>
                <w:rFonts w:ascii="Calibri" w:hAnsi="Calibri"/>
                <w:color w:val="172B4D"/>
                <w:sz w:val="18"/>
              </w:rPr>
              <w:t>src/stock_agent/tools/</w:t>
            </w:r>
          </w:p>
        </w:tc>
        <w:tc>
          <w:tcPr>
            <w:tcW w:type="dxa" w:w="4824"/>
            <w:tcMar>
              <w:top w:w="100" w:type="dxa"/>
              <w:start w:w="120" w:type="dxa"/>
              <w:bottom w:w="100" w:type="dxa"/>
              <w:end w:w="120" w:type="dxa"/>
            </w:tcMar>
            <w:vAlign w:val="center"/>
          </w:tcPr>
          <w:p>
            <w:r>
              <w:rPr>
                <w:rFonts w:ascii="Calibri" w:hAnsi="Calibri"/>
                <w:color w:val="172B4D"/>
                <w:sz w:val="18"/>
              </w:rPr>
              <w:t>Yahoo Finance and SEC EDGAR integration tools.</w:t>
            </w:r>
          </w:p>
        </w:tc>
      </w:tr>
      <w:tr>
        <w:tc>
          <w:tcPr>
            <w:tcW w:type="dxa" w:w="4824"/>
            <w:tcMar>
              <w:top w:w="100" w:type="dxa"/>
              <w:start w:w="120" w:type="dxa"/>
              <w:bottom w:w="100" w:type="dxa"/>
              <w:end w:w="120" w:type="dxa"/>
            </w:tcMar>
            <w:vAlign w:val="center"/>
          </w:tcPr>
          <w:p>
            <w:r>
              <w:rPr>
                <w:rFonts w:ascii="Calibri" w:hAnsi="Calibri"/>
                <w:color w:val="172B4D"/>
                <w:sz w:val="18"/>
              </w:rPr>
              <w:t>src/stock_agent/supervisor.py</w:t>
            </w:r>
          </w:p>
        </w:tc>
        <w:tc>
          <w:tcPr>
            <w:tcW w:type="dxa" w:w="4824"/>
            <w:tcMar>
              <w:top w:w="100" w:type="dxa"/>
              <w:start w:w="120" w:type="dxa"/>
              <w:bottom w:w="100" w:type="dxa"/>
              <w:end w:w="120" w:type="dxa"/>
            </w:tcMar>
            <w:vAlign w:val="center"/>
          </w:tcPr>
          <w:p>
            <w:r>
              <w:rPr>
                <w:rFonts w:ascii="Calibri" w:hAnsi="Calibri"/>
                <w:color w:val="172B4D"/>
                <w:sz w:val="18"/>
              </w:rPr>
              <w:t>Request routing and response composition.</w:t>
            </w:r>
          </w:p>
        </w:tc>
      </w:tr>
      <w:tr>
        <w:tc>
          <w:tcPr>
            <w:tcW w:type="dxa" w:w="4824"/>
            <w:tcMar>
              <w:top w:w="100" w:type="dxa"/>
              <w:start w:w="120" w:type="dxa"/>
              <w:bottom w:w="100" w:type="dxa"/>
              <w:end w:w="120" w:type="dxa"/>
            </w:tcMar>
            <w:vAlign w:val="center"/>
          </w:tcPr>
          <w:p>
            <w:r>
              <w:rPr>
                <w:rFonts w:ascii="Calibri" w:hAnsi="Calibri"/>
                <w:color w:val="172B4D"/>
                <w:sz w:val="18"/>
              </w:rPr>
              <w:t>scripts/</w:t>
            </w:r>
          </w:p>
        </w:tc>
        <w:tc>
          <w:tcPr>
            <w:tcW w:type="dxa" w:w="4824"/>
            <w:tcMar>
              <w:top w:w="100" w:type="dxa"/>
              <w:start w:w="120" w:type="dxa"/>
              <w:bottom w:w="100" w:type="dxa"/>
              <w:end w:w="120" w:type="dxa"/>
            </w:tcMar>
            <w:vAlign w:val="center"/>
          </w:tcPr>
          <w:p>
            <w:r>
              <w:rPr>
                <w:rFonts w:ascii="Calibri" w:hAnsi="Calibri"/>
                <w:color w:val="172B4D"/>
                <w:sz w:val="18"/>
              </w:rPr>
              <w:t>Financial-report synchronization scripts.</w:t>
            </w:r>
          </w:p>
        </w:tc>
      </w:tr>
      <w:tr>
        <w:tc>
          <w:tcPr>
            <w:tcW w:type="dxa" w:w="4824"/>
            <w:tcMar>
              <w:top w:w="100" w:type="dxa"/>
              <w:start w:w="120" w:type="dxa"/>
              <w:bottom w:w="100" w:type="dxa"/>
              <w:end w:w="120" w:type="dxa"/>
            </w:tcMar>
            <w:vAlign w:val="center"/>
          </w:tcPr>
          <w:p>
            <w:r>
              <w:rPr>
                <w:rFonts w:ascii="Calibri" w:hAnsi="Calibri"/>
                <w:color w:val="172B4D"/>
                <w:sz w:val="18"/>
              </w:rPr>
              <w:t>infra/</w:t>
            </w:r>
          </w:p>
        </w:tc>
        <w:tc>
          <w:tcPr>
            <w:tcW w:type="dxa" w:w="4824"/>
            <w:tcMar>
              <w:top w:w="100" w:type="dxa"/>
              <w:start w:w="120" w:type="dxa"/>
              <w:bottom w:w="100" w:type="dxa"/>
              <w:end w:w="120" w:type="dxa"/>
            </w:tcMar>
            <w:vAlign w:val="center"/>
          </w:tcPr>
          <w:p>
            <w:r>
              <w:rPr>
                <w:rFonts w:ascii="Calibri" w:hAnsi="Calibri"/>
                <w:color w:val="172B4D"/>
                <w:sz w:val="18"/>
              </w:rPr>
              <w:t>ECS task definition, IAM policies, and S3 encryption configuration.</w:t>
            </w:r>
          </w:p>
        </w:tc>
      </w:tr>
      <w:tr>
        <w:tc>
          <w:tcPr>
            <w:tcW w:type="dxa" w:w="4824"/>
            <w:tcMar>
              <w:top w:w="100" w:type="dxa"/>
              <w:start w:w="120" w:type="dxa"/>
              <w:bottom w:w="100" w:type="dxa"/>
              <w:end w:w="120" w:type="dxa"/>
            </w:tcMar>
            <w:vAlign w:val="center"/>
          </w:tcPr>
          <w:p>
            <w:r>
              <w:rPr>
                <w:rFonts w:ascii="Calibri" w:hAnsi="Calibri"/>
                <w:color w:val="172B4D"/>
                <w:sz w:val="18"/>
              </w:rPr>
              <w:t>tests/</w:t>
            </w:r>
          </w:p>
        </w:tc>
        <w:tc>
          <w:tcPr>
            <w:tcW w:type="dxa" w:w="4824"/>
            <w:tcMar>
              <w:top w:w="100" w:type="dxa"/>
              <w:start w:w="120" w:type="dxa"/>
              <w:bottom w:w="100" w:type="dxa"/>
              <w:end w:w="120" w:type="dxa"/>
            </w:tcMar>
            <w:vAlign w:val="center"/>
          </w:tcPr>
          <w:p>
            <w:r>
              <w:rPr>
                <w:rFonts w:ascii="Calibri" w:hAnsi="Calibri"/>
                <w:color w:val="172B4D"/>
                <w:sz w:val="18"/>
              </w:rPr>
              <w:t>Unit, integration-style, and Streamlit regression tests.</w:t>
            </w:r>
          </w:p>
        </w:tc>
      </w:tr>
      <w:tr>
        <w:tc>
          <w:tcPr>
            <w:tcW w:type="dxa" w:w="4824"/>
            <w:tcMar>
              <w:top w:w="100" w:type="dxa"/>
              <w:start w:w="120" w:type="dxa"/>
              <w:bottom w:w="100" w:type="dxa"/>
              <w:end w:w="120" w:type="dxa"/>
            </w:tcMar>
            <w:vAlign w:val="center"/>
          </w:tcPr>
          <w:p>
            <w:r>
              <w:rPr>
                <w:rFonts w:ascii="Calibri" w:hAnsi="Calibri"/>
                <w:color w:val="172B4D"/>
                <w:sz w:val="18"/>
              </w:rPr>
              <w:t>.github/workflows/</w:t>
            </w:r>
          </w:p>
        </w:tc>
        <w:tc>
          <w:tcPr>
            <w:tcW w:type="dxa" w:w="4824"/>
            <w:tcMar>
              <w:top w:w="100" w:type="dxa"/>
              <w:start w:w="120" w:type="dxa"/>
              <w:bottom w:w="100" w:type="dxa"/>
              <w:end w:w="120" w:type="dxa"/>
            </w:tcMar>
            <w:vAlign w:val="center"/>
          </w:tcPr>
          <w:p>
            <w:r>
              <w:rPr>
                <w:rFonts w:ascii="Calibri" w:hAnsi="Calibri"/>
                <w:color w:val="172B4D"/>
                <w:sz w:val="18"/>
              </w:rPr>
              <w:t>CI/CD workflow.</w:t>
            </w:r>
          </w:p>
        </w:tc>
      </w:tr>
      <w:tr>
        <w:tc>
          <w:tcPr>
            <w:tcW w:type="dxa" w:w="4824"/>
            <w:tcMar>
              <w:top w:w="100" w:type="dxa"/>
              <w:start w:w="120" w:type="dxa"/>
              <w:bottom w:w="100" w:type="dxa"/>
              <w:end w:w="120" w:type="dxa"/>
            </w:tcMar>
            <w:vAlign w:val="center"/>
          </w:tcPr>
          <w:p>
            <w:r>
              <w:rPr>
                <w:rFonts w:ascii="Calibri" w:hAnsi="Calibri"/>
                <w:color w:val="172B4D"/>
                <w:sz w:val="18"/>
              </w:rPr>
              <w:t>docs/</w:t>
            </w:r>
          </w:p>
        </w:tc>
        <w:tc>
          <w:tcPr>
            <w:tcW w:type="dxa" w:w="4824"/>
            <w:tcMar>
              <w:top w:w="100" w:type="dxa"/>
              <w:start w:w="120" w:type="dxa"/>
              <w:bottom w:w="100" w:type="dxa"/>
              <w:end w:w="120" w:type="dxa"/>
            </w:tcMar>
            <w:vAlign w:val="center"/>
          </w:tcPr>
          <w:p>
            <w:r>
              <w:rPr>
                <w:rFonts w:ascii="Calibri" w:hAnsi="Calibri"/>
                <w:color w:val="172B4D"/>
                <w:sz w:val="18"/>
              </w:rPr>
              <w:t>Implementation documentation.</w:t>
            </w:r>
          </w:p>
        </w:tc>
      </w:tr>
    </w:tbl>
    <w:p>
      <w:pPr>
        <w:spacing w:after="20"/>
      </w:pPr>
    </w:p>
    <w:p>
      <w:pPr>
        <w:pStyle w:val="Heading2"/>
        <w:keepNext/>
      </w:pPr>
      <w:r>
        <w:t>6.1 Configuration</w:t>
      </w:r>
    </w:p>
    <w:p>
      <w:r>
        <w:rPr>
          <w:rFonts w:ascii="Calibri" w:hAnsi="Calibri"/>
          <w:i w:val="0"/>
          <w:color w:val="172B4D"/>
          <w:sz w:val="22"/>
        </w:rPr>
        <w:t>Configuration is managed through pydantic-settings. Local values can be supplied in a .env file. In ECS, non-secret values are passed in the task definition and AWS credentials are provided automatically through the task role.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76"/>
            <w:shd w:fill="E9F2FF"/>
            <w:tcMar>
              <w:top w:w="100" w:type="dxa"/>
              <w:start w:w="120" w:type="dxa"/>
              <w:bottom w:w="100" w:type="dxa"/>
              <w:end w:w="120" w:type="dxa"/>
            </w:tcMar>
            <w:vAlign w:val="center"/>
          </w:tcPr>
          <w:p>
            <w:pPr>
              <w:jc w:val="left"/>
            </w:pPr>
            <w:r>
              <w:rPr>
                <w:rFonts w:ascii="Calibri" w:hAnsi="Calibri"/>
                <w:b/>
                <w:color w:val="172B4D"/>
                <w:sz w:val="19"/>
              </w:rPr>
              <w:t>Variable</w:t>
            </w:r>
          </w:p>
        </w:tc>
        <w:tc>
          <w:tcPr>
            <w:tcW w:type="dxa" w:w="3888"/>
            <w:shd w:fill="E9F2FF"/>
            <w:tcMar>
              <w:top w:w="100" w:type="dxa"/>
              <w:start w:w="120" w:type="dxa"/>
              <w:bottom w:w="100" w:type="dxa"/>
              <w:end w:w="120" w:type="dxa"/>
            </w:tcMar>
            <w:vAlign w:val="center"/>
          </w:tcPr>
          <w:p>
            <w:pPr>
              <w:jc w:val="left"/>
            </w:pPr>
            <w:r>
              <w:rPr>
                <w:rFonts w:ascii="Calibri" w:hAnsi="Calibri"/>
                <w:b/>
                <w:color w:val="172B4D"/>
                <w:sz w:val="19"/>
              </w:rPr>
              <w:t>Meaning</w:t>
            </w:r>
          </w:p>
        </w:tc>
        <w:tc>
          <w:tcPr>
            <w:tcW w:type="dxa" w:w="2736"/>
            <w:shd w:fill="E9F2FF"/>
            <w:tcMar>
              <w:top w:w="100" w:type="dxa"/>
              <w:start w:w="120" w:type="dxa"/>
              <w:bottom w:w="100" w:type="dxa"/>
              <w:end w:w="120" w:type="dxa"/>
            </w:tcMar>
            <w:vAlign w:val="center"/>
          </w:tcPr>
          <w:p>
            <w:pPr>
              <w:jc w:val="left"/>
            </w:pPr>
            <w:r>
              <w:rPr>
                <w:rFonts w:ascii="Calibri" w:hAnsi="Calibri"/>
                <w:b/>
                <w:color w:val="172B4D"/>
                <w:sz w:val="19"/>
              </w:rPr>
              <w:t>Current/default example</w:t>
            </w:r>
          </w:p>
        </w:tc>
      </w:tr>
      <w:tr>
        <w:tc>
          <w:tcPr>
            <w:tcW w:type="dxa" w:w="3216"/>
            <w:tcMar>
              <w:top w:w="100" w:type="dxa"/>
              <w:start w:w="120" w:type="dxa"/>
              <w:bottom w:w="100" w:type="dxa"/>
              <w:end w:w="120" w:type="dxa"/>
            </w:tcMar>
            <w:vAlign w:val="center"/>
          </w:tcPr>
          <w:p>
            <w:r>
              <w:rPr>
                <w:rFonts w:ascii="Calibri" w:hAnsi="Calibri"/>
                <w:color w:val="172B4D"/>
                <w:sz w:val="18"/>
              </w:rPr>
              <w:t>AWS_REGION</w:t>
            </w:r>
          </w:p>
        </w:tc>
        <w:tc>
          <w:tcPr>
            <w:tcW w:type="dxa" w:w="3216"/>
            <w:tcMar>
              <w:top w:w="100" w:type="dxa"/>
              <w:start w:w="120" w:type="dxa"/>
              <w:bottom w:w="100" w:type="dxa"/>
              <w:end w:w="120" w:type="dxa"/>
            </w:tcMar>
            <w:vAlign w:val="center"/>
          </w:tcPr>
          <w:p>
            <w:r>
              <w:rPr>
                <w:rFonts w:ascii="Calibri" w:hAnsi="Calibri"/>
                <w:color w:val="172B4D"/>
                <w:sz w:val="18"/>
              </w:rPr>
              <w:t>AWS service region</w:t>
            </w:r>
          </w:p>
        </w:tc>
        <w:tc>
          <w:tcPr>
            <w:tcW w:type="dxa" w:w="3216"/>
            <w:tcMar>
              <w:top w:w="100" w:type="dxa"/>
              <w:start w:w="120" w:type="dxa"/>
              <w:bottom w:w="100" w:type="dxa"/>
              <w:end w:w="120" w:type="dxa"/>
            </w:tcMar>
            <w:vAlign w:val="center"/>
          </w:tcPr>
          <w:p>
            <w:r>
              <w:rPr>
                <w:rFonts w:ascii="Calibri" w:hAnsi="Calibri"/>
                <w:color w:val="172B4D"/>
                <w:sz w:val="18"/>
              </w:rPr>
              <w:t>eu-west-2</w:t>
            </w:r>
          </w:p>
        </w:tc>
      </w:tr>
      <w:tr>
        <w:tc>
          <w:tcPr>
            <w:tcW w:type="dxa" w:w="3216"/>
            <w:tcMar>
              <w:top w:w="100" w:type="dxa"/>
              <w:start w:w="120" w:type="dxa"/>
              <w:bottom w:w="100" w:type="dxa"/>
              <w:end w:w="120" w:type="dxa"/>
            </w:tcMar>
            <w:vAlign w:val="center"/>
          </w:tcPr>
          <w:p>
            <w:r>
              <w:rPr>
                <w:rFonts w:ascii="Calibri" w:hAnsi="Calibri"/>
                <w:color w:val="172B4D"/>
                <w:sz w:val="18"/>
              </w:rPr>
              <w:t>BEDROCK_MODEL_ID</w:t>
            </w:r>
          </w:p>
        </w:tc>
        <w:tc>
          <w:tcPr>
            <w:tcW w:type="dxa" w:w="3216"/>
            <w:tcMar>
              <w:top w:w="100" w:type="dxa"/>
              <w:start w:w="120" w:type="dxa"/>
              <w:bottom w:w="100" w:type="dxa"/>
              <w:end w:w="120" w:type="dxa"/>
            </w:tcMar>
            <w:vAlign w:val="center"/>
          </w:tcPr>
          <w:p>
            <w:r>
              <w:rPr>
                <w:rFonts w:ascii="Calibri" w:hAnsi="Calibri"/>
                <w:color w:val="172B4D"/>
                <w:sz w:val="18"/>
              </w:rPr>
              <w:t>Text-generation model</w:t>
            </w:r>
          </w:p>
        </w:tc>
        <w:tc>
          <w:tcPr>
            <w:tcW w:type="dxa" w:w="3216"/>
            <w:tcMar>
              <w:top w:w="100" w:type="dxa"/>
              <w:start w:w="120" w:type="dxa"/>
              <w:bottom w:w="100" w:type="dxa"/>
              <w:end w:w="120" w:type="dxa"/>
            </w:tcMar>
            <w:vAlign w:val="center"/>
          </w:tcPr>
          <w:p>
            <w:r>
              <w:rPr>
                <w:rFonts w:ascii="Calibri" w:hAnsi="Calibri"/>
                <w:color w:val="172B4D"/>
                <w:sz w:val="18"/>
              </w:rPr>
              <w:t>amazon.nova-lite-v1:0</w:t>
            </w:r>
          </w:p>
        </w:tc>
      </w:tr>
      <w:tr>
        <w:tc>
          <w:tcPr>
            <w:tcW w:type="dxa" w:w="3216"/>
            <w:tcMar>
              <w:top w:w="100" w:type="dxa"/>
              <w:start w:w="120" w:type="dxa"/>
              <w:bottom w:w="100" w:type="dxa"/>
              <w:end w:w="120" w:type="dxa"/>
            </w:tcMar>
            <w:vAlign w:val="center"/>
          </w:tcPr>
          <w:p>
            <w:r>
              <w:rPr>
                <w:rFonts w:ascii="Calibri" w:hAnsi="Calibri"/>
                <w:color w:val="172B4D"/>
                <w:sz w:val="18"/>
              </w:rPr>
              <w:t>BEDROCK_EMBEDDING_MODEL_ID</w:t>
            </w:r>
          </w:p>
        </w:tc>
        <w:tc>
          <w:tcPr>
            <w:tcW w:type="dxa" w:w="3216"/>
            <w:tcMar>
              <w:top w:w="100" w:type="dxa"/>
              <w:start w:w="120" w:type="dxa"/>
              <w:bottom w:w="100" w:type="dxa"/>
              <w:end w:w="120" w:type="dxa"/>
            </w:tcMar>
            <w:vAlign w:val="center"/>
          </w:tcPr>
          <w:p>
            <w:r>
              <w:t>Embedding model used for vector retrieval</w:t>
            </w:r>
          </w:p>
        </w:tc>
        <w:tc>
          <w:tcPr>
            <w:tcW w:type="dxa" w:w="3216"/>
            <w:tcMar>
              <w:top w:w="100" w:type="dxa"/>
              <w:start w:w="120" w:type="dxa"/>
              <w:bottom w:w="100" w:type="dxa"/>
              <w:end w:w="120" w:type="dxa"/>
            </w:tcMar>
            <w:vAlign w:val="center"/>
          </w:tcPr>
          <w:p>
            <w:r>
              <w:rPr>
                <w:rFonts w:ascii="Calibri" w:hAnsi="Calibri"/>
                <w:color w:val="172B4D"/>
                <w:sz w:val="18"/>
              </w:rPr>
              <w:t>amazon.titan-embed-text-v2:0</w:t>
            </w:r>
          </w:p>
        </w:tc>
      </w:tr>
      <w:tr>
        <w:tc>
          <w:tcPr>
            <w:tcW w:type="dxa" w:w="3216"/>
            <w:tcMar>
              <w:top w:w="100" w:type="dxa"/>
              <w:start w:w="120" w:type="dxa"/>
              <w:bottom w:w="100" w:type="dxa"/>
              <w:end w:w="120" w:type="dxa"/>
            </w:tcMar>
            <w:vAlign w:val="center"/>
          </w:tcPr>
          <w:p>
            <w:r>
              <w:rPr>
                <w:rFonts w:ascii="Calibri" w:hAnsi="Calibri"/>
                <w:color w:val="172B4D"/>
                <w:sz w:val="18"/>
              </w:rPr>
              <w:t>REPORTS_BUCKET</w:t>
            </w:r>
          </w:p>
        </w:tc>
        <w:tc>
          <w:tcPr>
            <w:tcW w:type="dxa" w:w="3216"/>
            <w:tcMar>
              <w:top w:w="100" w:type="dxa"/>
              <w:start w:w="120" w:type="dxa"/>
              <w:bottom w:w="100" w:type="dxa"/>
              <w:end w:w="120" w:type="dxa"/>
            </w:tcMar>
            <w:vAlign w:val="center"/>
          </w:tcPr>
          <w:p>
            <w:r>
              <w:rPr>
                <w:rFonts w:ascii="Calibri" w:hAnsi="Calibri"/>
                <w:color w:val="172B4D"/>
                <w:sz w:val="18"/>
              </w:rPr>
              <w:t>S3 bucket containing reports</w:t>
            </w:r>
          </w:p>
        </w:tc>
        <w:tc>
          <w:tcPr>
            <w:tcW w:type="dxa" w:w="3216"/>
            <w:tcMar>
              <w:top w:w="100" w:type="dxa"/>
              <w:start w:w="120" w:type="dxa"/>
              <w:bottom w:w="100" w:type="dxa"/>
              <w:end w:w="120" w:type="dxa"/>
            </w:tcMar>
            <w:vAlign w:val="center"/>
          </w:tcPr>
          <w:p>
            <w:r>
              <w:t>dev-dsmay-stock-agent-bucket</w:t>
            </w:r>
          </w:p>
        </w:tc>
      </w:tr>
      <w:tr>
        <w:tc>
          <w:tcPr>
            <w:tcW w:type="dxa" w:w="3216"/>
            <w:tcMar>
              <w:top w:w="100" w:type="dxa"/>
              <w:start w:w="120" w:type="dxa"/>
              <w:bottom w:w="100" w:type="dxa"/>
              <w:end w:w="120" w:type="dxa"/>
            </w:tcMar>
            <w:vAlign w:val="center"/>
          </w:tcPr>
          <w:p>
            <w:r>
              <w:rPr>
                <w:rFonts w:ascii="Calibri" w:hAnsi="Calibri"/>
                <w:color w:val="172B4D"/>
                <w:sz w:val="18"/>
              </w:rPr>
              <w:t>REPORTS_PREFIX</w:t>
            </w:r>
          </w:p>
        </w:tc>
        <w:tc>
          <w:tcPr>
            <w:tcW w:type="dxa" w:w="3216"/>
            <w:tcMar>
              <w:top w:w="100" w:type="dxa"/>
              <w:start w:w="120" w:type="dxa"/>
              <w:bottom w:w="100" w:type="dxa"/>
              <w:end w:w="120" w:type="dxa"/>
            </w:tcMar>
            <w:vAlign w:val="center"/>
          </w:tcPr>
          <w:p>
            <w:r>
              <w:rPr>
                <w:rFonts w:ascii="Calibri" w:hAnsi="Calibri"/>
                <w:color w:val="172B4D"/>
                <w:sz w:val="18"/>
              </w:rPr>
              <w:t>Root S3 folder</w:t>
            </w:r>
          </w:p>
        </w:tc>
        <w:tc>
          <w:tcPr>
            <w:tcW w:type="dxa" w:w="3216"/>
            <w:tcMar>
              <w:top w:w="100" w:type="dxa"/>
              <w:start w:w="120" w:type="dxa"/>
              <w:bottom w:w="100" w:type="dxa"/>
              <w:end w:w="120" w:type="dxa"/>
            </w:tcMar>
            <w:vAlign w:val="center"/>
          </w:tcPr>
          <w:p>
            <w:r>
              <w:rPr>
                <w:rFonts w:ascii="Calibri" w:hAnsi="Calibri"/>
                <w:color w:val="172B4D"/>
                <w:sz w:val="18"/>
              </w:rPr>
              <w:t>financial-reports</w:t>
            </w:r>
          </w:p>
        </w:tc>
      </w:tr>
      <w:tr>
        <w:tc>
          <w:tcPr>
            <w:tcW w:type="dxa" w:w="3216"/>
            <w:tcMar>
              <w:top w:w="100" w:type="dxa"/>
              <w:start w:w="120" w:type="dxa"/>
              <w:bottom w:w="100" w:type="dxa"/>
              <w:end w:w="120" w:type="dxa"/>
            </w:tcMar>
            <w:vAlign w:val="center"/>
          </w:tcPr>
          <w:p>
            <w:r>
              <w:rPr>
                <w:rFonts w:ascii="Calibri" w:hAnsi="Calibri"/>
                <w:color w:val="172B4D"/>
                <w:sz w:val="18"/>
              </w:rPr>
              <w:t>SEC_USER_AGENT</w:t>
            </w:r>
          </w:p>
        </w:tc>
        <w:tc>
          <w:tcPr>
            <w:tcW w:type="dxa" w:w="3216"/>
            <w:tcMar>
              <w:top w:w="100" w:type="dxa"/>
              <w:start w:w="120" w:type="dxa"/>
              <w:bottom w:w="100" w:type="dxa"/>
              <w:end w:w="120" w:type="dxa"/>
            </w:tcMar>
            <w:vAlign w:val="center"/>
          </w:tcPr>
          <w:p>
            <w:r>
              <w:rPr>
                <w:rFonts w:ascii="Calibri" w:hAnsi="Calibri"/>
                <w:color w:val="172B4D"/>
                <w:sz w:val="18"/>
              </w:rPr>
              <w:t>Identification required by SEC fair-access policy</w:t>
            </w:r>
          </w:p>
        </w:tc>
        <w:tc>
          <w:tcPr>
            <w:tcW w:type="dxa" w:w="3216"/>
            <w:tcMar>
              <w:top w:w="100" w:type="dxa"/>
              <w:start w:w="120" w:type="dxa"/>
              <w:bottom w:w="100" w:type="dxa"/>
              <w:end w:w="120" w:type="dxa"/>
            </w:tcMar>
            <w:vAlign w:val="center"/>
          </w:tcPr>
          <w:p>
            <w:r>
              <w:rPr>
                <w:rFonts w:ascii="Calibri" w:hAnsi="Calibri"/>
                <w:color w:val="172B4D"/>
                <w:sz w:val="18"/>
              </w:rPr>
              <w:t>Application name and monitored email</w:t>
            </w:r>
          </w:p>
        </w:tc>
      </w:tr>
      <w:tr>
        <w:tc>
          <w:tcPr>
            <w:tcW w:type="dxa" w:w="3216"/>
            <w:tcMar>
              <w:top w:w="100" w:type="dxa"/>
              <w:start w:w="120" w:type="dxa"/>
              <w:bottom w:w="100" w:type="dxa"/>
              <w:end w:w="120" w:type="dxa"/>
            </w:tcMar>
            <w:vAlign w:val="center"/>
          </w:tcPr>
          <w:p>
            <w:r>
              <w:rPr>
                <w:rFonts w:ascii="Calibri" w:hAnsi="Calibri"/>
                <w:color w:val="172B4D"/>
                <w:sz w:val="18"/>
              </w:rPr>
              <w:t>STOCK_UNIVERSE</w:t>
            </w:r>
          </w:p>
        </w:tc>
        <w:tc>
          <w:tcPr>
            <w:tcW w:type="dxa" w:w="3216"/>
            <w:tcMar>
              <w:top w:w="100" w:type="dxa"/>
              <w:start w:w="120" w:type="dxa"/>
              <w:bottom w:w="100" w:type="dxa"/>
              <w:end w:w="120" w:type="dxa"/>
            </w:tcMar>
            <w:vAlign w:val="center"/>
          </w:tcPr>
          <w:p>
            <w:r>
              <w:rPr>
                <w:rFonts w:ascii="Calibri" w:hAnsi="Calibri"/>
                <w:color w:val="172B4D"/>
                <w:sz w:val="18"/>
              </w:rPr>
              <w:t>Comma-separated allowed tickers</w:t>
            </w:r>
          </w:p>
        </w:tc>
        <w:tc>
          <w:tcPr>
            <w:tcW w:type="dxa" w:w="3216"/>
            <w:tcMar>
              <w:top w:w="100" w:type="dxa"/>
              <w:start w:w="120" w:type="dxa"/>
              <w:bottom w:w="100" w:type="dxa"/>
              <w:end w:w="120" w:type="dxa"/>
            </w:tcMar>
            <w:vAlign w:val="center"/>
          </w:tcPr>
          <w:p>
            <w:r>
              <w:rPr>
                <w:rFonts w:ascii="Calibri" w:hAnsi="Calibri"/>
                <w:color w:val="172B4D"/>
                <w:sz w:val="18"/>
              </w:rPr>
              <w:t>Ten configured symbols</w:t>
            </w:r>
          </w:p>
        </w:tc>
      </w:tr>
      <w:tr>
        <w:tc>
          <w:tcPr>
            <w:tcW w:type="dxa" w:w="3216"/>
          </w:tcPr>
          <w:p>
            <w:r>
              <w:t>EMBEDDING_DIMENSION</w:t>
            </w:r>
          </w:p>
        </w:tc>
        <w:tc>
          <w:tcPr>
            <w:tcW w:type="dxa" w:w="3216"/>
          </w:tcPr>
          <w:p>
            <w:r>
              <w:t>Titan vector dimension</w:t>
            </w:r>
          </w:p>
        </w:tc>
        <w:tc>
          <w:tcPr>
            <w:tcW w:type="dxa" w:w="3216"/>
          </w:tcPr>
          <w:p>
            <w:r>
              <w:t>1024</w:t>
            </w:r>
          </w:p>
        </w:tc>
      </w:tr>
      <w:tr>
        <w:tc>
          <w:tcPr>
            <w:tcW w:type="dxa" w:w="3216"/>
          </w:tcPr>
          <w:p>
            <w:r>
              <w:t>OPENSEARCH_ENDPOINT</w:t>
            </w:r>
          </w:p>
        </w:tc>
        <w:tc>
          <w:tcPr>
            <w:tcW w:type="dxa" w:w="3216"/>
          </w:tcPr>
          <w:p>
            <w:r>
              <w:t>OpenSearch Serverless collection endpoint</w:t>
            </w:r>
          </w:p>
        </w:tc>
        <w:tc>
          <w:tcPr>
            <w:tcW w:type="dxa" w:w="3216"/>
          </w:tcPr>
          <w:p>
            <w:r>
              <w:t>https://8sxalipy464p1anut4s6.eu-west-2.aoss.amazonaws.com</w:t>
            </w:r>
          </w:p>
        </w:tc>
      </w:tr>
      <w:tr>
        <w:tc>
          <w:tcPr>
            <w:tcW w:type="dxa" w:w="3216"/>
          </w:tcPr>
          <w:p>
            <w:r>
              <w:t>OPENSEARCH_INDEX</w:t>
            </w:r>
          </w:p>
        </w:tc>
        <w:tc>
          <w:tcPr>
            <w:tcW w:type="dxa" w:w="3216"/>
          </w:tcPr>
          <w:p>
            <w:r>
              <w:t>Vector index name</w:t>
            </w:r>
          </w:p>
        </w:tc>
        <w:tc>
          <w:tcPr>
            <w:tcW w:type="dxa" w:w="3216"/>
          </w:tcPr>
          <w:p>
            <w:r>
              <w:t>financial-report-chunks</w:t>
            </w:r>
          </w:p>
        </w:tc>
      </w:tr>
    </w:tbl>
    <w:p>
      <w:pPr>
        <w:spacing w:after="20"/>
      </w:pPr>
    </w:p>
    <w:p>
      <w:pPr>
        <w:pStyle w:val="Heading1"/>
        <w:keepNext/>
      </w:pPr>
      <w:r>
        <w:t>7. Phase 2 - Streamlit user interface</w:t>
      </w:r>
    </w:p>
    <w:p>
      <w:r>
        <w:rPr>
          <w:rFonts w:ascii="Calibri" w:hAnsi="Calibri"/>
          <w:i w:val="0"/>
          <w:color w:val="172B4D"/>
          <w:sz w:val="22"/>
        </w:rPr>
        <w:t>Streamlit was selected because it provides a fast, readable interface for Python-based analytical applications. The UI has two tabs: Agent research and the NASDAQ-10 dashboard.</w:t>
      </w:r>
    </w:p>
    <w:p>
      <w:pPr>
        <w:pStyle w:val="Heading2"/>
        <w:keepNext/>
      </w:pPr>
      <w:r>
        <w:t>7.1 Agent research tab</w:t>
      </w:r>
    </w:p>
    <w:p>
      <w:pPr>
        <w:pStyle w:val="ListBullet"/>
      </w:pPr>
      <w:r>
        <w:rPr>
          <w:rFonts w:ascii="Calibri" w:hAnsi="Calibri"/>
          <w:color w:val="172B4D"/>
          <w:sz w:val="22"/>
        </w:rPr>
        <w:t>Sidebar company selector controls the stock/report scope.</w:t>
      </w:r>
    </w:p>
    <w:p>
      <w:pPr>
        <w:pStyle w:val="ListBullet"/>
      </w:pPr>
      <w:r>
        <w:rPr>
          <w:rFonts w:ascii="Calibri" w:hAnsi="Calibri"/>
          <w:color w:val="172B4D"/>
          <w:sz w:val="22"/>
        </w:rPr>
        <w:t>File uploader accepts PDF, TXT, and Markdown files.</w:t>
      </w:r>
    </w:p>
    <w:p>
      <w:pPr>
        <w:pStyle w:val="ListBullet"/>
      </w:pPr>
      <w:r>
        <w:rPr>
          <w:rFonts w:ascii="Calibri" w:hAnsi="Calibri"/>
          <w:color w:val="172B4D"/>
          <w:sz w:val="22"/>
        </w:rPr>
        <w:t>Question box accepts natural-language requests.</w:t>
      </w:r>
    </w:p>
    <w:p>
      <w:pPr>
        <w:pStyle w:val="ListBullet"/>
      </w:pPr>
      <w:r>
        <w:rPr>
          <w:rFonts w:ascii="Calibri" w:hAnsi="Calibri"/>
          <w:color w:val="172B4D"/>
          <w:sz w:val="22"/>
        </w:rPr>
        <w:t>Run research button invokes the Supervisor Agent.</w:t>
      </w:r>
    </w:p>
    <w:p>
      <w:pPr>
        <w:pStyle w:val="ListBullet"/>
      </w:pPr>
      <w:r>
        <w:rPr>
          <w:rFonts w:ascii="Calibri" w:hAnsi="Calibri"/>
          <w:color w:val="172B4D"/>
          <w:sz w:val="22"/>
        </w:rPr>
        <w:t>Answer sections are displayed with source links or source identifiers.</w:t>
      </w:r>
    </w:p>
    <w:p>
      <w:pPr>
        <w:pStyle w:val="Heading2"/>
        <w:keepNext/>
      </w:pPr>
      <w:r>
        <w:t>7.2 Dashboard tab</w:t>
      </w:r>
    </w:p>
    <w:p>
      <w:pPr>
        <w:pStyle w:val="ListBullet"/>
      </w:pPr>
      <w:r>
        <w:rPr>
          <w:rFonts w:ascii="Calibri" w:hAnsi="Calibri"/>
          <w:color w:val="172B4D"/>
          <w:sz w:val="22"/>
        </w:rPr>
        <w:t>Refresh button retrieves the ten-company snapshot.</w:t>
      </w:r>
    </w:p>
    <w:p>
      <w:pPr>
        <w:pStyle w:val="ListBullet"/>
      </w:pPr>
      <w:r>
        <w:rPr>
          <w:rFonts w:ascii="Calibri" w:hAnsi="Calibri"/>
          <w:color w:val="172B4D"/>
          <w:sz w:val="22"/>
        </w:rPr>
        <w:t>Typed Streamlit NumberColumn formatting displays currency safely.</w:t>
      </w:r>
    </w:p>
    <w:p>
      <w:pPr>
        <w:pStyle w:val="ListBullet"/>
      </w:pPr>
      <w:r>
        <w:rPr>
          <w:rFonts w:ascii="Calibri" w:hAnsi="Calibri"/>
          <w:color w:val="172B4D"/>
          <w:sz w:val="22"/>
        </w:rPr>
        <w:t>Mixed or missing vendor values are converted to numeric nulls rather than crashing Pandas Styler.</w:t>
      </w:r>
    </w:p>
    <w:p>
      <w:pPr>
        <w:pStyle w:val="ListBullet"/>
      </w:pPr>
      <w:r>
        <w:rPr>
          <w:rFonts w:ascii="Calibri" w:hAnsi="Calibri"/>
          <w:color w:val="172B4D"/>
          <w:sz w:val="22"/>
        </w:rPr>
        <w:t>A bar chart displays available prices and skips unavailable values.</w:t>
      </w:r>
    </w:p>
    <w:tbl>
      <w:tblPr>
        <w:tblW w:type="auto" w:w="0"/>
        <w:jc w:val="center"/>
        <w:tblLayout w:type="fixed"/>
        <w:tblLook w:firstColumn="1" w:firstRow="1" w:lastColumn="0" w:lastRow="0" w:noHBand="0" w:noVBand="1" w:val="04A0"/>
      </w:tblPr>
      <w:tblGrid>
        <w:gridCol w:w="9648"/>
      </w:tblGrid>
      <w:tr>
        <w:tc>
          <w:tcPr>
            <w:tcW w:type="dxa" w:w="9000"/>
            <w:shd w:fill="FFF7D6"/>
            <w:tcMar>
              <w:top w:w="150" w:type="dxa"/>
              <w:start w:w="170" w:type="dxa"/>
              <w:bottom w:w="150" w:type="dxa"/>
              <w:end w:w="170" w:type="dxa"/>
            </w:tcMar>
          </w:tcPr>
          <w:p>
            <w:pPr>
              <w:spacing w:after="80"/>
            </w:pPr>
            <w:r>
              <w:rPr>
                <w:rFonts w:ascii="Calibri" w:hAnsi="Calibri"/>
                <w:b/>
                <w:color w:val="CF9F02"/>
                <w:sz w:val="22"/>
              </w:rPr>
              <w:t>Resolved UI defect</w:t>
            </w:r>
          </w:p>
          <w:p>
            <w:pPr>
              <w:spacing w:after="0"/>
            </w:pPr>
            <w:r>
              <w:rPr>
                <w:rFonts w:ascii="Calibri" w:hAnsi="Calibri"/>
                <w:color w:val="172B4D"/>
                <w:sz w:val="20"/>
              </w:rPr>
              <w:t>The original dashboard used Pandas Styler with currency formatting. A missing value caused a runtime traceback. The UI now uses Streamlit column configuration, numeric coercion, and empty-result handling.</w:t>
            </w:r>
          </w:p>
        </w:tc>
      </w:tr>
    </w:tbl>
    <w:p>
      <w:pPr>
        <w:spacing w:after="20"/>
      </w:pPr>
    </w:p>
    <w:p>
      <w:pPr>
        <w:pStyle w:val="Heading1"/>
        <w:keepNext/>
      </w:pPr>
      <w:r>
        <w:t>8. Phase 3 - Supervisor Agent</w:t>
      </w:r>
    </w:p>
    <w:p>
      <w:r>
        <w:rPr>
          <w:rFonts w:ascii="Calibri" w:hAnsi="Calibri"/>
          <w:i w:val="0"/>
          <w:color w:val="172B4D"/>
          <w:sz w:val="22"/>
        </w:rPr>
        <w:t>The Supervisor Agent is deterministic orchestration code rather than an unconstrained autonomous model. This makes routing transparent, testable, and inexpensive.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168"/>
            <w:shd w:fill="E9F2FF"/>
            <w:tcMar>
              <w:top w:w="100" w:type="dxa"/>
              <w:start w:w="120" w:type="dxa"/>
              <w:bottom w:w="100" w:type="dxa"/>
              <w:end w:w="120" w:type="dxa"/>
            </w:tcMar>
            <w:vAlign w:val="center"/>
          </w:tcPr>
          <w:p>
            <w:pPr>
              <w:jc w:val="left"/>
            </w:pPr>
            <w:r>
              <w:rPr>
                <w:rFonts w:ascii="Calibri" w:hAnsi="Calibri"/>
                <w:b/>
                <w:color w:val="172B4D"/>
                <w:sz w:val="19"/>
              </w:rPr>
              <w:t>Request signal</w:t>
            </w:r>
          </w:p>
        </w:tc>
        <w:tc>
          <w:tcPr>
            <w:tcW w:type="dxa" w:w="1944"/>
            <w:shd w:fill="E9F2FF"/>
            <w:tcMar>
              <w:top w:w="100" w:type="dxa"/>
              <w:start w:w="120" w:type="dxa"/>
              <w:bottom w:w="100" w:type="dxa"/>
              <w:end w:w="120" w:type="dxa"/>
            </w:tcMar>
            <w:vAlign w:val="center"/>
          </w:tcPr>
          <w:p>
            <w:pPr>
              <w:jc w:val="left"/>
            </w:pPr>
            <w:r>
              <w:rPr>
                <w:rFonts w:ascii="Calibri" w:hAnsi="Calibri"/>
                <w:b/>
                <w:color w:val="172B4D"/>
                <w:sz w:val="19"/>
              </w:rPr>
              <w:t>Selected route</w:t>
            </w:r>
          </w:p>
        </w:tc>
        <w:tc>
          <w:tcPr>
            <w:tcW w:type="dxa" w:w="3888"/>
            <w:shd w:fill="E9F2FF"/>
            <w:tcMar>
              <w:top w:w="100" w:type="dxa"/>
              <w:start w:w="120" w:type="dxa"/>
              <w:bottom w:w="100" w:type="dxa"/>
              <w:end w:w="120" w:type="dxa"/>
            </w:tcMar>
            <w:vAlign w:val="center"/>
          </w:tcPr>
          <w:p>
            <w:pPr>
              <w:jc w:val="left"/>
            </w:pPr>
            <w:r>
              <w:rPr>
                <w:rFonts w:ascii="Calibri" w:hAnsi="Calibri"/>
                <w:b/>
                <w:color w:val="172B4D"/>
                <w:sz w:val="19"/>
              </w:rPr>
              <w:t>Example</w:t>
            </w:r>
          </w:p>
        </w:tc>
      </w:tr>
      <w:tr>
        <w:tc>
          <w:tcPr>
            <w:tcW w:type="dxa" w:w="3216"/>
            <w:tcMar>
              <w:top w:w="100" w:type="dxa"/>
              <w:start w:w="120" w:type="dxa"/>
              <w:bottom w:w="100" w:type="dxa"/>
              <w:end w:w="120" w:type="dxa"/>
            </w:tcMar>
            <w:vAlign w:val="center"/>
          </w:tcPr>
          <w:p>
            <w:r>
              <w:rPr>
                <w:rFonts w:ascii="Calibri" w:hAnsi="Calibri"/>
                <w:color w:val="172B4D"/>
                <w:sz w:val="18"/>
              </w:rPr>
              <w:t>File uploaded</w:t>
            </w:r>
          </w:p>
        </w:tc>
        <w:tc>
          <w:tcPr>
            <w:tcW w:type="dxa" w:w="3216"/>
            <w:tcMar>
              <w:top w:w="100" w:type="dxa"/>
              <w:start w:w="120" w:type="dxa"/>
              <w:bottom w:w="100" w:type="dxa"/>
              <w:end w:w="120" w:type="dxa"/>
            </w:tcMar>
            <w:vAlign w:val="center"/>
          </w:tcPr>
          <w:p>
            <w:r>
              <w:rPr>
                <w:rFonts w:ascii="Calibri" w:hAnsi="Calibri"/>
                <w:color w:val="172B4D"/>
                <w:sz w:val="18"/>
              </w:rPr>
              <w:t>RAG</w:t>
            </w:r>
          </w:p>
        </w:tc>
        <w:tc>
          <w:tcPr>
            <w:tcW w:type="dxa" w:w="3216"/>
            <w:tcMar>
              <w:top w:w="100" w:type="dxa"/>
              <w:start w:w="120" w:type="dxa"/>
              <w:bottom w:w="100" w:type="dxa"/>
              <w:end w:w="120" w:type="dxa"/>
            </w:tcMar>
            <w:vAlign w:val="center"/>
          </w:tcPr>
          <w:p>
            <w:r>
              <w:rPr>
                <w:rFonts w:ascii="Calibri" w:hAnsi="Calibri"/>
                <w:color w:val="172B4D"/>
                <w:sz w:val="18"/>
              </w:rPr>
              <w:t>Summarize this annual report.</w:t>
            </w:r>
          </w:p>
        </w:tc>
      </w:tr>
      <w:tr>
        <w:tc>
          <w:tcPr>
            <w:tcW w:type="dxa" w:w="3216"/>
            <w:tcMar>
              <w:top w:w="100" w:type="dxa"/>
              <w:start w:w="120" w:type="dxa"/>
              <w:bottom w:w="100" w:type="dxa"/>
              <w:end w:w="120" w:type="dxa"/>
            </w:tcMar>
            <w:vAlign w:val="center"/>
          </w:tcPr>
          <w:p>
            <w:r>
              <w:rPr>
                <w:rFonts w:ascii="Calibri" w:hAnsi="Calibri"/>
                <w:color w:val="172B4D"/>
                <w:sz w:val="18"/>
              </w:rPr>
              <w:t>report, revenue, filing, 10-K, 10-Q</w:t>
            </w:r>
          </w:p>
        </w:tc>
        <w:tc>
          <w:tcPr>
            <w:tcW w:type="dxa" w:w="3216"/>
            <w:tcMar>
              <w:top w:w="100" w:type="dxa"/>
              <w:start w:w="120" w:type="dxa"/>
              <w:bottom w:w="100" w:type="dxa"/>
              <w:end w:w="120" w:type="dxa"/>
            </w:tcMar>
            <w:vAlign w:val="center"/>
          </w:tcPr>
          <w:p>
            <w:r>
              <w:rPr>
                <w:rFonts w:ascii="Calibri" w:hAnsi="Calibri"/>
                <w:color w:val="172B4D"/>
                <w:sz w:val="18"/>
              </w:rPr>
              <w:t>RAG</w:t>
            </w:r>
          </w:p>
        </w:tc>
        <w:tc>
          <w:tcPr>
            <w:tcW w:type="dxa" w:w="3216"/>
            <w:tcMar>
              <w:top w:w="100" w:type="dxa"/>
              <w:start w:w="120" w:type="dxa"/>
              <w:bottom w:w="100" w:type="dxa"/>
              <w:end w:w="120" w:type="dxa"/>
            </w:tcMar>
            <w:vAlign w:val="center"/>
          </w:tcPr>
          <w:p>
            <w:r>
              <w:rPr>
                <w:rFonts w:ascii="Calibri" w:hAnsi="Calibri"/>
                <w:color w:val="172B4D"/>
                <w:sz w:val="18"/>
              </w:rPr>
              <w:t>What are the revenue risks?</w:t>
            </w:r>
          </w:p>
        </w:tc>
      </w:tr>
      <w:tr>
        <w:tc>
          <w:tcPr>
            <w:tcW w:type="dxa" w:w="3216"/>
            <w:tcMar>
              <w:top w:w="100" w:type="dxa"/>
              <w:start w:w="120" w:type="dxa"/>
              <w:bottom w:w="100" w:type="dxa"/>
              <w:end w:w="120" w:type="dxa"/>
            </w:tcMar>
            <w:vAlign w:val="center"/>
          </w:tcPr>
          <w:p>
            <w:r>
              <w:rPr>
                <w:rFonts w:ascii="Calibri" w:hAnsi="Calibri"/>
                <w:color w:val="172B4D"/>
                <w:sz w:val="18"/>
              </w:rPr>
              <w:t>price, stock, market, quote, performance</w:t>
            </w:r>
          </w:p>
        </w:tc>
        <w:tc>
          <w:tcPr>
            <w:tcW w:type="dxa" w:w="3216"/>
            <w:tcMar>
              <w:top w:w="100" w:type="dxa"/>
              <w:start w:w="120" w:type="dxa"/>
              <w:bottom w:w="100" w:type="dxa"/>
              <w:end w:w="120" w:type="dxa"/>
            </w:tcMar>
            <w:vAlign w:val="center"/>
          </w:tcPr>
          <w:p>
            <w:r>
              <w:rPr>
                <w:rFonts w:ascii="Calibri" w:hAnsi="Calibri"/>
                <w:color w:val="172B4D"/>
                <w:sz w:val="18"/>
              </w:rPr>
              <w:t>Stock Data</w:t>
            </w:r>
          </w:p>
        </w:tc>
        <w:tc>
          <w:tcPr>
            <w:tcW w:type="dxa" w:w="3216"/>
            <w:tcMar>
              <w:top w:w="100" w:type="dxa"/>
              <w:start w:w="120" w:type="dxa"/>
              <w:bottom w:w="100" w:type="dxa"/>
              <w:end w:w="120" w:type="dxa"/>
            </w:tcMar>
            <w:vAlign w:val="center"/>
          </w:tcPr>
          <w:p>
            <w:r>
              <w:rPr>
                <w:rFonts w:ascii="Calibri" w:hAnsi="Calibri"/>
                <w:color w:val="172B4D"/>
                <w:sz w:val="18"/>
              </w:rPr>
              <w:t>Show AAPL price.</w:t>
            </w:r>
          </w:p>
        </w:tc>
      </w:tr>
      <w:tr>
        <w:tc>
          <w:tcPr>
            <w:tcW w:type="dxa" w:w="3216"/>
            <w:tcMar>
              <w:top w:w="100" w:type="dxa"/>
              <w:start w:w="120" w:type="dxa"/>
              <w:bottom w:w="100" w:type="dxa"/>
              <w:end w:w="120" w:type="dxa"/>
            </w:tcMar>
            <w:vAlign w:val="center"/>
          </w:tcPr>
          <w:p>
            <w:r>
              <w:rPr>
                <w:rFonts w:ascii="Calibri" w:hAnsi="Calibri"/>
                <w:color w:val="172B4D"/>
                <w:sz w:val="18"/>
              </w:rPr>
              <w:t>No clear keyword</w:t>
            </w:r>
          </w:p>
        </w:tc>
        <w:tc>
          <w:tcPr>
            <w:tcW w:type="dxa" w:w="3216"/>
            <w:tcMar>
              <w:top w:w="100" w:type="dxa"/>
              <w:start w:w="120" w:type="dxa"/>
              <w:bottom w:w="100" w:type="dxa"/>
              <w:end w:w="120" w:type="dxa"/>
            </w:tcMar>
            <w:vAlign w:val="center"/>
          </w:tcPr>
          <w:p>
            <w:r>
              <w:rPr>
                <w:rFonts w:ascii="Calibri" w:hAnsi="Calibri"/>
                <w:color w:val="172B4D"/>
                <w:sz w:val="18"/>
              </w:rPr>
              <w:t>RAG and Stock Data</w:t>
            </w:r>
          </w:p>
        </w:tc>
        <w:tc>
          <w:tcPr>
            <w:tcW w:type="dxa" w:w="3216"/>
            <w:tcMar>
              <w:top w:w="100" w:type="dxa"/>
              <w:start w:w="120" w:type="dxa"/>
              <w:bottom w:w="100" w:type="dxa"/>
              <w:end w:w="120" w:type="dxa"/>
            </w:tcMar>
            <w:vAlign w:val="center"/>
          </w:tcPr>
          <w:p>
            <w:r>
              <w:rPr>
                <w:rFonts w:ascii="Calibri" w:hAnsi="Calibri"/>
                <w:color w:val="172B4D"/>
                <w:sz w:val="18"/>
              </w:rPr>
              <w:t>Give me an overview of AAPL.</w:t>
            </w:r>
          </w:p>
        </w:tc>
      </w:tr>
    </w:tbl>
    <w:p>
      <w:pPr>
        <w:spacing w:after="20"/>
      </w:pPr>
    </w:p>
    <w:p>
      <w:pPr>
        <w:pStyle w:val="Heading2"/>
        <w:keepNext/>
      </w:pPr>
      <w:r>
        <w:t>8.1 Ticker handling</w:t>
      </w:r>
    </w:p>
    <w:p>
      <w:r>
        <w:rPr>
          <w:rFonts w:ascii="Calibri" w:hAnsi="Calibri"/>
          <w:i w:val="0"/>
          <w:color w:val="172B4D"/>
          <w:sz w:val="22"/>
        </w:rPr>
        <w:t>The Supervisor extracts ticker-like tokens from the question and keeps only values in the configured universe. If no ticker is found, it uses the tickers selected in the Streamlit sidebar or the full configured universe.</w:t>
      </w:r>
    </w:p>
    <w:p>
      <w:pPr>
        <w:pStyle w:val="Heading2"/>
        <w:keepNext/>
      </w:pPr>
      <w:r>
        <w:t>8.2 Error isolation</w:t>
      </w:r>
    </w:p>
    <w:p>
      <w:r>
        <w:rPr>
          <w:rFonts w:ascii="Calibri" w:hAnsi="Calibri"/>
          <w:i w:val="0"/>
          <w:color w:val="172B4D"/>
          <w:sz w:val="22"/>
        </w:rPr>
        <w:t>Each agent call is wrapped independently. If a vendor or AWS service is unavailable, the response reports that component as unavailable without crashing the entire Streamlit session.</w:t>
      </w:r>
    </w:p>
    <w:p>
      <w:pPr>
        <w:pStyle w:val="Heading1"/>
        <w:keepNext/>
      </w:pPr>
      <w:r>
        <w:t>9. Phase 4 - RAG Agent and document processing</w:t>
      </w:r>
    </w:p>
    <w:p>
      <w:r>
        <w:rPr>
          <w:rFonts w:ascii="Calibri" w:hAnsi="Calibri"/>
          <w:i w:val="0"/>
          <w:color w:val="172B4D"/>
          <w:sz w:val="22"/>
        </w:rPr>
        <w:t>RAG means retrieval-augmented generation. Instead of asking the model to answer from memory, the system first retrieves text from a known report and sends only that context to Bedrock.</w:t>
      </w:r>
    </w:p>
    <w:p>
      <w:pPr>
        <w:pStyle w:val="Heading2"/>
        <w:keepNext/>
      </w:pPr>
      <w:r>
        <w:t>9.1 Document extraction</w:t>
      </w:r>
    </w:p>
    <w:p>
      <w:pPr>
        <w:pStyle w:val="ListBullet"/>
      </w:pPr>
      <w:r>
        <w:rPr>
          <w:rFonts w:ascii="Calibri" w:hAnsi="Calibri"/>
          <w:color w:val="172B4D"/>
          <w:sz w:val="22"/>
        </w:rPr>
        <w:t>PDF files are read with PyPDF.</w:t>
      </w:r>
    </w:p>
    <w:p>
      <w:pPr>
        <w:pStyle w:val="ListBullet"/>
      </w:pPr>
      <w:r>
        <w:rPr>
          <w:rFonts w:ascii="Calibri" w:hAnsi="Calibri"/>
          <w:color w:val="172B4D"/>
          <w:sz w:val="22"/>
        </w:rPr>
        <w:t>HTML filings are converted to text with BeautifulSoup.</w:t>
      </w:r>
    </w:p>
    <w:p>
      <w:pPr>
        <w:pStyle w:val="ListBullet"/>
      </w:pPr>
      <w:r>
        <w:rPr>
          <w:rFonts w:ascii="Calibri" w:hAnsi="Calibri"/>
          <w:color w:val="172B4D"/>
          <w:sz w:val="22"/>
        </w:rPr>
        <w:t>Plain text and Markdown are decoded directly.</w:t>
      </w:r>
    </w:p>
    <w:p>
      <w:pPr>
        <w:pStyle w:val="ListBullet"/>
      </w:pPr>
      <w:r>
        <w:rPr>
          <w:rFonts w:ascii="Calibri" w:hAnsi="Calibri"/>
          <w:color w:val="172B4D"/>
          <w:sz w:val="22"/>
        </w:rPr>
        <w:t>Whitespace is normalized before chunking.</w:t>
      </w:r>
    </w:p>
    <w:p>
      <w:pPr>
        <w:pStyle w:val="Heading2"/>
        <w:keepNext/>
      </w:pPr>
      <w:r>
        <w:t>9.2 Chunking and retrieval</w:t>
      </w:r>
    </w:p>
    <w:p>
      <w:r>
        <w:t>Text is divided into approximately 1,400-character chunks with a 200-character overlap. Stored-report chunks are converted into normalized 1,024-dimension vectors by Amazon Titan Text Embeddings V2 and persisted in Amazon OpenSearch Serverless with ticker, reporting period, year, source, and chunk metadata. At question time, the question is embedded and a ticker-filtered k-nearest-neighbor search returns the top six passages. Uploaded-document summaries remain isolated and use only chunks from the current upload.</w:t>
      </w:r>
    </w:p>
    <w:p>
      <w:pPr>
        <w:pStyle w:val="Heading2"/>
        <w:keepNext/>
      </w:pPr>
      <w:r>
        <w:t>9.3 Source isolation</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448"/>
            <w:shd w:fill="E9F2FF"/>
            <w:tcMar>
              <w:top w:w="100" w:type="dxa"/>
              <w:start w:w="120" w:type="dxa"/>
              <w:bottom w:w="100" w:type="dxa"/>
              <w:end w:w="120" w:type="dxa"/>
            </w:tcMar>
            <w:vAlign w:val="center"/>
          </w:tcPr>
          <w:p>
            <w:pPr>
              <w:jc w:val="left"/>
            </w:pPr>
            <w:r>
              <w:rPr>
                <w:rFonts w:ascii="Calibri" w:hAnsi="Calibri"/>
                <w:b/>
                <w:color w:val="172B4D"/>
                <w:sz w:val="19"/>
              </w:rPr>
              <w:t>Request condition</w:t>
            </w:r>
          </w:p>
        </w:tc>
        <w:tc>
          <w:tcPr>
            <w:tcW w:type="dxa" w:w="3096"/>
            <w:shd w:fill="E9F2FF"/>
            <w:tcMar>
              <w:top w:w="100" w:type="dxa"/>
              <w:start w:w="120" w:type="dxa"/>
              <w:bottom w:w="100" w:type="dxa"/>
              <w:end w:w="120" w:type="dxa"/>
            </w:tcMar>
            <w:vAlign w:val="center"/>
          </w:tcPr>
          <w:p>
            <w:pPr>
              <w:jc w:val="left"/>
            </w:pPr>
            <w:r>
              <w:rPr>
                <w:rFonts w:ascii="Calibri" w:hAnsi="Calibri"/>
                <w:b/>
                <w:color w:val="172B4D"/>
                <w:sz w:val="19"/>
              </w:rPr>
              <w:t>Documents searched</w:t>
            </w:r>
          </w:p>
        </w:tc>
        <w:tc>
          <w:tcPr>
            <w:tcW w:type="dxa" w:w="3456"/>
            <w:shd w:fill="E9F2FF"/>
            <w:tcMar>
              <w:top w:w="100" w:type="dxa"/>
              <w:start w:w="120" w:type="dxa"/>
              <w:bottom w:w="100" w:type="dxa"/>
              <w:end w:w="120" w:type="dxa"/>
            </w:tcMar>
            <w:vAlign w:val="center"/>
          </w:tcPr>
          <w:p>
            <w:pPr>
              <w:jc w:val="left"/>
            </w:pPr>
            <w:r>
              <w:rPr>
                <w:rFonts w:ascii="Calibri" w:hAnsi="Calibri"/>
                <w:b/>
                <w:color w:val="172B4D"/>
                <w:sz w:val="19"/>
              </w:rPr>
              <w:t>Reason</w:t>
            </w:r>
          </w:p>
        </w:tc>
      </w:tr>
      <w:tr>
        <w:tc>
          <w:tcPr>
            <w:tcW w:type="dxa" w:w="3216"/>
            <w:tcMar>
              <w:top w:w="100" w:type="dxa"/>
              <w:start w:w="120" w:type="dxa"/>
              <w:bottom w:w="100" w:type="dxa"/>
              <w:end w:w="120" w:type="dxa"/>
            </w:tcMar>
            <w:vAlign w:val="center"/>
          </w:tcPr>
          <w:p>
            <w:r>
              <w:rPr>
                <w:rFonts w:ascii="Calibri" w:hAnsi="Calibri"/>
                <w:color w:val="172B4D"/>
                <w:sz w:val="18"/>
              </w:rPr>
              <w:t>Uploaded file is present</w:t>
            </w:r>
          </w:p>
        </w:tc>
        <w:tc>
          <w:tcPr>
            <w:tcW w:type="dxa" w:w="3216"/>
            <w:tcMar>
              <w:top w:w="100" w:type="dxa"/>
              <w:start w:w="120" w:type="dxa"/>
              <w:bottom w:w="100" w:type="dxa"/>
              <w:end w:w="120" w:type="dxa"/>
            </w:tcMar>
            <w:vAlign w:val="center"/>
          </w:tcPr>
          <w:p>
            <w:r>
              <w:rPr>
                <w:rFonts w:ascii="Calibri" w:hAnsi="Calibri"/>
                <w:color w:val="172B4D"/>
                <w:sz w:val="18"/>
              </w:rPr>
              <w:t>Uploaded file only</w:t>
            </w:r>
          </w:p>
        </w:tc>
        <w:tc>
          <w:tcPr>
            <w:tcW w:type="dxa" w:w="3216"/>
            <w:tcMar>
              <w:top w:w="100" w:type="dxa"/>
              <w:start w:w="120" w:type="dxa"/>
              <w:bottom w:w="100" w:type="dxa"/>
              <w:end w:w="120" w:type="dxa"/>
            </w:tcMar>
            <w:vAlign w:val="center"/>
          </w:tcPr>
          <w:p>
            <w:r>
              <w:rPr>
                <w:rFonts w:ascii="Calibri" w:hAnsi="Calibri"/>
                <w:color w:val="172B4D"/>
                <w:sz w:val="18"/>
              </w:rPr>
              <w:t>Prevents cross-company contamination and respects user intent.</w:t>
            </w:r>
          </w:p>
        </w:tc>
      </w:tr>
      <w:tr>
        <w:tc>
          <w:tcPr>
            <w:tcW w:type="dxa" w:w="3216"/>
            <w:tcMar>
              <w:top w:w="100" w:type="dxa"/>
              <w:start w:w="120" w:type="dxa"/>
              <w:bottom w:w="100" w:type="dxa"/>
              <w:end w:w="120" w:type="dxa"/>
            </w:tcMar>
            <w:vAlign w:val="center"/>
          </w:tcPr>
          <w:p>
            <w:r>
              <w:rPr>
                <w:rFonts w:ascii="Calibri" w:hAnsi="Calibri"/>
                <w:color w:val="172B4D"/>
                <w:sz w:val="18"/>
              </w:rPr>
              <w:t>No uploaded file</w:t>
            </w:r>
          </w:p>
        </w:tc>
        <w:tc>
          <w:tcPr>
            <w:tcW w:type="dxa" w:w="3216"/>
            <w:tcMar>
              <w:top w:w="100" w:type="dxa"/>
              <w:start w:w="120" w:type="dxa"/>
              <w:bottom w:w="100" w:type="dxa"/>
              <w:end w:w="120" w:type="dxa"/>
            </w:tcMar>
            <w:vAlign w:val="center"/>
          </w:tcPr>
          <w:p>
            <w:r>
              <w:rPr>
                <w:rFonts w:ascii="Calibri" w:hAnsi="Calibri"/>
                <w:color w:val="172B4D"/>
                <w:sz w:val="18"/>
              </w:rPr>
              <w:t>S3 reports for selected ticker scope</w:t>
            </w:r>
          </w:p>
        </w:tc>
        <w:tc>
          <w:tcPr>
            <w:tcW w:type="dxa" w:w="3216"/>
            <w:tcMar>
              <w:top w:w="100" w:type="dxa"/>
              <w:start w:w="120" w:type="dxa"/>
              <w:bottom w:w="100" w:type="dxa"/>
              <w:end w:w="120" w:type="dxa"/>
            </w:tcMar>
            <w:vAlign w:val="center"/>
          </w:tcPr>
          <w:p>
            <w:r>
              <w:rPr>
                <w:rFonts w:ascii="Calibri" w:hAnsi="Calibri"/>
                <w:color w:val="172B4D"/>
                <w:sz w:val="18"/>
              </w:rPr>
              <w:t>Enables reusable cloud report analysis.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000"/>
            <w:shd w:fill="FFF0F0"/>
            <w:tcMar>
              <w:top w:w="150" w:type="dxa"/>
              <w:start w:w="170" w:type="dxa"/>
              <w:bottom w:w="150" w:type="dxa"/>
              <w:end w:w="170" w:type="dxa"/>
            </w:tcMar>
          </w:tcPr>
          <w:p>
            <w:pPr>
              <w:spacing w:after="80"/>
            </w:pPr>
            <w:r>
              <w:rPr>
                <w:rFonts w:ascii="Calibri" w:hAnsi="Calibri"/>
                <w:b/>
                <w:color w:val="C9372C"/>
                <w:sz w:val="22"/>
              </w:rPr>
              <w:t>Critical quality control</w:t>
            </w:r>
          </w:p>
          <w:p>
            <w:pPr>
              <w:spacing w:after="0"/>
            </w:pPr>
            <w:r>
              <w:rPr>
                <w:rFonts w:ascii="Calibri" w:hAnsi="Calibri"/>
                <w:color w:val="172B4D"/>
                <w:sz w:val="20"/>
              </w:rPr>
              <w:t>An earlier implementation placed uploaded AAPL content and selected S3 content in one retrieval pool. A generic summary accidentally returned a TSLA passage. The current implementation makes the two sources mutually exclusive and instructs Bedrock never to introduce another company not present in context.</w:t>
            </w:r>
          </w:p>
        </w:tc>
      </w:tr>
    </w:tbl>
    <w:p>
      <w:pPr>
        <w:spacing w:after="20"/>
      </w:pPr>
    </w:p>
    <w:p>
      <w:pPr>
        <w:pStyle w:val="Heading2"/>
        <w:keepNext/>
      </w:pPr>
      <w:r>
        <w:t>9.4 Current semantic retrieval design</w:t>
      </w:r>
    </w:p>
    <w:p>
      <w:r>
        <w:t>The production RAG path now uses Amazon OpenSearch Serverless vector search. The financial-report corpus currently contains 712 indexed chunks derived from 30 S3 reports. A metadata filter restricts every stored-report query to the selected ticker scope before passages are provided to Bedrock. The public OpenSearch endpoint is IAM-protected; a future production hardening phase should use an OpenSearch Serverless VPC endpoint with private ECS networking.</w:t>
      </w:r>
    </w:p>
    <w:p>
      <w:pPr>
        <w:pStyle w:val="Heading1"/>
        <w:keepNext/>
      </w:pPr>
      <w:r>
        <w:t>10. Phase 5 - Stock Data Agent</w:t>
      </w:r>
    </w:p>
    <w:p>
      <w:r>
        <w:rPr>
          <w:rFonts w:ascii="Calibri" w:hAnsi="Calibri"/>
          <w:i w:val="0"/>
          <w:color w:val="172B4D"/>
          <w:sz w:val="22"/>
        </w:rPr>
        <w:t>The Stock Data Agent encapsulates Yahoo Finance access so the UI and Supervisor do not depend on vendor-specific response shapes.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E9F2FF"/>
            <w:tcMar>
              <w:top w:w="100" w:type="dxa"/>
              <w:start w:w="120" w:type="dxa"/>
              <w:bottom w:w="100" w:type="dxa"/>
              <w:end w:w="120" w:type="dxa"/>
            </w:tcMar>
            <w:vAlign w:val="center"/>
          </w:tcPr>
          <w:p>
            <w:pPr>
              <w:jc w:val="left"/>
            </w:pPr>
            <w:r>
              <w:rPr>
                <w:rFonts w:ascii="Calibri" w:hAnsi="Calibri"/>
                <w:b/>
                <w:color w:val="172B4D"/>
                <w:sz w:val="19"/>
              </w:rPr>
              <w:t>Field</w:t>
            </w:r>
          </w:p>
        </w:tc>
        <w:tc>
          <w:tcPr>
            <w:tcW w:type="dxa" w:w="4320"/>
            <w:shd w:fill="E9F2FF"/>
            <w:tcMar>
              <w:top w:w="100" w:type="dxa"/>
              <w:start w:w="120" w:type="dxa"/>
              <w:bottom w:w="100" w:type="dxa"/>
              <w:end w:w="120" w:type="dxa"/>
            </w:tcMar>
            <w:vAlign w:val="center"/>
          </w:tcPr>
          <w:p>
            <w:pPr>
              <w:jc w:val="left"/>
            </w:pPr>
            <w:r>
              <w:rPr>
                <w:rFonts w:ascii="Calibri" w:hAnsi="Calibri"/>
                <w:b/>
                <w:color w:val="172B4D"/>
                <w:sz w:val="19"/>
              </w:rPr>
              <w:t>Source/fallback</w:t>
            </w:r>
          </w:p>
        </w:tc>
        <w:tc>
          <w:tcPr>
            <w:tcW w:type="dxa" w:w="2592"/>
            <w:shd w:fill="E9F2FF"/>
            <w:tcMar>
              <w:top w:w="100" w:type="dxa"/>
              <w:start w:w="120" w:type="dxa"/>
              <w:bottom w:w="100" w:type="dxa"/>
              <w:end w:w="120" w:type="dxa"/>
            </w:tcMar>
            <w:vAlign w:val="center"/>
          </w:tcPr>
          <w:p>
            <w:pPr>
              <w:jc w:val="left"/>
            </w:pPr>
            <w:r>
              <w:rPr>
                <w:rFonts w:ascii="Calibri" w:hAnsi="Calibri"/>
                <w:b/>
                <w:color w:val="172B4D"/>
                <w:sz w:val="19"/>
              </w:rPr>
              <w:t>Display use</w:t>
            </w:r>
          </w:p>
        </w:tc>
      </w:tr>
      <w:tr>
        <w:tc>
          <w:tcPr>
            <w:tcW w:type="dxa" w:w="3216"/>
            <w:tcMar>
              <w:top w:w="100" w:type="dxa"/>
              <w:start w:w="120" w:type="dxa"/>
              <w:bottom w:w="100" w:type="dxa"/>
              <w:end w:w="120" w:type="dxa"/>
            </w:tcMar>
            <w:vAlign w:val="center"/>
          </w:tcPr>
          <w:p>
            <w:r>
              <w:rPr>
                <w:rFonts w:ascii="Calibri" w:hAnsi="Calibri"/>
                <w:color w:val="172B4D"/>
                <w:sz w:val="18"/>
              </w:rPr>
              <w:t>Price</w:t>
            </w:r>
          </w:p>
        </w:tc>
        <w:tc>
          <w:tcPr>
            <w:tcW w:type="dxa" w:w="3216"/>
            <w:tcMar>
              <w:top w:w="100" w:type="dxa"/>
              <w:start w:w="120" w:type="dxa"/>
              <w:bottom w:w="100" w:type="dxa"/>
              <w:end w:w="120" w:type="dxa"/>
            </w:tcMar>
            <w:vAlign w:val="center"/>
          </w:tcPr>
          <w:p>
            <w:r>
              <w:rPr>
                <w:rFonts w:ascii="Calibri" w:hAnsi="Calibri"/>
                <w:color w:val="172B4D"/>
                <w:sz w:val="18"/>
              </w:rPr>
              <w:t>fast_info lastPrice/last_price; fallback to latest Close</w:t>
            </w:r>
          </w:p>
        </w:tc>
        <w:tc>
          <w:tcPr>
            <w:tcW w:type="dxa" w:w="3216"/>
            <w:tcMar>
              <w:top w:w="100" w:type="dxa"/>
              <w:start w:w="120" w:type="dxa"/>
              <w:bottom w:w="100" w:type="dxa"/>
              <w:end w:w="120" w:type="dxa"/>
            </w:tcMar>
            <w:vAlign w:val="center"/>
          </w:tcPr>
          <w:p>
            <w:r>
              <w:rPr>
                <w:rFonts w:ascii="Calibri" w:hAnsi="Calibri"/>
                <w:color w:val="172B4D"/>
                <w:sz w:val="18"/>
              </w:rPr>
              <w:t>Dashboard and agent answer</w:t>
            </w:r>
          </w:p>
        </w:tc>
      </w:tr>
      <w:tr>
        <w:tc>
          <w:tcPr>
            <w:tcW w:type="dxa" w:w="3216"/>
            <w:tcMar>
              <w:top w:w="100" w:type="dxa"/>
              <w:start w:w="120" w:type="dxa"/>
              <w:bottom w:w="100" w:type="dxa"/>
              <w:end w:w="120" w:type="dxa"/>
            </w:tcMar>
            <w:vAlign w:val="center"/>
          </w:tcPr>
          <w:p>
            <w:r>
              <w:rPr>
                <w:rFonts w:ascii="Calibri" w:hAnsi="Calibri"/>
                <w:color w:val="172B4D"/>
                <w:sz w:val="18"/>
              </w:rPr>
              <w:t>Previous close</w:t>
            </w:r>
          </w:p>
        </w:tc>
        <w:tc>
          <w:tcPr>
            <w:tcW w:type="dxa" w:w="3216"/>
            <w:tcMar>
              <w:top w:w="100" w:type="dxa"/>
              <w:start w:w="120" w:type="dxa"/>
              <w:bottom w:w="100" w:type="dxa"/>
              <w:end w:w="120" w:type="dxa"/>
            </w:tcMar>
            <w:vAlign w:val="center"/>
          </w:tcPr>
          <w:p>
            <w:r>
              <w:rPr>
                <w:rFonts w:ascii="Calibri" w:hAnsi="Calibri"/>
                <w:color w:val="172B4D"/>
                <w:sz w:val="18"/>
              </w:rPr>
              <w:t>previousClose/previous_close/regularMarketPreviousClose; fallback to prior Close</w:t>
            </w:r>
          </w:p>
        </w:tc>
        <w:tc>
          <w:tcPr>
            <w:tcW w:type="dxa" w:w="3216"/>
            <w:tcMar>
              <w:top w:w="100" w:type="dxa"/>
              <w:start w:w="120" w:type="dxa"/>
              <w:bottom w:w="100" w:type="dxa"/>
              <w:end w:w="120" w:type="dxa"/>
            </w:tcMar>
            <w:vAlign w:val="center"/>
          </w:tcPr>
          <w:p>
            <w:r>
              <w:rPr>
                <w:rFonts w:ascii="Calibri" w:hAnsi="Calibri"/>
                <w:color w:val="172B4D"/>
                <w:sz w:val="18"/>
              </w:rPr>
              <w:t>Dashboard</w:t>
            </w:r>
          </w:p>
        </w:tc>
      </w:tr>
      <w:tr>
        <w:tc>
          <w:tcPr>
            <w:tcW w:type="dxa" w:w="3216"/>
            <w:tcMar>
              <w:top w:w="100" w:type="dxa"/>
              <w:start w:w="120" w:type="dxa"/>
              <w:bottom w:w="100" w:type="dxa"/>
              <w:end w:w="120" w:type="dxa"/>
            </w:tcMar>
            <w:vAlign w:val="center"/>
          </w:tcPr>
          <w:p>
            <w:r>
              <w:rPr>
                <w:rFonts w:ascii="Calibri" w:hAnsi="Calibri"/>
                <w:color w:val="172B4D"/>
                <w:sz w:val="18"/>
              </w:rPr>
              <w:t>Market capitalization</w:t>
            </w:r>
          </w:p>
        </w:tc>
        <w:tc>
          <w:tcPr>
            <w:tcW w:type="dxa" w:w="3216"/>
            <w:tcMar>
              <w:top w:w="100" w:type="dxa"/>
              <w:start w:w="120" w:type="dxa"/>
              <w:bottom w:w="100" w:type="dxa"/>
              <w:end w:w="120" w:type="dxa"/>
            </w:tcMar>
            <w:vAlign w:val="center"/>
          </w:tcPr>
          <w:p>
            <w:r>
              <w:rPr>
                <w:rFonts w:ascii="Calibri" w:hAnsi="Calibri"/>
                <w:color w:val="172B4D"/>
                <w:sz w:val="18"/>
              </w:rPr>
              <w:t>marketCap/market_cap</w:t>
            </w:r>
          </w:p>
        </w:tc>
        <w:tc>
          <w:tcPr>
            <w:tcW w:type="dxa" w:w="3216"/>
            <w:tcMar>
              <w:top w:w="100" w:type="dxa"/>
              <w:start w:w="120" w:type="dxa"/>
              <w:bottom w:w="100" w:type="dxa"/>
              <w:end w:w="120" w:type="dxa"/>
            </w:tcMar>
            <w:vAlign w:val="center"/>
          </w:tcPr>
          <w:p>
            <w:r>
              <w:rPr>
                <w:rFonts w:ascii="Calibri" w:hAnsi="Calibri"/>
                <w:color w:val="172B4D"/>
                <w:sz w:val="18"/>
              </w:rPr>
              <w:t>Dashboard</w:t>
            </w:r>
          </w:p>
        </w:tc>
      </w:tr>
      <w:tr>
        <w:tc>
          <w:tcPr>
            <w:tcW w:type="dxa" w:w="3216"/>
            <w:tcMar>
              <w:top w:w="100" w:type="dxa"/>
              <w:start w:w="120" w:type="dxa"/>
              <w:bottom w:w="100" w:type="dxa"/>
              <w:end w:w="120" w:type="dxa"/>
            </w:tcMar>
            <w:vAlign w:val="center"/>
          </w:tcPr>
          <w:p>
            <w:r>
              <w:rPr>
                <w:rFonts w:ascii="Calibri" w:hAnsi="Calibri"/>
                <w:color w:val="172B4D"/>
                <w:sz w:val="18"/>
              </w:rPr>
              <w:t>Currency</w:t>
            </w:r>
          </w:p>
        </w:tc>
        <w:tc>
          <w:tcPr>
            <w:tcW w:type="dxa" w:w="3216"/>
            <w:tcMar>
              <w:top w:w="100" w:type="dxa"/>
              <w:start w:w="120" w:type="dxa"/>
              <w:bottom w:w="100" w:type="dxa"/>
              <w:end w:w="120" w:type="dxa"/>
            </w:tcMar>
            <w:vAlign w:val="center"/>
          </w:tcPr>
          <w:p>
            <w:r>
              <w:rPr>
                <w:rFonts w:ascii="Calibri" w:hAnsi="Calibri"/>
                <w:color w:val="172B4D"/>
                <w:sz w:val="18"/>
              </w:rPr>
              <w:t>fast_info currency</w:t>
            </w:r>
          </w:p>
        </w:tc>
        <w:tc>
          <w:tcPr>
            <w:tcW w:type="dxa" w:w="3216"/>
            <w:tcMar>
              <w:top w:w="100" w:type="dxa"/>
              <w:start w:w="120" w:type="dxa"/>
              <w:bottom w:w="100" w:type="dxa"/>
              <w:end w:w="120" w:type="dxa"/>
            </w:tcMar>
            <w:vAlign w:val="center"/>
          </w:tcPr>
          <w:p>
            <w:r>
              <w:rPr>
                <w:rFonts w:ascii="Calibri" w:hAnsi="Calibri"/>
                <w:color w:val="172B4D"/>
                <w:sz w:val="18"/>
              </w:rPr>
              <w:t>Dashboard</w:t>
            </w:r>
          </w:p>
        </w:tc>
      </w:tr>
      <w:tr>
        <w:tc>
          <w:tcPr>
            <w:tcW w:type="dxa" w:w="3216"/>
            <w:tcMar>
              <w:top w:w="100" w:type="dxa"/>
              <w:start w:w="120" w:type="dxa"/>
              <w:bottom w:w="100" w:type="dxa"/>
              <w:end w:w="120" w:type="dxa"/>
            </w:tcMar>
            <w:vAlign w:val="center"/>
          </w:tcPr>
          <w:p>
            <w:r>
              <w:rPr>
                <w:rFonts w:ascii="Calibri" w:hAnsi="Calibri"/>
                <w:color w:val="172B4D"/>
                <w:sz w:val="18"/>
              </w:rPr>
              <w:t>Statements</w:t>
            </w:r>
          </w:p>
        </w:tc>
        <w:tc>
          <w:tcPr>
            <w:tcW w:type="dxa" w:w="3216"/>
            <w:tcMar>
              <w:top w:w="100" w:type="dxa"/>
              <w:start w:w="120" w:type="dxa"/>
              <w:bottom w:w="100" w:type="dxa"/>
              <w:end w:w="120" w:type="dxa"/>
            </w:tcMar>
            <w:vAlign w:val="center"/>
          </w:tcPr>
          <w:p>
            <w:r>
              <w:rPr>
                <w:rFonts w:ascii="Calibri" w:hAnsi="Calibri"/>
                <w:color w:val="172B4D"/>
                <w:sz w:val="18"/>
              </w:rPr>
              <w:t>Annual and quarterly Yahoo financials</w:t>
            </w:r>
          </w:p>
        </w:tc>
        <w:tc>
          <w:tcPr>
            <w:tcW w:type="dxa" w:w="3216"/>
            <w:tcMar>
              <w:top w:w="100" w:type="dxa"/>
              <w:start w:w="120" w:type="dxa"/>
              <w:bottom w:w="100" w:type="dxa"/>
              <w:end w:w="120" w:type="dxa"/>
            </w:tcMar>
            <w:vAlign w:val="center"/>
          </w:tcPr>
          <w:p>
            <w:r>
              <w:rPr>
                <w:rFonts w:ascii="Calibri" w:hAnsi="Calibri"/>
                <w:color w:val="172B4D"/>
                <w:sz w:val="18"/>
              </w:rPr>
              <w:t>Report-generation pipeline</w:t>
            </w:r>
          </w:p>
        </w:tc>
      </w:tr>
    </w:tbl>
    <w:p>
      <w:pPr>
        <w:spacing w:after="20"/>
      </w:pPr>
    </w:p>
    <w:p>
      <w:pPr>
        <w:pStyle w:val="Heading2"/>
        <w:keepNext/>
      </w:pPr>
      <w:r>
        <w:t>10.1 Vendor normalization</w:t>
      </w:r>
    </w:p>
    <w:p>
      <w:r>
        <w:rPr>
          <w:rFonts w:ascii="Calibri" w:hAnsi="Calibri"/>
          <w:i w:val="0"/>
          <w:color w:val="172B4D"/>
          <w:sz w:val="22"/>
        </w:rPr>
        <w:t>Different yfinance releases expose camelCase or snake_case keys. The project explicitly supports both. The snapshot DataFrame converts price, previous close, and market capitalization to numeric values; invalid vendor strings become nulls.</w:t>
      </w:r>
    </w:p>
    <w:tbl>
      <w:tblPr>
        <w:tblW w:type="auto" w:w="0"/>
        <w:jc w:val="center"/>
        <w:tblLayout w:type="fixed"/>
        <w:tblLook w:firstColumn="1" w:firstRow="1" w:lastColumn="0" w:lastRow="0" w:noHBand="0" w:noVBand="1" w:val="04A0"/>
      </w:tblPr>
      <w:tblGrid>
        <w:gridCol w:w="9648"/>
      </w:tblGrid>
      <w:tr>
        <w:tc>
          <w:tcPr>
            <w:tcW w:type="dxa" w:w="9000"/>
            <w:shd w:fill="FFF7D6"/>
            <w:tcMar>
              <w:top w:w="150" w:type="dxa"/>
              <w:start w:w="170" w:type="dxa"/>
              <w:bottom w:w="150" w:type="dxa"/>
              <w:end w:w="170" w:type="dxa"/>
            </w:tcMar>
          </w:tcPr>
          <w:p>
            <w:pPr>
              <w:spacing w:after="80"/>
            </w:pPr>
            <w:r>
              <w:rPr>
                <w:rFonts w:ascii="Calibri" w:hAnsi="Calibri"/>
                <w:b/>
                <w:color w:val="CF9F02"/>
                <w:sz w:val="22"/>
              </w:rPr>
              <w:t>Resolved data defect</w:t>
            </w:r>
          </w:p>
          <w:p>
            <w:pPr>
              <w:spacing w:after="0"/>
            </w:pPr>
            <w:r>
              <w:rPr>
                <w:rFonts w:ascii="Calibri" w:hAnsi="Calibri"/>
                <w:color w:val="172B4D"/>
                <w:sz w:val="20"/>
              </w:rPr>
              <w:t>The dashboard initially displayed currency but no prices because the code expected snake_case fields while the installed yfinance version returned camelCase fields. The mapping now supports both formats and includes a historical-close fallback.</w:t>
            </w:r>
          </w:p>
        </w:tc>
      </w:tr>
    </w:tbl>
    <w:p>
      <w:pPr>
        <w:spacing w:after="20"/>
      </w:pPr>
    </w:p>
    <w:p>
      <w:pPr>
        <w:pStyle w:val="Heading1"/>
        <w:keepNext/>
      </w:pPr>
      <w:r>
        <w:t>11. Phase 6 - Financial-report data pipeline</w:t>
      </w:r>
    </w:p>
    <w:p>
      <w:pPr>
        <w:pStyle w:val="Heading2"/>
        <w:keepNext/>
      </w:pPr>
      <w:r>
        <w:t>11.1 Report sources</w:t>
      </w:r>
    </w:p>
    <w:p>
      <w:r>
        <w:rPr>
          <w:rFonts w:ascii="Calibri" w:hAnsi="Calibri"/>
          <w:i w:val="0"/>
          <w:color w:val="172B4D"/>
          <w:sz w:val="22"/>
        </w:rPr>
        <w:t>The project includes an SEC EDGAR synchronizer for official 10-K and 10-Q filings. SEC endpoints returned HTTP 403 from the execution network, so the current S3 dataset was generated from Yahoo Finance financial statements. The SEC script remains available for execution from a network that satisfies SEC access requirements.</w:t>
      </w:r>
    </w:p>
    <w:p>
      <w:pPr>
        <w:pStyle w:val="Heading2"/>
        <w:keepNext/>
      </w:pPr>
      <w:r>
        <w:t>11.2 Yahoo report generation</w:t>
      </w:r>
    </w:p>
    <w:p>
      <w:pPr>
        <w:pStyle w:val="ListBullet"/>
      </w:pPr>
      <w:r>
        <w:rPr>
          <w:rFonts w:ascii="Calibri" w:hAnsi="Calibri"/>
          <w:color w:val="172B4D"/>
          <w:sz w:val="22"/>
        </w:rPr>
        <w:t>Annual report: annual income statement, balance sheet, and cash flow.</w:t>
      </w:r>
    </w:p>
    <w:p>
      <w:pPr>
        <w:pStyle w:val="ListBullet"/>
      </w:pPr>
      <w:r>
        <w:rPr>
          <w:rFonts w:ascii="Calibri" w:hAnsi="Calibri"/>
          <w:color w:val="172B4D"/>
          <w:sz w:val="22"/>
        </w:rPr>
        <w:t>Quarterly report: quarterly income statement, balance sheet, and cash flow.</w:t>
      </w:r>
    </w:p>
    <w:p>
      <w:pPr>
        <w:pStyle w:val="ListBullet"/>
      </w:pPr>
      <w:r>
        <w:rPr>
          <w:rFonts w:ascii="Calibri" w:hAnsi="Calibri"/>
          <w:color w:val="172B4D"/>
          <w:sz w:val="22"/>
        </w:rPr>
        <w:t>Half-yearly report: latest two quarterly income/cash-flow periods combined, with the latest balance-sheet snapshot.</w:t>
      </w:r>
    </w:p>
    <w:p>
      <w:pPr>
        <w:pStyle w:val="ListBullet"/>
      </w:pPr>
      <w:r>
        <w:rPr>
          <w:rFonts w:ascii="Calibri" w:hAnsi="Calibri"/>
          <w:color w:val="172B4D"/>
          <w:sz w:val="22"/>
        </w:rPr>
        <w:t>Each report is stored as structured JSON with ticker, period, generation time, source, and statements.</w:t>
      </w:r>
    </w:p>
    <w:p>
      <w:pPr>
        <w:pStyle w:val="Heading2"/>
        <w:keepNext/>
      </w:pPr>
      <w:r>
        <w:t>11.3 S3 object structure</w:t>
      </w:r>
    </w:p>
    <w:p>
      <w:r>
        <w:rPr>
          <w:rFonts w:ascii="Calibri" w:hAnsi="Calibri"/>
          <w:i w:val="0"/>
          <w:color w:val="172B4D"/>
          <w:sz w:val="22"/>
        </w:rPr>
        <w:t>Objects follow the structure financial-reports/{ticker}/{period}/{year}/{filename}. This allows the RAG Agent to filter reports by ticker and makes the bucket easy for humans and automation to inspect.</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6192"/>
            <w:shd w:fill="E9F2FF"/>
            <w:tcMar>
              <w:top w:w="100" w:type="dxa"/>
              <w:start w:w="120" w:type="dxa"/>
              <w:bottom w:w="100" w:type="dxa"/>
              <w:end w:w="120" w:type="dxa"/>
            </w:tcMar>
            <w:vAlign w:val="center"/>
          </w:tcPr>
          <w:p>
            <w:pPr>
              <w:jc w:val="left"/>
            </w:pPr>
            <w:r>
              <w:rPr>
                <w:rFonts w:ascii="Calibri" w:hAnsi="Calibri"/>
                <w:b/>
                <w:color w:val="172B4D"/>
                <w:sz w:val="19"/>
              </w:rPr>
              <w:t>Example object</w:t>
            </w:r>
          </w:p>
        </w:tc>
        <w:tc>
          <w:tcPr>
            <w:tcW w:type="dxa" w:w="2808"/>
            <w:shd w:fill="E9F2FF"/>
            <w:tcMar>
              <w:top w:w="100" w:type="dxa"/>
              <w:start w:w="120" w:type="dxa"/>
              <w:bottom w:w="100" w:type="dxa"/>
              <w:end w:w="120" w:type="dxa"/>
            </w:tcMar>
            <w:vAlign w:val="center"/>
          </w:tcPr>
          <w:p>
            <w:pPr>
              <w:jc w:val="left"/>
            </w:pPr>
            <w:r>
              <w:rPr>
                <w:rFonts w:ascii="Calibri" w:hAnsi="Calibri"/>
                <w:b/>
                <w:color w:val="172B4D"/>
                <w:sz w:val="19"/>
              </w:rPr>
              <w:t>Meaning</w:t>
            </w:r>
          </w:p>
        </w:tc>
      </w:tr>
      <w:tr>
        <w:tc>
          <w:tcPr>
            <w:tcW w:type="dxa" w:w="4824"/>
            <w:tcMar>
              <w:top w:w="100" w:type="dxa"/>
              <w:start w:w="120" w:type="dxa"/>
              <w:bottom w:w="100" w:type="dxa"/>
              <w:end w:w="120" w:type="dxa"/>
            </w:tcMar>
            <w:vAlign w:val="center"/>
          </w:tcPr>
          <w:p>
            <w:r>
              <w:rPr>
                <w:rFonts w:ascii="Calibri" w:hAnsi="Calibri"/>
                <w:color w:val="172B4D"/>
                <w:sz w:val="18"/>
              </w:rPr>
              <w:t>financial-reports/AAPL/annual/2026/AAPL-annual-financial-report.json</w:t>
            </w:r>
          </w:p>
        </w:tc>
        <w:tc>
          <w:tcPr>
            <w:tcW w:type="dxa" w:w="4824"/>
            <w:tcMar>
              <w:top w:w="100" w:type="dxa"/>
              <w:start w:w="120" w:type="dxa"/>
              <w:bottom w:w="100" w:type="dxa"/>
              <w:end w:w="120" w:type="dxa"/>
            </w:tcMar>
            <w:vAlign w:val="center"/>
          </w:tcPr>
          <w:p>
            <w:r>
              <w:rPr>
                <w:rFonts w:ascii="Calibri" w:hAnsi="Calibri"/>
                <w:color w:val="172B4D"/>
                <w:sz w:val="18"/>
              </w:rPr>
              <w:t>Apple annual structured report</w:t>
            </w:r>
          </w:p>
        </w:tc>
      </w:tr>
      <w:tr>
        <w:tc>
          <w:tcPr>
            <w:tcW w:type="dxa" w:w="4824"/>
            <w:tcMar>
              <w:top w:w="100" w:type="dxa"/>
              <w:start w:w="120" w:type="dxa"/>
              <w:bottom w:w="100" w:type="dxa"/>
              <w:end w:w="120" w:type="dxa"/>
            </w:tcMar>
            <w:vAlign w:val="center"/>
          </w:tcPr>
          <w:p>
            <w:r>
              <w:rPr>
                <w:rFonts w:ascii="Calibri" w:hAnsi="Calibri"/>
                <w:color w:val="172B4D"/>
                <w:sz w:val="18"/>
              </w:rPr>
              <w:t>financial-reports/MSFT/quarterly/2026/MSFT-quarterly-financial-report.json</w:t>
            </w:r>
          </w:p>
        </w:tc>
        <w:tc>
          <w:tcPr>
            <w:tcW w:type="dxa" w:w="4824"/>
            <w:tcMar>
              <w:top w:w="100" w:type="dxa"/>
              <w:start w:w="120" w:type="dxa"/>
              <w:bottom w:w="100" w:type="dxa"/>
              <w:end w:w="120" w:type="dxa"/>
            </w:tcMar>
            <w:vAlign w:val="center"/>
          </w:tcPr>
          <w:p>
            <w:r>
              <w:rPr>
                <w:rFonts w:ascii="Calibri" w:hAnsi="Calibri"/>
                <w:color w:val="172B4D"/>
                <w:sz w:val="18"/>
              </w:rPr>
              <w:t>Microsoft quarterly structured report</w:t>
            </w:r>
          </w:p>
        </w:tc>
      </w:tr>
      <w:tr>
        <w:tc>
          <w:tcPr>
            <w:tcW w:type="dxa" w:w="4824"/>
            <w:tcMar>
              <w:top w:w="100" w:type="dxa"/>
              <w:start w:w="120" w:type="dxa"/>
              <w:bottom w:w="100" w:type="dxa"/>
              <w:end w:w="120" w:type="dxa"/>
            </w:tcMar>
            <w:vAlign w:val="center"/>
          </w:tcPr>
          <w:p>
            <w:r>
              <w:rPr>
                <w:rFonts w:ascii="Calibri" w:hAnsi="Calibri"/>
                <w:color w:val="172B4D"/>
                <w:sz w:val="18"/>
              </w:rPr>
              <w:t>financial-reports/NVDA/half-yearly/2026/NVDA-half-yearly-financial-report.json</w:t>
            </w:r>
          </w:p>
        </w:tc>
        <w:tc>
          <w:tcPr>
            <w:tcW w:type="dxa" w:w="4824"/>
            <w:tcMar>
              <w:top w:w="100" w:type="dxa"/>
              <w:start w:w="120" w:type="dxa"/>
              <w:bottom w:w="100" w:type="dxa"/>
              <w:end w:w="120" w:type="dxa"/>
            </w:tcMar>
            <w:vAlign w:val="center"/>
          </w:tcPr>
          <w:p>
            <w:r>
              <w:rPr>
                <w:rFonts w:ascii="Calibri" w:hAnsi="Calibri"/>
                <w:color w:val="172B4D"/>
                <w:sz w:val="18"/>
              </w:rPr>
              <w:t>NVIDIA six-month calculated view</w:t>
            </w:r>
          </w:p>
        </w:tc>
      </w:tr>
    </w:tbl>
    <w:p>
      <w:pPr>
        <w:spacing w:after="20"/>
      </w:pPr>
    </w:p>
    <w:p>
      <w:pPr>
        <w:pStyle w:val="Heading2"/>
        <w:keepNext/>
      </w:pPr>
      <w:r>
        <w:t>11.4 S3 controls</w:t>
      </w:r>
    </w:p>
    <w:p>
      <w:pPr>
        <w:pStyle w:val="ListBullet"/>
      </w:pPr>
      <w:r>
        <w:rPr>
          <w:rFonts w:ascii="Calibri" w:hAnsi="Calibri"/>
          <w:color w:val="172B4D"/>
          <w:sz w:val="22"/>
        </w:rPr>
        <w:t>Bucket is private with all public access blocked.</w:t>
      </w:r>
    </w:p>
    <w:p>
      <w:pPr>
        <w:pStyle w:val="ListBullet"/>
      </w:pPr>
      <w:r>
        <w:rPr>
          <w:rFonts w:ascii="Calibri" w:hAnsi="Calibri"/>
          <w:color w:val="172B4D"/>
          <w:sz w:val="22"/>
        </w:rPr>
        <w:t>Server-side encryption uses AES-256.</w:t>
      </w:r>
    </w:p>
    <w:p>
      <w:pPr>
        <w:pStyle w:val="ListBullet"/>
      </w:pPr>
      <w:r>
        <w:rPr>
          <w:rFonts w:ascii="Calibri" w:hAnsi="Calibri"/>
          <w:color w:val="172B4D"/>
          <w:sz w:val="22"/>
        </w:rPr>
        <w:t>Versioning is enabled.</w:t>
      </w:r>
    </w:p>
    <w:p>
      <w:pPr>
        <w:pStyle w:val="ListBullet"/>
      </w:pPr>
      <w:r>
        <w:rPr>
          <w:rFonts w:ascii="Calibri" w:hAnsi="Calibri"/>
          <w:color w:val="172B4D"/>
          <w:sz w:val="22"/>
        </w:rPr>
        <w:t>ECS task role receives read-only access to the financial-reports prefix.</w:t>
      </w:r>
    </w:p>
    <w:p>
      <w:pPr>
        <w:pStyle w:val="ListBullet"/>
      </w:pPr>
      <w:r>
        <w:rPr>
          <w:rFonts w:ascii="Calibri" w:hAnsi="Calibri"/>
          <w:color w:val="172B4D"/>
          <w:sz w:val="22"/>
        </w:rPr>
        <w:t>Synchronization identities require separate write permission.</w:t>
      </w:r>
    </w:p>
    <w:p>
      <w:pPr>
        <w:pStyle w:val="Heading1"/>
        <w:keepNext/>
      </w:pPr>
      <w:r>
        <w:t>12. Phase 7 - Amazon Bedrock integration</w:t>
      </w:r>
    </w:p>
    <w:p>
      <w:r>
        <w:rPr>
          <w:rFonts w:ascii="Calibri" w:hAnsi="Calibri"/>
          <w:i w:val="0"/>
          <w:color w:val="172B4D"/>
          <w:sz w:val="22"/>
        </w:rPr>
        <w:t>Amazon Bedrock provides managed access to foundation models without embedding long-lived AWS keys in the container. The current text model is Amazon Nova Lite in eu-west-2.</w:t>
      </w:r>
    </w:p>
    <w:p>
      <w:pPr>
        <w:pStyle w:val="Heading2"/>
        <w:keepNext/>
      </w:pPr>
      <w:r>
        <w:t>12.1 Converse request</w:t>
      </w:r>
    </w:p>
    <w:p>
      <w:pPr>
        <w:pStyle w:val="ListBullet"/>
      </w:pPr>
      <w:r>
        <w:rPr>
          <w:rFonts w:ascii="Calibri" w:hAnsi="Calibri"/>
          <w:color w:val="172B4D"/>
          <w:sz w:val="22"/>
        </w:rPr>
        <w:t>System prompt defines the assistant as a financial-report research assistant.</w:t>
      </w:r>
    </w:p>
    <w:p>
      <w:pPr>
        <w:pStyle w:val="ListBullet"/>
      </w:pPr>
      <w:r>
        <w:rPr>
          <w:rFonts w:ascii="Calibri" w:hAnsi="Calibri"/>
          <w:color w:val="172B4D"/>
          <w:sz w:val="22"/>
        </w:rPr>
        <w:t>Retrieved context and the user question are sent as the user message.</w:t>
      </w:r>
    </w:p>
    <w:p>
      <w:pPr>
        <w:pStyle w:val="ListBullet"/>
      </w:pPr>
      <w:r>
        <w:rPr>
          <w:rFonts w:ascii="Calibri" w:hAnsi="Calibri"/>
          <w:color w:val="172B4D"/>
          <w:sz w:val="22"/>
        </w:rPr>
        <w:t>Temperature is low to reduce creative variation.</w:t>
      </w:r>
    </w:p>
    <w:p>
      <w:pPr>
        <w:pStyle w:val="ListBullet"/>
      </w:pPr>
      <w:r>
        <w:rPr>
          <w:rFonts w:ascii="Calibri" w:hAnsi="Calibri"/>
          <w:color w:val="172B4D"/>
          <w:sz w:val="22"/>
        </w:rPr>
        <w:t>Maximum output length is bounded.</w:t>
      </w:r>
    </w:p>
    <w:p>
      <w:pPr>
        <w:pStyle w:val="ListBullet"/>
      </w:pPr>
      <w:r>
        <w:rPr>
          <w:rFonts w:ascii="Calibri" w:hAnsi="Calibri"/>
          <w:color w:val="172B4D"/>
          <w:sz w:val="22"/>
        </w:rPr>
        <w:t>The prompt requires context-only answers, source labels, company isolation, and an informational-use disclaimer.</w:t>
      </w:r>
    </w:p>
    <w:p>
      <w:pPr>
        <w:pStyle w:val="Heading2"/>
        <w:keepNext/>
      </w:pPr>
      <w:r>
        <w:t>12.2 Embeddings</w:t>
      </w:r>
    </w:p>
    <w:p>
      <w:r>
        <w:t>The Bedrock service uses Amazon Titan Text Embeddings V2 with normalized 1,024-dimension vectors. The embedding method is wired into the S3-to-OpenSearch indexing script and the live question-retrieval path. Amazon Nova Lite remains the text-generation model used to produce the final grounded response.</w:t>
      </w:r>
    </w:p>
    <w:p>
      <w:pPr>
        <w:pStyle w:val="Heading2"/>
        <w:keepNext/>
      </w:pPr>
      <w:r>
        <w:t>12.3 Runtime permissions</w:t>
      </w:r>
    </w:p>
    <w:p>
      <w:r>
        <w:rPr>
          <w:rFonts w:ascii="Calibri" w:hAnsi="Calibri"/>
          <w:i w:val="0"/>
          <w:color w:val="172B4D"/>
          <w:sz w:val="22"/>
        </w:rPr>
        <w:t>The ECS task role allows bedrock:InvokeModel and bedrock:InvokeModelWithResponseStream. No AWS access key is stored in the image or source repository.</w:t>
      </w:r>
    </w:p>
    <w:p>
      <w:pPr>
        <w:pStyle w:val="Heading1"/>
        <w:keepNext/>
      </w:pPr>
      <w:r>
        <w:t>13. Phase 8 - Docker containerization</w:t>
      </w:r>
    </w:p>
    <w:p>
      <w:r>
        <w:rPr>
          <w:rFonts w:ascii="Calibri" w:hAnsi="Calibri"/>
          <w:i w:val="0"/>
          <w:color w:val="172B4D"/>
          <w:sz w:val="22"/>
        </w:rPr>
        <w:t>Docker packages the application and its dependencies into one reproducible runtime. The image uses python:3.12-slim, installs the Python package, copies app.py, exposes port 8501, and runs Streamlit in headless mode.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304"/>
            <w:shd w:fill="E9F2FF"/>
            <w:tcMar>
              <w:top w:w="100" w:type="dxa"/>
              <w:start w:w="120" w:type="dxa"/>
              <w:bottom w:w="100" w:type="dxa"/>
              <w:end w:w="120" w:type="dxa"/>
            </w:tcMar>
            <w:vAlign w:val="center"/>
          </w:tcPr>
          <w:p>
            <w:pPr>
              <w:jc w:val="left"/>
            </w:pPr>
            <w:r>
              <w:rPr>
                <w:rFonts w:ascii="Calibri" w:hAnsi="Calibri"/>
                <w:b/>
                <w:color w:val="172B4D"/>
                <w:sz w:val="19"/>
              </w:rPr>
              <w:t>Container control</w:t>
            </w:r>
          </w:p>
        </w:tc>
        <w:tc>
          <w:tcPr>
            <w:tcW w:type="dxa" w:w="6696"/>
            <w:shd w:fill="E9F2FF"/>
            <w:tcMar>
              <w:top w:w="100" w:type="dxa"/>
              <w:start w:w="120" w:type="dxa"/>
              <w:bottom w:w="100" w:type="dxa"/>
              <w:end w:w="120" w:type="dxa"/>
            </w:tcMar>
            <w:vAlign w:val="center"/>
          </w:tcPr>
          <w:p>
            <w:pPr>
              <w:jc w:val="left"/>
            </w:pPr>
            <w:r>
              <w:rPr>
                <w:rFonts w:ascii="Calibri" w:hAnsi="Calibri"/>
                <w:b/>
                <w:color w:val="172B4D"/>
                <w:sz w:val="19"/>
              </w:rPr>
              <w:t>Implementation</w:t>
            </w:r>
          </w:p>
        </w:tc>
      </w:tr>
      <w:tr>
        <w:tc>
          <w:tcPr>
            <w:tcW w:type="dxa" w:w="4824"/>
            <w:tcMar>
              <w:top w:w="100" w:type="dxa"/>
              <w:start w:w="120" w:type="dxa"/>
              <w:bottom w:w="100" w:type="dxa"/>
              <w:end w:w="120" w:type="dxa"/>
            </w:tcMar>
            <w:vAlign w:val="center"/>
          </w:tcPr>
          <w:p>
            <w:r>
              <w:rPr>
                <w:rFonts w:ascii="Calibri" w:hAnsi="Calibri"/>
                <w:color w:val="172B4D"/>
                <w:sz w:val="18"/>
              </w:rPr>
              <w:t>Non-root execution</w:t>
            </w:r>
          </w:p>
        </w:tc>
        <w:tc>
          <w:tcPr>
            <w:tcW w:type="dxa" w:w="4824"/>
            <w:tcMar>
              <w:top w:w="100" w:type="dxa"/>
              <w:start w:w="120" w:type="dxa"/>
              <w:bottom w:w="100" w:type="dxa"/>
              <w:end w:w="120" w:type="dxa"/>
            </w:tcMar>
            <w:vAlign w:val="center"/>
          </w:tcPr>
          <w:p>
            <w:r>
              <w:rPr>
                <w:rFonts w:ascii="Calibri" w:hAnsi="Calibri"/>
                <w:color w:val="172B4D"/>
                <w:sz w:val="18"/>
              </w:rPr>
              <w:t>Dedicated app user and /home/app directory.</w:t>
            </w:r>
          </w:p>
        </w:tc>
      </w:tr>
      <w:tr>
        <w:tc>
          <w:tcPr>
            <w:tcW w:type="dxa" w:w="4824"/>
            <w:tcMar>
              <w:top w:w="100" w:type="dxa"/>
              <w:start w:w="120" w:type="dxa"/>
              <w:bottom w:w="100" w:type="dxa"/>
              <w:end w:w="120" w:type="dxa"/>
            </w:tcMar>
            <w:vAlign w:val="center"/>
          </w:tcPr>
          <w:p>
            <w:r>
              <w:rPr>
                <w:rFonts w:ascii="Calibri" w:hAnsi="Calibri"/>
                <w:color w:val="172B4D"/>
                <w:sz w:val="18"/>
              </w:rPr>
              <w:t>Health check</w:t>
            </w:r>
          </w:p>
        </w:tc>
        <w:tc>
          <w:tcPr>
            <w:tcW w:type="dxa" w:w="4824"/>
            <w:tcMar>
              <w:top w:w="100" w:type="dxa"/>
              <w:start w:w="120" w:type="dxa"/>
              <w:bottom w:w="100" w:type="dxa"/>
              <w:end w:w="120" w:type="dxa"/>
            </w:tcMar>
            <w:vAlign w:val="center"/>
          </w:tcPr>
          <w:p>
            <w:r>
              <w:rPr>
                <w:rFonts w:ascii="Calibri" w:hAnsi="Calibri"/>
                <w:color w:val="172B4D"/>
                <w:sz w:val="18"/>
              </w:rPr>
              <w:t>GET http://localhost:8501/_stcore/health.</w:t>
            </w:r>
          </w:p>
        </w:tc>
      </w:tr>
      <w:tr>
        <w:tc>
          <w:tcPr>
            <w:tcW w:type="dxa" w:w="4824"/>
            <w:tcMar>
              <w:top w:w="100" w:type="dxa"/>
              <w:start w:w="120" w:type="dxa"/>
              <w:bottom w:w="100" w:type="dxa"/>
              <w:end w:w="120" w:type="dxa"/>
            </w:tcMar>
            <w:vAlign w:val="center"/>
          </w:tcPr>
          <w:p>
            <w:r>
              <w:rPr>
                <w:rFonts w:ascii="Calibri" w:hAnsi="Calibri"/>
                <w:color w:val="172B4D"/>
                <w:sz w:val="18"/>
              </w:rPr>
              <w:t>Port</w:t>
            </w:r>
          </w:p>
        </w:tc>
        <w:tc>
          <w:tcPr>
            <w:tcW w:type="dxa" w:w="4824"/>
            <w:tcMar>
              <w:top w:w="100" w:type="dxa"/>
              <w:start w:w="120" w:type="dxa"/>
              <w:bottom w:w="100" w:type="dxa"/>
              <w:end w:w="120" w:type="dxa"/>
            </w:tcMar>
            <w:vAlign w:val="center"/>
          </w:tcPr>
          <w:p>
            <w:r>
              <w:rPr>
                <w:rFonts w:ascii="Calibri" w:hAnsi="Calibri"/>
                <w:color w:val="172B4D"/>
                <w:sz w:val="18"/>
              </w:rPr>
              <w:t>8501/TCP.</w:t>
            </w:r>
          </w:p>
        </w:tc>
      </w:tr>
      <w:tr>
        <w:tc>
          <w:tcPr>
            <w:tcW w:type="dxa" w:w="4824"/>
            <w:tcMar>
              <w:top w:w="100" w:type="dxa"/>
              <w:start w:w="120" w:type="dxa"/>
              <w:bottom w:w="100" w:type="dxa"/>
              <w:end w:w="120" w:type="dxa"/>
            </w:tcMar>
            <w:vAlign w:val="center"/>
          </w:tcPr>
          <w:p>
            <w:r>
              <w:rPr>
                <w:rFonts w:ascii="Calibri" w:hAnsi="Calibri"/>
                <w:color w:val="172B4D"/>
                <w:sz w:val="18"/>
              </w:rPr>
              <w:t>Build exclusions</w:t>
            </w:r>
          </w:p>
        </w:tc>
        <w:tc>
          <w:tcPr>
            <w:tcW w:type="dxa" w:w="4824"/>
            <w:tcMar>
              <w:top w:w="100" w:type="dxa"/>
              <w:start w:w="120" w:type="dxa"/>
              <w:bottom w:w="100" w:type="dxa"/>
              <w:end w:w="120" w:type="dxa"/>
            </w:tcMar>
            <w:vAlign w:val="center"/>
          </w:tcPr>
          <w:p>
            <w:r>
              <w:rPr>
                <w:rFonts w:ascii="Calibri" w:hAnsi="Calibri"/>
                <w:color w:val="172B4D"/>
                <w:sz w:val="18"/>
              </w:rPr>
              <w:t>.dockerignore removes Git metadata, local environment, tests, docs, and caches.</w:t>
            </w:r>
          </w:p>
        </w:tc>
      </w:tr>
      <w:tr>
        <w:tc>
          <w:tcPr>
            <w:tcW w:type="dxa" w:w="4824"/>
            <w:tcMar>
              <w:top w:w="100" w:type="dxa"/>
              <w:start w:w="120" w:type="dxa"/>
              <w:bottom w:w="100" w:type="dxa"/>
              <w:end w:w="120" w:type="dxa"/>
            </w:tcMar>
            <w:vAlign w:val="center"/>
          </w:tcPr>
          <w:p>
            <w:r>
              <w:rPr>
                <w:rFonts w:ascii="Calibri" w:hAnsi="Calibri"/>
                <w:color w:val="172B4D"/>
                <w:sz w:val="18"/>
              </w:rPr>
              <w:t>Local operation</w:t>
            </w:r>
          </w:p>
        </w:tc>
        <w:tc>
          <w:tcPr>
            <w:tcW w:type="dxa" w:w="4824"/>
            <w:tcMar>
              <w:top w:w="100" w:type="dxa"/>
              <w:start w:w="120" w:type="dxa"/>
              <w:bottom w:w="100" w:type="dxa"/>
              <w:end w:w="120" w:type="dxa"/>
            </w:tcMar>
            <w:vAlign w:val="center"/>
          </w:tcPr>
          <w:p>
            <w:r>
              <w:rPr>
                <w:rFonts w:ascii="Calibri" w:hAnsi="Calibri"/>
                <w:color w:val="172B4D"/>
                <w:sz w:val="18"/>
              </w:rPr>
              <w:t>docker compose maps port 8501 and mounts AWS credentials read-only when needed.</w:t>
            </w:r>
          </w:p>
        </w:tc>
      </w:tr>
    </w:tbl>
    <w:p>
      <w:pPr>
        <w:spacing w:after="20"/>
      </w:pPr>
    </w:p>
    <w:p>
      <w:r>
        <w:br w:type="page"/>
      </w:r>
    </w:p>
    <w:p>
      <w:pPr>
        <w:pStyle w:val="Heading1"/>
        <w:keepNext/>
      </w:pPr>
      <w:r>
        <w:t>14. Phase 9 - AWS infrastructure and deployment</w:t>
      </w:r>
    </w:p>
    <w:p>
      <w:r>
        <w:rPr>
          <w:rFonts w:ascii="Calibri" w:hAnsi="Calibri"/>
          <w:i w:val="0"/>
          <w:color w:val="172B4D"/>
          <w:sz w:val="22"/>
        </w:rPr>
        <w:t>The AWS environment is deployed in eu-west-2. Fargate was chosen to avoid managing EC2 hosts. The current environment is suitable for development and demonstration; production hardening recommendations are listed later.</w:t>
      </w:r>
    </w:p>
    <w:p>
      <w:pPr>
        <w:pStyle w:val="Heading2"/>
        <w:keepNext/>
      </w:pPr>
      <w:r>
        <w:t>14.1 Current AWS resources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00"/>
            <w:shd w:fill="E9F2FF"/>
            <w:tcMar>
              <w:top w:w="100" w:type="dxa"/>
              <w:start w:w="120" w:type="dxa"/>
              <w:bottom w:w="100" w:type="dxa"/>
              <w:end w:w="120" w:type="dxa"/>
            </w:tcMar>
            <w:vAlign w:val="center"/>
          </w:tcPr>
          <w:p>
            <w:pPr>
              <w:jc w:val="left"/>
            </w:pPr>
            <w:r>
              <w:rPr>
                <w:rFonts w:ascii="Calibri" w:hAnsi="Calibri"/>
                <w:b/>
                <w:color w:val="172B4D"/>
                <w:sz w:val="19"/>
              </w:rPr>
              <w:t>AWS service</w:t>
            </w:r>
          </w:p>
        </w:tc>
        <w:tc>
          <w:tcPr>
            <w:tcW w:type="dxa" w:w="3600"/>
            <w:shd w:fill="E9F2FF"/>
            <w:tcMar>
              <w:top w:w="100" w:type="dxa"/>
              <w:start w:w="120" w:type="dxa"/>
              <w:bottom w:w="100" w:type="dxa"/>
              <w:end w:w="120" w:type="dxa"/>
            </w:tcMar>
            <w:vAlign w:val="center"/>
          </w:tcPr>
          <w:p>
            <w:pPr>
              <w:jc w:val="left"/>
            </w:pPr>
            <w:r>
              <w:rPr>
                <w:rFonts w:ascii="Calibri" w:hAnsi="Calibri"/>
                <w:b/>
                <w:color w:val="172B4D"/>
                <w:sz w:val="19"/>
              </w:rPr>
              <w:t>Resource</w:t>
            </w:r>
          </w:p>
        </w:tc>
        <w:tc>
          <w:tcPr>
            <w:tcW w:type="dxa" w:w="3600"/>
            <w:shd w:fill="E9F2FF"/>
            <w:tcMar>
              <w:top w:w="100" w:type="dxa"/>
              <w:start w:w="120" w:type="dxa"/>
              <w:bottom w:w="100" w:type="dxa"/>
              <w:end w:w="120" w:type="dxa"/>
            </w:tcMar>
            <w:vAlign w:val="center"/>
          </w:tcPr>
          <w:p>
            <w:pPr>
              <w:jc w:val="left"/>
            </w:pPr>
            <w:r>
              <w:rPr>
                <w:rFonts w:ascii="Calibri" w:hAnsi="Calibri"/>
                <w:b/>
                <w:color w:val="172B4D"/>
                <w:sz w:val="19"/>
              </w:rPr>
              <w:t>Purpose</w:t>
            </w:r>
          </w:p>
        </w:tc>
      </w:tr>
      <w:tr>
        <w:tc>
          <w:tcPr>
            <w:tcW w:type="dxa" w:w="3216"/>
            <w:tcMar>
              <w:top w:w="100" w:type="dxa"/>
              <w:start w:w="120" w:type="dxa"/>
              <w:bottom w:w="100" w:type="dxa"/>
              <w:end w:w="120" w:type="dxa"/>
            </w:tcMar>
            <w:vAlign w:val="center"/>
          </w:tcPr>
          <w:p>
            <w:r>
              <w:rPr>
                <w:rFonts w:ascii="Calibri" w:hAnsi="Calibri"/>
                <w:color w:val="172B4D"/>
                <w:sz w:val="18"/>
              </w:rPr>
              <w:t>Amazon ECR</w:t>
            </w:r>
          </w:p>
        </w:tc>
        <w:tc>
          <w:tcPr>
            <w:tcW w:type="dxa" w:w="3216"/>
            <w:tcMar>
              <w:top w:w="100" w:type="dxa"/>
              <w:start w:w="120" w:type="dxa"/>
              <w:bottom w:w="100" w:type="dxa"/>
              <w:end w:w="120" w:type="dxa"/>
            </w:tcMar>
            <w:vAlign w:val="center"/>
          </w:tcPr>
          <w:p>
            <w:r>
              <w:t>dev-dsmay-stock-agent-repo</w:t>
            </w:r>
          </w:p>
        </w:tc>
        <w:tc>
          <w:tcPr>
            <w:tcW w:type="dxa" w:w="3216"/>
            <w:tcMar>
              <w:top w:w="100" w:type="dxa"/>
              <w:start w:w="120" w:type="dxa"/>
              <w:bottom w:w="100" w:type="dxa"/>
              <w:end w:w="120" w:type="dxa"/>
            </w:tcMar>
            <w:vAlign w:val="center"/>
          </w:tcPr>
          <w:p>
            <w:r>
              <w:t>Stores commit-tagged and latest Docker images.</w:t>
            </w:r>
          </w:p>
        </w:tc>
      </w:tr>
      <w:tr>
        <w:tc>
          <w:tcPr>
            <w:tcW w:type="dxa" w:w="3216"/>
            <w:tcMar>
              <w:top w:w="100" w:type="dxa"/>
              <w:start w:w="120" w:type="dxa"/>
              <w:bottom w:w="100" w:type="dxa"/>
              <w:end w:w="120" w:type="dxa"/>
            </w:tcMar>
            <w:vAlign w:val="center"/>
          </w:tcPr>
          <w:p>
            <w:r>
              <w:rPr>
                <w:rFonts w:ascii="Calibri" w:hAnsi="Calibri"/>
                <w:color w:val="172B4D"/>
                <w:sz w:val="18"/>
              </w:rPr>
              <w:t>Amazon ECS</w:t>
            </w:r>
          </w:p>
        </w:tc>
        <w:tc>
          <w:tcPr>
            <w:tcW w:type="dxa" w:w="3216"/>
            <w:tcMar>
              <w:top w:w="100" w:type="dxa"/>
              <w:start w:w="120" w:type="dxa"/>
              <w:bottom w:w="100" w:type="dxa"/>
              <w:end w:w="120" w:type="dxa"/>
            </w:tcMar>
            <w:vAlign w:val="center"/>
          </w:tcPr>
          <w:p>
            <w:r>
              <w:t>dev-dsmay-stock-agent-cluster</w:t>
            </w:r>
          </w:p>
        </w:tc>
        <w:tc>
          <w:tcPr>
            <w:tcW w:type="dxa" w:w="3216"/>
            <w:tcMar>
              <w:top w:w="100" w:type="dxa"/>
              <w:start w:w="120" w:type="dxa"/>
              <w:bottom w:w="100" w:type="dxa"/>
              <w:end w:w="120" w:type="dxa"/>
            </w:tcMar>
            <w:vAlign w:val="center"/>
          </w:tcPr>
          <w:p>
            <w:r>
              <w:t>Fargate cluster with Container Insights enabled.</w:t>
            </w:r>
          </w:p>
        </w:tc>
      </w:tr>
      <w:tr>
        <w:tc>
          <w:tcPr>
            <w:tcW w:type="dxa" w:w="3216"/>
            <w:tcMar>
              <w:top w:w="100" w:type="dxa"/>
              <w:start w:w="120" w:type="dxa"/>
              <w:bottom w:w="100" w:type="dxa"/>
              <w:end w:w="120" w:type="dxa"/>
            </w:tcMar>
            <w:vAlign w:val="center"/>
          </w:tcPr>
          <w:p>
            <w:r>
              <w:rPr>
                <w:rFonts w:ascii="Calibri" w:hAnsi="Calibri"/>
                <w:color w:val="172B4D"/>
                <w:sz w:val="18"/>
              </w:rPr>
              <w:t>ECS service</w:t>
            </w:r>
          </w:p>
        </w:tc>
        <w:tc>
          <w:tcPr>
            <w:tcW w:type="dxa" w:w="3216"/>
            <w:tcMar>
              <w:top w:w="100" w:type="dxa"/>
              <w:start w:w="120" w:type="dxa"/>
              <w:bottom w:w="100" w:type="dxa"/>
              <w:end w:w="120" w:type="dxa"/>
            </w:tcMar>
            <w:vAlign w:val="center"/>
          </w:tcPr>
          <w:p>
            <w:r>
              <w:t>dev-dsmay-stock-agent-ecs</w:t>
            </w:r>
          </w:p>
        </w:tc>
        <w:tc>
          <w:tcPr>
            <w:tcW w:type="dxa" w:w="3216"/>
            <w:tcMar>
              <w:top w:w="100" w:type="dxa"/>
              <w:start w:w="120" w:type="dxa"/>
              <w:bottom w:w="100" w:type="dxa"/>
              <w:end w:w="120" w:type="dxa"/>
            </w:tcMar>
            <w:vAlign w:val="center"/>
          </w:tcPr>
          <w:p>
            <w:r>
              <w:t>Maintains one healthy running application task.</w:t>
            </w:r>
          </w:p>
        </w:tc>
      </w:tr>
      <w:tr>
        <w:tc>
          <w:tcPr>
            <w:tcW w:type="dxa" w:w="3216"/>
            <w:tcMar>
              <w:top w:w="100" w:type="dxa"/>
              <w:start w:w="120" w:type="dxa"/>
              <w:bottom w:w="100" w:type="dxa"/>
              <w:end w:w="120" w:type="dxa"/>
            </w:tcMar>
            <w:vAlign w:val="center"/>
          </w:tcPr>
          <w:p>
            <w:r>
              <w:rPr>
                <w:rFonts w:ascii="Calibri" w:hAnsi="Calibri"/>
                <w:color w:val="172B4D"/>
                <w:sz w:val="18"/>
              </w:rPr>
              <w:t>Task definition</w:t>
            </w:r>
          </w:p>
        </w:tc>
        <w:tc>
          <w:tcPr>
            <w:tcW w:type="dxa" w:w="3216"/>
            <w:tcMar>
              <w:top w:w="100" w:type="dxa"/>
              <w:start w:w="120" w:type="dxa"/>
              <w:bottom w:w="100" w:type="dxa"/>
              <w:end w:w="120" w:type="dxa"/>
            </w:tcMar>
            <w:vAlign w:val="center"/>
          </w:tcPr>
          <w:p>
            <w:r>
              <w:t>stock-agent:8</w:t>
            </w:r>
          </w:p>
        </w:tc>
        <w:tc>
          <w:tcPr>
            <w:tcW w:type="dxa" w:w="3216"/>
            <w:tcMar>
              <w:top w:w="100" w:type="dxa"/>
              <w:start w:w="120" w:type="dxa"/>
              <w:bottom w:w="100" w:type="dxa"/>
              <w:end w:w="120" w:type="dxa"/>
            </w:tcMar>
            <w:vAlign w:val="center"/>
          </w:tcPr>
          <w:p>
            <w:r>
              <w:t>Current container, roles, environment, logging, OpenSearch, and health check.</w:t>
            </w:r>
          </w:p>
        </w:tc>
      </w:tr>
      <w:tr>
        <w:tc>
          <w:tcPr>
            <w:tcW w:type="dxa" w:w="3216"/>
            <w:tcMar>
              <w:top w:w="100" w:type="dxa"/>
              <w:start w:w="120" w:type="dxa"/>
              <w:bottom w:w="100" w:type="dxa"/>
              <w:end w:w="120" w:type="dxa"/>
            </w:tcMar>
            <w:vAlign w:val="center"/>
          </w:tcPr>
          <w:p>
            <w:r>
              <w:rPr>
                <w:rFonts w:ascii="Calibri" w:hAnsi="Calibri"/>
                <w:color w:val="172B4D"/>
                <w:sz w:val="18"/>
              </w:rPr>
              <w:t>Amazon S3</w:t>
            </w:r>
          </w:p>
        </w:tc>
        <w:tc>
          <w:tcPr>
            <w:tcW w:type="dxa" w:w="3216"/>
            <w:tcMar>
              <w:top w:w="100" w:type="dxa"/>
              <w:start w:w="120" w:type="dxa"/>
              <w:bottom w:w="100" w:type="dxa"/>
              <w:end w:w="120" w:type="dxa"/>
            </w:tcMar>
            <w:vAlign w:val="center"/>
          </w:tcPr>
          <w:p>
            <w:r>
              <w:t>dev-dsmay-stock-agent-bucket</w:t>
            </w:r>
          </w:p>
        </w:tc>
        <w:tc>
          <w:tcPr>
            <w:tcW w:type="dxa" w:w="3216"/>
            <w:tcMar>
              <w:top w:w="100" w:type="dxa"/>
              <w:start w:w="120" w:type="dxa"/>
              <w:bottom w:w="100" w:type="dxa"/>
              <w:end w:w="120" w:type="dxa"/>
            </w:tcMar>
            <w:vAlign w:val="center"/>
          </w:tcPr>
          <w:p>
            <w:r>
              <w:t>Private encrypted and versioned financial-report storage.</w:t>
            </w:r>
          </w:p>
        </w:tc>
      </w:tr>
      <w:tr>
        <w:tc>
          <w:tcPr>
            <w:tcW w:type="dxa" w:w="3216"/>
            <w:tcMar>
              <w:top w:w="100" w:type="dxa"/>
              <w:start w:w="120" w:type="dxa"/>
              <w:bottom w:w="100" w:type="dxa"/>
              <w:end w:w="120" w:type="dxa"/>
            </w:tcMar>
            <w:vAlign w:val="center"/>
          </w:tcPr>
          <w:p>
            <w:r>
              <w:rPr>
                <w:rFonts w:ascii="Calibri" w:hAnsi="Calibri"/>
                <w:color w:val="172B4D"/>
                <w:sz w:val="18"/>
              </w:rPr>
              <w:t>CloudWatch Logs</w:t>
            </w:r>
          </w:p>
        </w:tc>
        <w:tc>
          <w:tcPr>
            <w:tcW w:type="dxa" w:w="3216"/>
            <w:tcMar>
              <w:top w:w="100" w:type="dxa"/>
              <w:start w:w="120" w:type="dxa"/>
              <w:bottom w:w="100" w:type="dxa"/>
              <w:end w:w="120" w:type="dxa"/>
            </w:tcMar>
            <w:vAlign w:val="center"/>
          </w:tcPr>
          <w:p>
            <w:r>
              <w:rPr>
                <w:rFonts w:ascii="Calibri" w:hAnsi="Calibri"/>
                <w:color w:val="172B4D"/>
                <w:sz w:val="18"/>
              </w:rPr>
              <w:t>/ecs/stock-agent</w:t>
            </w:r>
          </w:p>
        </w:tc>
        <w:tc>
          <w:tcPr>
            <w:tcW w:type="dxa" w:w="3216"/>
            <w:tcMar>
              <w:top w:w="100" w:type="dxa"/>
              <w:start w:w="120" w:type="dxa"/>
              <w:bottom w:w="100" w:type="dxa"/>
              <w:end w:w="120" w:type="dxa"/>
            </w:tcMar>
            <w:vAlign w:val="center"/>
          </w:tcPr>
          <w:p>
            <w:r>
              <w:rPr>
                <w:rFonts w:ascii="Calibri" w:hAnsi="Calibri"/>
                <w:color w:val="172B4D"/>
                <w:sz w:val="18"/>
              </w:rPr>
              <w:t>Streamlit and container output; 30-day retention.</w:t>
            </w:r>
          </w:p>
        </w:tc>
      </w:tr>
      <w:tr>
        <w:tc>
          <w:tcPr>
            <w:tcW w:type="dxa" w:w="3216"/>
            <w:tcMar>
              <w:top w:w="100" w:type="dxa"/>
              <w:start w:w="120" w:type="dxa"/>
              <w:bottom w:w="100" w:type="dxa"/>
              <w:end w:w="120" w:type="dxa"/>
            </w:tcMar>
            <w:vAlign w:val="center"/>
          </w:tcPr>
          <w:p>
            <w:r>
              <w:rPr>
                <w:rFonts w:ascii="Calibri" w:hAnsi="Calibri"/>
                <w:color w:val="172B4D"/>
                <w:sz w:val="18"/>
              </w:rPr>
              <w:t>IAM execution role</w:t>
            </w:r>
          </w:p>
        </w:tc>
        <w:tc>
          <w:tcPr>
            <w:tcW w:type="dxa" w:w="3216"/>
            <w:tcMar>
              <w:top w:w="100" w:type="dxa"/>
              <w:start w:w="120" w:type="dxa"/>
              <w:bottom w:w="100" w:type="dxa"/>
              <w:end w:w="120" w:type="dxa"/>
            </w:tcMar>
            <w:vAlign w:val="center"/>
          </w:tcPr>
          <w:p>
            <w:r>
              <w:rPr>
                <w:rFonts w:ascii="Calibri" w:hAnsi="Calibri"/>
                <w:color w:val="172B4D"/>
                <w:sz w:val="18"/>
              </w:rPr>
              <w:t>stock-agent-ecs-execution-role</w:t>
            </w:r>
          </w:p>
        </w:tc>
        <w:tc>
          <w:tcPr>
            <w:tcW w:type="dxa" w:w="3216"/>
            <w:tcMar>
              <w:top w:w="100" w:type="dxa"/>
              <w:start w:w="120" w:type="dxa"/>
              <w:bottom w:w="100" w:type="dxa"/>
              <w:end w:w="120" w:type="dxa"/>
            </w:tcMar>
            <w:vAlign w:val="center"/>
          </w:tcPr>
          <w:p>
            <w:r>
              <w:rPr>
                <w:rFonts w:ascii="Calibri" w:hAnsi="Calibri"/>
                <w:color w:val="172B4D"/>
                <w:sz w:val="18"/>
              </w:rPr>
              <w:t>Pulls ECR images and writes logs.</w:t>
            </w:r>
          </w:p>
        </w:tc>
      </w:tr>
      <w:tr>
        <w:tc>
          <w:tcPr>
            <w:tcW w:type="dxa" w:w="3216"/>
            <w:tcMar>
              <w:top w:w="100" w:type="dxa"/>
              <w:start w:w="120" w:type="dxa"/>
              <w:bottom w:w="100" w:type="dxa"/>
              <w:end w:w="120" w:type="dxa"/>
            </w:tcMar>
            <w:vAlign w:val="center"/>
          </w:tcPr>
          <w:p>
            <w:r>
              <w:rPr>
                <w:rFonts w:ascii="Calibri" w:hAnsi="Calibri"/>
                <w:color w:val="172B4D"/>
                <w:sz w:val="18"/>
              </w:rPr>
              <w:t>IAM task role</w:t>
            </w:r>
          </w:p>
        </w:tc>
        <w:tc>
          <w:tcPr>
            <w:tcW w:type="dxa" w:w="3216"/>
            <w:tcMar>
              <w:top w:w="100" w:type="dxa"/>
              <w:start w:w="120" w:type="dxa"/>
              <w:bottom w:w="100" w:type="dxa"/>
              <w:end w:w="120" w:type="dxa"/>
            </w:tcMar>
            <w:vAlign w:val="center"/>
          </w:tcPr>
          <w:p>
            <w:r>
              <w:rPr>
                <w:rFonts w:ascii="Calibri" w:hAnsi="Calibri"/>
                <w:color w:val="172B4D"/>
                <w:sz w:val="18"/>
              </w:rPr>
              <w:t>stock-agent-ecs-task-role</w:t>
            </w:r>
          </w:p>
        </w:tc>
        <w:tc>
          <w:tcPr>
            <w:tcW w:type="dxa" w:w="3216"/>
            <w:tcMar>
              <w:top w:w="100" w:type="dxa"/>
              <w:start w:w="120" w:type="dxa"/>
              <w:bottom w:w="100" w:type="dxa"/>
              <w:end w:w="120" w:type="dxa"/>
            </w:tcMar>
            <w:vAlign w:val="center"/>
          </w:tcPr>
          <w:p>
            <w:r>
              <w:rPr>
                <w:rFonts w:ascii="Calibri" w:hAnsi="Calibri"/>
                <w:color w:val="172B4D"/>
                <w:sz w:val="18"/>
              </w:rPr>
              <w:t>Reads S3 reports and invokes Bedrock.</w:t>
            </w:r>
          </w:p>
        </w:tc>
      </w:tr>
      <w:tr>
        <w:tc>
          <w:tcPr>
            <w:tcW w:type="dxa" w:w="3216"/>
            <w:tcMar>
              <w:top w:w="100" w:type="dxa"/>
              <w:start w:w="120" w:type="dxa"/>
              <w:bottom w:w="100" w:type="dxa"/>
              <w:end w:w="120" w:type="dxa"/>
            </w:tcMar>
            <w:vAlign w:val="center"/>
          </w:tcPr>
          <w:p>
            <w:r>
              <w:rPr>
                <w:rFonts w:ascii="Calibri" w:hAnsi="Calibri"/>
                <w:color w:val="172B4D"/>
                <w:sz w:val="18"/>
              </w:rPr>
              <w:t>Security group</w:t>
            </w:r>
          </w:p>
        </w:tc>
        <w:tc>
          <w:tcPr>
            <w:tcW w:type="dxa" w:w="3216"/>
            <w:tcMar>
              <w:top w:w="100" w:type="dxa"/>
              <w:start w:w="120" w:type="dxa"/>
              <w:bottom w:w="100" w:type="dxa"/>
              <w:end w:w="120" w:type="dxa"/>
            </w:tcMar>
            <w:vAlign w:val="center"/>
          </w:tcPr>
          <w:p>
            <w:r>
              <w:rPr>
                <w:rFonts w:ascii="Calibri" w:hAnsi="Calibri"/>
                <w:color w:val="172B4D"/>
                <w:sz w:val="18"/>
              </w:rPr>
              <w:t>stock-agent-ecs-sg</w:t>
            </w:r>
          </w:p>
        </w:tc>
        <w:tc>
          <w:tcPr>
            <w:tcW w:type="dxa" w:w="3216"/>
            <w:tcMar>
              <w:top w:w="100" w:type="dxa"/>
              <w:start w:w="120" w:type="dxa"/>
              <w:bottom w:w="100" w:type="dxa"/>
              <w:end w:w="120" w:type="dxa"/>
            </w:tcMar>
            <w:vAlign w:val="center"/>
          </w:tcPr>
          <w:p>
            <w:r>
              <w:rPr>
                <w:rFonts w:ascii="Calibri" w:hAnsi="Calibri"/>
                <w:color w:val="172B4D"/>
                <w:sz w:val="18"/>
              </w:rPr>
              <w:t>Currently permits inbound TCP 8501 for the demonstration service.</w:t>
            </w:r>
          </w:p>
        </w:tc>
      </w:tr>
      <w:tr>
        <w:tc>
          <w:tcPr>
            <w:tcW w:type="dxa" w:w="3216"/>
          </w:tcPr>
          <w:p>
            <w:r>
              <w:t>OpenSearch Serverless</w:t>
            </w:r>
          </w:p>
        </w:tc>
        <w:tc>
          <w:tcPr>
            <w:tcW w:type="dxa" w:w="3216"/>
          </w:tcPr>
          <w:p>
            <w:r>
              <w:t>stock-agent-vectors</w:t>
            </w:r>
          </w:p>
        </w:tc>
        <w:tc>
          <w:tcPr>
            <w:tcW w:type="dxa" w:w="3216"/>
          </w:tcPr>
          <w:p>
            <w:r>
              <w:t>Vector collection 8sxalipy464p1anut4s6 containing 712 embedded report chunks.</w:t>
            </w:r>
          </w:p>
        </w:tc>
      </w:tr>
    </w:tbl>
    <w:p>
      <w:pPr>
        <w:spacing w:after="20"/>
      </w:pPr>
    </w:p>
    <w:p>
      <w:pPr>
        <w:pStyle w:val="Heading2"/>
        <w:keepNext/>
      </w:pPr>
      <w:r>
        <w:t>14.2 ECS task definition</w:t>
      </w:r>
    </w:p>
    <w:p>
      <w:pPr>
        <w:pStyle w:val="ListBullet"/>
      </w:pPr>
      <w:r>
        <w:rPr>
          <w:rFonts w:ascii="Calibri" w:hAnsi="Calibri"/>
          <w:color w:val="172B4D"/>
          <w:sz w:val="22"/>
        </w:rPr>
        <w:t>Fargate compatibility with awsvpc networking.</w:t>
      </w:r>
    </w:p>
    <w:p>
      <w:pPr>
        <w:pStyle w:val="ListBullet"/>
      </w:pPr>
      <w:r>
        <w:rPr>
          <w:rFonts w:ascii="Calibri" w:hAnsi="Calibri"/>
          <w:color w:val="172B4D"/>
          <w:sz w:val="22"/>
        </w:rPr>
        <w:t>1 vCPU and 2 GB memory.</w:t>
      </w:r>
    </w:p>
    <w:p>
      <w:pPr>
        <w:pStyle w:val="ListBullet"/>
      </w:pPr>
      <w:r>
        <w:t>Container image from the dev-dsmay-stock-agent-repo ECR repository.</w:t>
      </w:r>
    </w:p>
    <w:p>
      <w:pPr>
        <w:pStyle w:val="ListBullet"/>
      </w:pPr>
      <w:r>
        <w:rPr>
          <w:rFonts w:ascii="Calibri" w:hAnsi="Calibri"/>
          <w:color w:val="172B4D"/>
          <w:sz w:val="22"/>
        </w:rPr>
        <w:t>Port mapping for Streamlit on 8501.</w:t>
      </w:r>
    </w:p>
    <w:p>
      <w:pPr>
        <w:pStyle w:val="ListBullet"/>
      </w:pPr>
      <w:r>
        <w:t>Environment values for region, Bedrock models, OpenSearch endpoint/index, S3 bucket/prefix, SEC user agent, and stock universe.</w:t>
      </w:r>
    </w:p>
    <w:p>
      <w:pPr>
        <w:pStyle w:val="ListBullet"/>
      </w:pPr>
      <w:r>
        <w:rPr>
          <w:rFonts w:ascii="Calibri" w:hAnsi="Calibri"/>
          <w:color w:val="172B4D"/>
          <w:sz w:val="22"/>
        </w:rPr>
        <w:t>awslogs driver configured for /ecs/stock-agent.</w:t>
      </w:r>
    </w:p>
    <w:p>
      <w:pPr>
        <w:pStyle w:val="ListBullet"/>
      </w:pPr>
      <w:r>
        <w:rPr>
          <w:rFonts w:ascii="Calibri" w:hAnsi="Calibri"/>
          <w:color w:val="172B4D"/>
          <w:sz w:val="22"/>
        </w:rPr>
        <w:t>Container-level health check against Streamlit's health endpoint.</w:t>
      </w:r>
    </w:p>
    <w:p>
      <w:pPr>
        <w:pStyle w:val="Heading2"/>
        <w:keepNext/>
      </w:pPr>
      <w:r>
        <w:t>14.3 Networking</w:t>
      </w:r>
    </w:p>
    <w:p>
      <w:r>
        <w:rPr>
          <w:rFonts w:ascii="Calibri" w:hAnsi="Calibri"/>
          <w:i w:val="0"/>
          <w:color w:val="172B4D"/>
          <w:sz w:val="22"/>
        </w:rPr>
        <w:t>The current service uses the default VPC, public subnets, awsvpc networking, and a public IP. This provides a direct demonstration URL, but the public IP changes when ECS replaces the task.</w:t>
      </w:r>
    </w:p>
    <w:tbl>
      <w:tblPr>
        <w:tblW w:type="auto" w:w="0"/>
        <w:jc w:val="center"/>
        <w:tblLayout w:type="fixed"/>
        <w:tblLook w:firstColumn="1" w:firstRow="1" w:lastColumn="0" w:lastRow="0" w:noHBand="0" w:noVBand="1" w:val="04A0"/>
      </w:tblPr>
      <w:tblGrid>
        <w:gridCol w:w="9648"/>
      </w:tblGrid>
      <w:tr>
        <w:tc>
          <w:tcPr>
            <w:tcW w:type="dxa" w:w="9000"/>
            <w:shd w:fill="FFF7D6"/>
            <w:tcMar>
              <w:top w:w="150" w:type="dxa"/>
              <w:start w:w="170" w:type="dxa"/>
              <w:bottom w:w="150" w:type="dxa"/>
              <w:end w:w="170" w:type="dxa"/>
            </w:tcMar>
          </w:tcPr>
          <w:p>
            <w:pPr>
              <w:spacing w:after="80"/>
            </w:pPr>
            <w:r>
              <w:rPr>
                <w:rFonts w:ascii="Calibri" w:hAnsi="Calibri"/>
                <w:b/>
                <w:color w:val="CF9F02"/>
                <w:sz w:val="22"/>
              </w:rPr>
              <w:t>Production recommendation</w:t>
            </w:r>
          </w:p>
          <w:p>
            <w:pPr>
              <w:spacing w:after="0"/>
            </w:pPr>
            <w:r>
              <w:rPr>
                <w:rFonts w:ascii="Calibri" w:hAnsi="Calibri"/>
                <w:color w:val="172B4D"/>
                <w:sz w:val="20"/>
              </w:rPr>
              <w:t>Place tasks in private subnets, add an Application Load Balancer with HTTPS and a stable DNS name, restrict the ECS security group to ALB traffic, and add authentication before exposing financial-document upload features to external users.</w:t>
            </w:r>
          </w:p>
        </w:tc>
      </w:tr>
    </w:tbl>
    <w:p>
      <w:pPr>
        <w:spacing w:after="20"/>
      </w:pPr>
    </w:p>
    <w:p>
      <w:pPr>
        <w:pStyle w:val="Heading2"/>
        <w:keepNext/>
      </w:pPr>
      <w:r>
        <w:t>14.4 IAM separation</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E9F2FF"/>
            <w:tcMar>
              <w:top w:w="100" w:type="dxa"/>
              <w:start w:w="120" w:type="dxa"/>
              <w:bottom w:w="100" w:type="dxa"/>
              <w:end w:w="120" w:type="dxa"/>
            </w:tcMar>
            <w:vAlign w:val="center"/>
          </w:tcPr>
          <w:p>
            <w:pPr>
              <w:jc w:val="left"/>
            </w:pPr>
            <w:r>
              <w:rPr>
                <w:rFonts w:ascii="Calibri" w:hAnsi="Calibri"/>
                <w:b/>
                <w:color w:val="172B4D"/>
                <w:sz w:val="19"/>
              </w:rPr>
              <w:t>Role</w:t>
            </w:r>
          </w:p>
        </w:tc>
        <w:tc>
          <w:tcPr>
            <w:tcW w:type="dxa" w:w="3671"/>
            <w:shd w:fill="E9F2FF"/>
            <w:tcMar>
              <w:top w:w="100" w:type="dxa"/>
              <w:start w:w="120" w:type="dxa"/>
              <w:bottom w:w="100" w:type="dxa"/>
              <w:end w:w="120" w:type="dxa"/>
            </w:tcMar>
            <w:vAlign w:val="center"/>
          </w:tcPr>
          <w:p>
            <w:pPr>
              <w:jc w:val="left"/>
            </w:pPr>
            <w:r>
              <w:rPr>
                <w:rFonts w:ascii="Calibri" w:hAnsi="Calibri"/>
                <w:b/>
                <w:color w:val="172B4D"/>
                <w:sz w:val="19"/>
              </w:rPr>
              <w:t>Permissions</w:t>
            </w:r>
          </w:p>
        </w:tc>
        <w:tc>
          <w:tcPr>
            <w:tcW w:type="dxa" w:w="3240"/>
            <w:shd w:fill="E9F2FF"/>
            <w:tcMar>
              <w:top w:w="100" w:type="dxa"/>
              <w:start w:w="120" w:type="dxa"/>
              <w:bottom w:w="100" w:type="dxa"/>
              <w:end w:w="120" w:type="dxa"/>
            </w:tcMar>
            <w:vAlign w:val="center"/>
          </w:tcPr>
          <w:p>
            <w:pPr>
              <w:jc w:val="left"/>
            </w:pPr>
            <w:r>
              <w:rPr>
                <w:rFonts w:ascii="Calibri" w:hAnsi="Calibri"/>
                <w:b/>
                <w:color w:val="172B4D"/>
                <w:sz w:val="19"/>
              </w:rPr>
              <w:t>Why separated</w:t>
            </w:r>
          </w:p>
        </w:tc>
      </w:tr>
      <w:tr>
        <w:tc>
          <w:tcPr>
            <w:tcW w:type="dxa" w:w="3216"/>
            <w:tcMar>
              <w:top w:w="100" w:type="dxa"/>
              <w:start w:w="120" w:type="dxa"/>
              <w:bottom w:w="100" w:type="dxa"/>
              <w:end w:w="120" w:type="dxa"/>
            </w:tcMar>
            <w:vAlign w:val="center"/>
          </w:tcPr>
          <w:p>
            <w:r>
              <w:rPr>
                <w:rFonts w:ascii="Calibri" w:hAnsi="Calibri"/>
                <w:color w:val="172B4D"/>
                <w:sz w:val="18"/>
              </w:rPr>
              <w:t>Execution role</w:t>
            </w:r>
          </w:p>
        </w:tc>
        <w:tc>
          <w:tcPr>
            <w:tcW w:type="dxa" w:w="3216"/>
            <w:tcMar>
              <w:top w:w="100" w:type="dxa"/>
              <w:start w:w="120" w:type="dxa"/>
              <w:bottom w:w="100" w:type="dxa"/>
              <w:end w:w="120" w:type="dxa"/>
            </w:tcMar>
            <w:vAlign w:val="center"/>
          </w:tcPr>
          <w:p>
            <w:r>
              <w:rPr>
                <w:rFonts w:ascii="Calibri" w:hAnsi="Calibri"/>
                <w:color w:val="172B4D"/>
                <w:sz w:val="18"/>
              </w:rPr>
              <w:t>ECR image pull and CloudWatch logging</w:t>
            </w:r>
          </w:p>
        </w:tc>
        <w:tc>
          <w:tcPr>
            <w:tcW w:type="dxa" w:w="3216"/>
            <w:tcMar>
              <w:top w:w="100" w:type="dxa"/>
              <w:start w:w="120" w:type="dxa"/>
              <w:bottom w:w="100" w:type="dxa"/>
              <w:end w:w="120" w:type="dxa"/>
            </w:tcMar>
            <w:vAlign w:val="center"/>
          </w:tcPr>
          <w:p>
            <w:r>
              <w:rPr>
                <w:rFonts w:ascii="Calibri" w:hAnsi="Calibri"/>
                <w:color w:val="172B4D"/>
                <w:sz w:val="18"/>
              </w:rPr>
              <w:t>Used by the ECS platform during task startup.</w:t>
            </w:r>
          </w:p>
        </w:tc>
      </w:tr>
      <w:tr>
        <w:tc>
          <w:tcPr>
            <w:tcW w:type="dxa" w:w="3216"/>
            <w:tcMar>
              <w:top w:w="100" w:type="dxa"/>
              <w:start w:w="120" w:type="dxa"/>
              <w:bottom w:w="100" w:type="dxa"/>
              <w:end w:w="120" w:type="dxa"/>
            </w:tcMar>
            <w:vAlign w:val="center"/>
          </w:tcPr>
          <w:p>
            <w:r>
              <w:rPr>
                <w:rFonts w:ascii="Calibri" w:hAnsi="Calibri"/>
                <w:color w:val="172B4D"/>
                <w:sz w:val="18"/>
              </w:rPr>
              <w:t>Task role</w:t>
            </w:r>
          </w:p>
        </w:tc>
        <w:tc>
          <w:tcPr>
            <w:tcW w:type="dxa" w:w="3216"/>
            <w:tcMar>
              <w:top w:w="100" w:type="dxa"/>
              <w:start w:w="120" w:type="dxa"/>
              <w:bottom w:w="100" w:type="dxa"/>
              <w:end w:w="120" w:type="dxa"/>
            </w:tcMar>
            <w:vAlign w:val="center"/>
          </w:tcPr>
          <w:p>
            <w:r>
              <w:t>S3 List/Get, Bedrock InvokeModel, and OpenSearch Serverless API access</w:t>
            </w:r>
          </w:p>
        </w:tc>
        <w:tc>
          <w:tcPr>
            <w:tcW w:type="dxa" w:w="3216"/>
            <w:tcMar>
              <w:top w:w="100" w:type="dxa"/>
              <w:start w:w="120" w:type="dxa"/>
              <w:bottom w:w="100" w:type="dxa"/>
              <w:end w:w="120" w:type="dxa"/>
            </w:tcMar>
            <w:vAlign w:val="center"/>
          </w:tcPr>
          <w:p>
            <w:r>
              <w:t>Used by application code for reports, embeddings, generation, and vector queries.</w:t>
            </w:r>
          </w:p>
        </w:tc>
      </w:tr>
      <w:tr>
        <w:tc>
          <w:tcPr>
            <w:tcW w:type="dxa" w:w="3216"/>
            <w:tcMar>
              <w:top w:w="100" w:type="dxa"/>
              <w:start w:w="120" w:type="dxa"/>
              <w:bottom w:w="100" w:type="dxa"/>
              <w:end w:w="120" w:type="dxa"/>
            </w:tcMar>
            <w:vAlign w:val="center"/>
          </w:tcPr>
          <w:p>
            <w:r>
              <w:rPr>
                <w:rFonts w:ascii="Calibri" w:hAnsi="Calibri"/>
                <w:color w:val="172B4D"/>
                <w:sz w:val="18"/>
              </w:rPr>
              <w:t>GitHub deployment role</w:t>
            </w:r>
          </w:p>
        </w:tc>
        <w:tc>
          <w:tcPr>
            <w:tcW w:type="dxa" w:w="3216"/>
            <w:tcMar>
              <w:top w:w="100" w:type="dxa"/>
              <w:start w:w="120" w:type="dxa"/>
              <w:bottom w:w="100" w:type="dxa"/>
              <w:end w:w="120" w:type="dxa"/>
            </w:tcMar>
            <w:vAlign w:val="center"/>
          </w:tcPr>
          <w:p>
            <w:r>
              <w:rPr>
                <w:rFonts w:ascii="Calibri" w:hAnsi="Calibri"/>
                <w:color w:val="172B4D"/>
                <w:sz w:val="18"/>
              </w:rPr>
              <w:t>ECR push, ECS deployment, iam:PassRole</w:t>
            </w:r>
          </w:p>
        </w:tc>
        <w:tc>
          <w:tcPr>
            <w:tcW w:type="dxa" w:w="3216"/>
            <w:tcMar>
              <w:top w:w="100" w:type="dxa"/>
              <w:start w:w="120" w:type="dxa"/>
              <w:bottom w:w="100" w:type="dxa"/>
              <w:end w:w="120" w:type="dxa"/>
            </w:tcMar>
            <w:vAlign w:val="center"/>
          </w:tcPr>
          <w:p>
            <w:r>
              <w:t>Required by CI/CD through GitHub OIDC; a Stock-agent-specific trusted role is not yet configured.</w:t>
            </w:r>
          </w:p>
        </w:tc>
      </w:tr>
    </w:tbl>
    <w:p>
      <w:pPr>
        <w:spacing w:after="20"/>
      </w:pPr>
    </w:p>
    <w:p>
      <w:pPr>
        <w:pStyle w:val="Heading2"/>
        <w:keepNext/>
      </w:pPr>
      <w:r>
        <w:t>14.5 Deployment sequence</w:t>
      </w:r>
    </w:p>
    <w:p>
      <w:pPr>
        <w:pStyle w:val="ListNumber"/>
      </w:pPr>
      <w:r>
        <w:rPr>
          <w:rFonts w:ascii="Calibri" w:hAnsi="Calibri"/>
          <w:color w:val="172B4D"/>
          <w:sz w:val="22"/>
        </w:rPr>
        <w:t>Build the Docker image locally or in GitHub Actions.</w:t>
      </w:r>
    </w:p>
    <w:p>
      <w:pPr>
        <w:pStyle w:val="ListNumber"/>
      </w:pPr>
      <w:r>
        <w:rPr>
          <w:rFonts w:ascii="Calibri" w:hAnsi="Calibri"/>
          <w:color w:val="172B4D"/>
          <w:sz w:val="22"/>
        </w:rPr>
        <w:t>Tag the image with the Git commit and latest.</w:t>
      </w:r>
    </w:p>
    <w:p>
      <w:pPr>
        <w:pStyle w:val="ListNumber"/>
      </w:pPr>
      <w:r>
        <w:rPr>
          <w:rFonts w:ascii="Calibri" w:hAnsi="Calibri"/>
          <w:color w:val="172B4D"/>
          <w:sz w:val="22"/>
        </w:rPr>
        <w:t>Authenticate to ECR using a short-lived token.</w:t>
      </w:r>
    </w:p>
    <w:p>
      <w:pPr>
        <w:pStyle w:val="ListNumber"/>
      </w:pPr>
      <w:r>
        <w:rPr>
          <w:rFonts w:ascii="Calibri" w:hAnsi="Calibri"/>
          <w:color w:val="172B4D"/>
          <w:sz w:val="22"/>
        </w:rPr>
        <w:t>Push both image tags.</w:t>
      </w:r>
    </w:p>
    <w:p>
      <w:pPr>
        <w:pStyle w:val="ListNumber"/>
      </w:pPr>
      <w:r>
        <w:rPr>
          <w:rFonts w:ascii="Calibri" w:hAnsi="Calibri"/>
          <w:color w:val="172B4D"/>
          <w:sz w:val="22"/>
        </w:rPr>
        <w:t>Register a new ECS task-definition revision.</w:t>
      </w:r>
    </w:p>
    <w:p>
      <w:pPr>
        <w:pStyle w:val="ListNumber"/>
      </w:pPr>
      <w:r>
        <w:rPr>
          <w:rFonts w:ascii="Calibri" w:hAnsi="Calibri"/>
          <w:color w:val="172B4D"/>
          <w:sz w:val="22"/>
        </w:rPr>
        <w:t>Update the ECS service and wait for service stability.</w:t>
      </w:r>
    </w:p>
    <w:p>
      <w:pPr>
        <w:pStyle w:val="ListNumber"/>
      </w:pPr>
      <w:r>
        <w:rPr>
          <w:rFonts w:ascii="Calibri" w:hAnsi="Calibri"/>
          <w:color w:val="172B4D"/>
          <w:sz w:val="22"/>
        </w:rPr>
        <w:t>Resolve the task public IP or ALB URL and verify /_stcore/health returns HTTP 200.</w:t>
      </w:r>
    </w:p>
    <w:p>
      <w:pPr>
        <w:pStyle w:val="Heading1"/>
        <w:keepNext/>
      </w:pPr>
      <w:r>
        <w:t>15. Phase 10 - CI/CD with GitHub Actions</w:t>
      </w:r>
    </w:p>
    <w:p>
      <w:r>
        <w:rPr>
          <w:rFonts w:ascii="Calibri" w:hAnsi="Calibri"/>
          <w:i w:val="0"/>
          <w:color w:val="172B4D"/>
          <w:sz w:val="22"/>
        </w:rPr>
        <w:t>The CI/CD workflow is intentionally split into validation and deployment. Validation runs for pushes and pull requests. Deployment is opt-in and restricted to main-branch pushes.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376"/>
            <w:shd w:fill="E9F2FF"/>
            <w:tcMar>
              <w:top w:w="100" w:type="dxa"/>
              <w:start w:w="120" w:type="dxa"/>
              <w:bottom w:w="100" w:type="dxa"/>
              <w:end w:w="120" w:type="dxa"/>
            </w:tcMar>
            <w:vAlign w:val="center"/>
          </w:tcPr>
          <w:p>
            <w:pPr>
              <w:jc w:val="left"/>
            </w:pPr>
            <w:r>
              <w:rPr>
                <w:rFonts w:ascii="Calibri" w:hAnsi="Calibri"/>
                <w:b/>
                <w:color w:val="172B4D"/>
                <w:sz w:val="19"/>
              </w:rPr>
              <w:t>Job/step</w:t>
            </w:r>
          </w:p>
        </w:tc>
        <w:tc>
          <w:tcPr>
            <w:tcW w:type="dxa" w:w="6623"/>
            <w:shd w:fill="E9F2FF"/>
            <w:tcMar>
              <w:top w:w="100" w:type="dxa"/>
              <w:start w:w="120" w:type="dxa"/>
              <w:bottom w:w="100" w:type="dxa"/>
              <w:end w:w="120" w:type="dxa"/>
            </w:tcMar>
            <w:vAlign w:val="center"/>
          </w:tcPr>
          <w:p>
            <w:pPr>
              <w:jc w:val="left"/>
            </w:pPr>
            <w:r>
              <w:rPr>
                <w:rFonts w:ascii="Calibri" w:hAnsi="Calibri"/>
                <w:b/>
                <w:color w:val="172B4D"/>
                <w:sz w:val="19"/>
              </w:rPr>
              <w:t>Action</w:t>
            </w:r>
          </w:p>
        </w:tc>
      </w:tr>
      <w:tr>
        <w:tc>
          <w:tcPr>
            <w:tcW w:type="dxa" w:w="4824"/>
          </w:tcPr>
          <w:p>
            <w:r>
              <w:t>Workflow language</w:t>
            </w:r>
          </w:p>
        </w:tc>
        <w:tc>
          <w:tcPr>
            <w:tcW w:type="dxa" w:w="4824"/>
          </w:tcPr>
          <w:p>
            <w:r>
              <w:t>YAML defines triggers, jobs, permissions, environment values, conditions, and action versions.</w:t>
            </w:r>
          </w:p>
        </w:tc>
      </w:tr>
      <w:tr>
        <w:tc>
          <w:tcPr>
            <w:tcW w:type="dxa" w:w="4824"/>
          </w:tcPr>
          <w:p>
            <w:r>
              <w:t>Shell language</w:t>
            </w:r>
          </w:p>
        </w:tc>
        <w:tc>
          <w:tcPr>
            <w:tcW w:type="dxa" w:w="4824"/>
          </w:tcPr>
          <w:p>
            <w:r>
              <w:t>Bash commands run on GitHub-hosted Ubuntu workers for dependency installation, validation, and Docker operations.</w:t>
            </w:r>
          </w:p>
        </w:tc>
      </w:tr>
      <w:tr>
        <w:tc>
          <w:tcPr>
            <w:tcW w:type="dxa" w:w="4824"/>
          </w:tcPr>
          <w:p>
            <w:r>
              <w:t>Application language</w:t>
            </w:r>
          </w:p>
        </w:tc>
        <w:tc>
          <w:tcPr>
            <w:tcW w:type="dxa" w:w="4824"/>
          </w:tcPr>
          <w:p>
            <w:r>
              <w:t>Python 3.12 executes the application, Ruff, Pytest, coverage, and helper scripts.</w:t>
            </w:r>
          </w:p>
        </w:tc>
      </w:tr>
      <w:tr>
        <w:tc>
          <w:tcPr>
            <w:tcW w:type="dxa" w:w="4824"/>
          </w:tcPr>
          <w:p>
            <w:r>
              <w:t>Container definition</w:t>
            </w:r>
          </w:p>
        </w:tc>
        <w:tc>
          <w:tcPr>
            <w:tcW w:type="dxa" w:w="4824"/>
          </w:tcPr>
          <w:p>
            <w:r>
              <w:t>Dockerfile describes the reproducible Streamlit runtime and health check.</w:t>
            </w:r>
          </w:p>
        </w:tc>
      </w:tr>
      <w:tr>
        <w:tc>
          <w:tcPr>
            <w:tcW w:type="dxa" w:w="4824"/>
          </w:tcPr>
          <w:p>
            <w:r>
              <w:t>Test job</w:t>
            </w:r>
          </w:p>
        </w:tc>
        <w:tc>
          <w:tcPr>
            <w:tcW w:type="dxa" w:w="4824"/>
          </w:tcPr>
          <w:p>
            <w:r>
              <w:t>Checkout, install Python/uv, sync dependencies, run Ruff, run Pytest with coverage, and build a test image.</w:t>
            </w:r>
          </w:p>
        </w:tc>
      </w:tr>
      <w:tr>
        <w:tc>
          <w:tcPr>
            <w:tcW w:type="dxa" w:w="4824"/>
          </w:tcPr>
          <w:p>
            <w:r>
              <w:t>Deployment gate</w:t>
            </w:r>
          </w:p>
        </w:tc>
        <w:tc>
          <w:tcPr>
            <w:tcW w:type="dxa" w:w="4824"/>
          </w:tcPr>
          <w:p>
            <w:r>
              <w:t>Requires AWS_DEPLOY_ENABLED=true and a push to main; Madhavi pushes and pull requests validate only.</w:t>
            </w:r>
          </w:p>
        </w:tc>
      </w:tr>
      <w:tr>
        <w:tc>
          <w:tcPr>
            <w:tcW w:type="dxa" w:w="4824"/>
          </w:tcPr>
          <w:p>
            <w:r>
              <w:t>Credential setup</w:t>
            </w:r>
          </w:p>
        </w:tc>
        <w:tc>
          <w:tcPr>
            <w:tcW w:type="dxa" w:w="4824"/>
          </w:tcPr>
          <w:p>
            <w:r>
              <w:t>GitHub OIDC assumes AWS_ROLE_ARN; no static cloud key is stored in GitHub.</w:t>
            </w:r>
          </w:p>
        </w:tc>
      </w:tr>
      <w:tr>
        <w:tc>
          <w:tcPr>
            <w:tcW w:type="dxa" w:w="4824"/>
          </w:tcPr>
          <w:p>
            <w:r>
              <w:t>ECR</w:t>
            </w:r>
          </w:p>
        </w:tc>
        <w:tc>
          <w:tcPr>
            <w:tcW w:type="dxa" w:w="4824"/>
          </w:tcPr>
          <w:p>
            <w:r>
              <w:t>Build, tag with commit SHA, and push to dev-dsmay-stock-agent-repo.</w:t>
            </w:r>
          </w:p>
        </w:tc>
      </w:tr>
      <w:tr>
        <w:tc>
          <w:tcPr>
            <w:tcW w:type="dxa" w:w="4824"/>
          </w:tcPr>
          <w:p>
            <w:r>
              <w:t>ECS</w:t>
            </w:r>
          </w:p>
        </w:tc>
        <w:tc>
          <w:tcPr>
            <w:tcW w:type="dxa" w:w="4824"/>
          </w:tcPr>
          <w:p>
            <w:r>
              <w:t>Render the task definition and deploy to dev-dsmay-stock-agent-ecs in dev-dsmay-stock-agent-cluster.</w:t>
            </w:r>
          </w:p>
        </w:tc>
      </w:tr>
      <w:tr>
        <w:tc>
          <w:tcPr>
            <w:tcW w:type="dxa" w:w="4824"/>
          </w:tcPr>
          <w:p>
            <w:r>
              <w:t>Stability check</w:t>
            </w:r>
          </w:p>
        </w:tc>
        <w:tc>
          <w:tcPr>
            <w:tcW w:type="dxa" w:w="4824"/>
          </w:tcPr>
          <w:p>
            <w:r>
              <w:t>Wait for ECS service stability; health checks and the circuit breaker protect the release.</w:t>
            </w:r>
          </w:p>
        </w:tc>
      </w:tr>
    </w:tbl>
    <w:p>
      <w:pPr>
        <w:spacing w:after="20"/>
      </w:pPr>
    </w:p>
    <w:p>
      <w:pPr>
        <w:pStyle w:val="Heading2"/>
        <w:keepNext/>
      </w:pPr>
      <w:r>
        <w:t>15.1 Required GitHub configuration</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shd w:fill="E9F2FF"/>
            <w:tcMar>
              <w:top w:w="100" w:type="dxa"/>
              <w:start w:w="120" w:type="dxa"/>
              <w:bottom w:w="100" w:type="dxa"/>
              <w:end w:w="120" w:type="dxa"/>
            </w:tcMar>
            <w:vAlign w:val="center"/>
          </w:tcPr>
          <w:p>
            <w:pPr>
              <w:jc w:val="left"/>
            </w:pPr>
            <w:r>
              <w:rPr>
                <w:rFonts w:ascii="Calibri" w:hAnsi="Calibri"/>
                <w:b/>
                <w:color w:val="172B4D"/>
                <w:sz w:val="19"/>
              </w:rPr>
              <w:t>Type</w:t>
            </w:r>
          </w:p>
        </w:tc>
        <w:tc>
          <w:tcPr>
            <w:tcW w:type="dxa" w:w="3024"/>
            <w:shd w:fill="E9F2FF"/>
            <w:tcMar>
              <w:top w:w="100" w:type="dxa"/>
              <w:start w:w="120" w:type="dxa"/>
              <w:bottom w:w="100" w:type="dxa"/>
              <w:end w:w="120" w:type="dxa"/>
            </w:tcMar>
            <w:vAlign w:val="center"/>
          </w:tcPr>
          <w:p>
            <w:pPr>
              <w:jc w:val="left"/>
            </w:pPr>
            <w:r>
              <w:rPr>
                <w:rFonts w:ascii="Calibri" w:hAnsi="Calibri"/>
                <w:b/>
                <w:color w:val="172B4D"/>
                <w:sz w:val="19"/>
              </w:rPr>
              <w:t>Name</w:t>
            </w:r>
          </w:p>
        </w:tc>
        <w:tc>
          <w:tcPr>
            <w:tcW w:type="dxa" w:w="4536"/>
            <w:shd w:fill="E9F2FF"/>
            <w:tcMar>
              <w:top w:w="100" w:type="dxa"/>
              <w:start w:w="120" w:type="dxa"/>
              <w:bottom w:w="100" w:type="dxa"/>
              <w:end w:w="120" w:type="dxa"/>
            </w:tcMar>
            <w:vAlign w:val="center"/>
          </w:tcPr>
          <w:p>
            <w:pPr>
              <w:jc w:val="left"/>
            </w:pPr>
            <w:r>
              <w:rPr>
                <w:rFonts w:ascii="Calibri" w:hAnsi="Calibri"/>
                <w:b/>
                <w:color w:val="172B4D"/>
                <w:sz w:val="19"/>
              </w:rPr>
              <w:t>Purpose</w:t>
            </w:r>
          </w:p>
        </w:tc>
      </w:tr>
      <w:tr>
        <w:tc>
          <w:tcPr>
            <w:tcW w:type="dxa" w:w="3216"/>
          </w:tcPr>
          <w:p>
            <w:r>
              <w:t>Secret</w:t>
            </w:r>
          </w:p>
        </w:tc>
        <w:tc>
          <w:tcPr>
            <w:tcW w:type="dxa" w:w="3216"/>
          </w:tcPr>
          <w:p>
            <w:r>
              <w:t>AWS_ROLE_ARN</w:t>
            </w:r>
          </w:p>
        </w:tc>
        <w:tc>
          <w:tcPr>
            <w:tcW w:type="dxa" w:w="3216"/>
          </w:tcPr>
          <w:p>
            <w:r>
              <w:t>OIDC-assumable IAM role that trusts Madhavitippareddy1/Stock-agent.</w:t>
            </w:r>
          </w:p>
        </w:tc>
      </w:tr>
      <w:tr>
        <w:tc>
          <w:tcPr>
            <w:tcW w:type="dxa" w:w="3216"/>
          </w:tcPr>
          <w:p>
            <w:r>
              <w:t>Variable</w:t>
            </w:r>
          </w:p>
        </w:tc>
        <w:tc>
          <w:tcPr>
            <w:tcW w:type="dxa" w:w="3216"/>
          </w:tcPr>
          <w:p>
            <w:r>
              <w:t>AWS_DEPLOY_ENABLED</w:t>
            </w:r>
          </w:p>
        </w:tc>
        <w:tc>
          <w:tcPr>
            <w:tcW w:type="dxa" w:w="3216"/>
          </w:tcPr>
          <w:p>
            <w:r>
              <w:t>Set to true to permit main-branch deployments.</w:t>
            </w:r>
          </w:p>
        </w:tc>
      </w:tr>
      <w:tr>
        <w:tc>
          <w:tcPr>
            <w:tcW w:type="dxa" w:w="3216"/>
          </w:tcPr>
          <w:p>
            <w:r>
              <w:t>Workflow env</w:t>
            </w:r>
          </w:p>
        </w:tc>
        <w:tc>
          <w:tcPr>
            <w:tcW w:type="dxa" w:w="3216"/>
          </w:tcPr>
          <w:p>
            <w:r>
              <w:t>AWS_REGION</w:t>
            </w:r>
          </w:p>
        </w:tc>
        <w:tc>
          <w:tcPr>
            <w:tcW w:type="dxa" w:w="3216"/>
          </w:tcPr>
          <w:p>
            <w:r>
              <w:t>eu-west-2</w:t>
            </w:r>
          </w:p>
        </w:tc>
      </w:tr>
      <w:tr>
        <w:tc>
          <w:tcPr>
            <w:tcW w:type="dxa" w:w="3216"/>
          </w:tcPr>
          <w:p>
            <w:r>
              <w:t>Workflow env</w:t>
            </w:r>
          </w:p>
        </w:tc>
        <w:tc>
          <w:tcPr>
            <w:tcW w:type="dxa" w:w="3216"/>
          </w:tcPr>
          <w:p>
            <w:r>
              <w:t>ECR_REPOSITORY</w:t>
            </w:r>
          </w:p>
        </w:tc>
        <w:tc>
          <w:tcPr>
            <w:tcW w:type="dxa" w:w="3216"/>
          </w:tcPr>
          <w:p>
            <w:r>
              <w:t>dev-dsmay-stock-agent-repo</w:t>
            </w:r>
          </w:p>
        </w:tc>
      </w:tr>
      <w:tr>
        <w:tc>
          <w:tcPr>
            <w:tcW w:type="dxa" w:w="3216"/>
          </w:tcPr>
          <w:p>
            <w:r>
              <w:t>Workflow env</w:t>
            </w:r>
          </w:p>
        </w:tc>
        <w:tc>
          <w:tcPr>
            <w:tcW w:type="dxa" w:w="3216"/>
          </w:tcPr>
          <w:p>
            <w:r>
              <w:t>ECS_CLUSTER</w:t>
            </w:r>
          </w:p>
        </w:tc>
        <w:tc>
          <w:tcPr>
            <w:tcW w:type="dxa" w:w="3216"/>
          </w:tcPr>
          <w:p>
            <w:r>
              <w:t>dev-dsmay-stock-agent-cluster</w:t>
            </w:r>
          </w:p>
        </w:tc>
      </w:tr>
      <w:tr>
        <w:tc>
          <w:tcPr>
            <w:tcW w:type="dxa" w:w="3216"/>
          </w:tcPr>
          <w:p>
            <w:r>
              <w:t>Workflow env</w:t>
            </w:r>
          </w:p>
        </w:tc>
        <w:tc>
          <w:tcPr>
            <w:tcW w:type="dxa" w:w="3216"/>
          </w:tcPr>
          <w:p>
            <w:r>
              <w:t>ECS_SERVICE</w:t>
            </w:r>
          </w:p>
        </w:tc>
        <w:tc>
          <w:tcPr>
            <w:tcW w:type="dxa" w:w="3216"/>
          </w:tcPr>
          <w:p>
            <w:r>
              <w:t>dev-dsmay-stock-agent-ecs</w:t>
            </w:r>
          </w:p>
        </w:tc>
      </w:tr>
      <w:tr>
        <w:tc>
          <w:tcPr>
            <w:tcW w:type="dxa" w:w="3216"/>
          </w:tcPr>
          <w:p>
            <w:r>
              <w:t>Workflow env</w:t>
            </w:r>
          </w:p>
        </w:tc>
        <w:tc>
          <w:tcPr>
            <w:tcW w:type="dxa" w:w="3216"/>
          </w:tcPr>
          <w:p>
            <w:r>
              <w:t>ECS_TASK_DEFINITION</w:t>
            </w:r>
          </w:p>
        </w:tc>
        <w:tc>
          <w:tcPr>
            <w:tcW w:type="dxa" w:w="3216"/>
          </w:tcPr>
          <w:p>
            <w:r>
              <w:t>infra/ecs-task-definition.json</w:t>
            </w:r>
          </w:p>
        </w:tc>
      </w:tr>
    </w:tbl>
    <w:p>
      <w:pPr>
        <w:spacing w:after="20"/>
      </w:pPr>
    </w:p>
    <w:p>
      <w:pPr>
        <w:pStyle w:val="Heading2"/>
      </w:pPr>
      <w:r>
        <w:t>15.2 Languages used by the pipeline</w:t>
      </w:r>
    </w:p>
    <w:p>
      <w:pPr/>
      <w:r>
        <w:t>The pipeline is primarily written in YAML in .github/workflows/ci-cd.yml. YAML declares triggers, jobs, permissions, environment values, conditions, and reusable actions. Bash commands execute inside Ubuntu runners. Python 3.12 runs the quality tools and tests, the Dockerfile defines the image, and JSON defines ECS and IAM configuration.</w:t>
      </w:r>
    </w:p>
    <w:p>
      <w:pPr>
        <w:pStyle w:val="Heading2"/>
      </w:pPr>
      <w:r>
        <w:t>15.3 Trigger and branch behavior</w:t>
      </w:r>
    </w:p>
    <w:p>
      <w:pPr/>
      <w:r>
        <w:t>A push to Madhavi runs continuous integration only. A pull request also runs continuous integration only. A push or merge to main runs continuous integration first and can continue to deployment only when AWS_DEPLOY_ENABLED is true.</w:t>
      </w:r>
    </w:p>
    <w:p>
      <w:pPr>
        <w:pStyle w:val="Heading2"/>
      </w:pPr>
      <w:r>
        <w:t>15.4 Continuous integration sequence</w:t>
      </w:r>
    </w:p>
    <w:p>
      <w:pPr/>
      <w:r>
        <w:t>1. Create a clean ubuntu-latest runner and check out the commit.</w:t>
        <w:br/>
        <w:t>2. Install uv and Python 3.12.</w:t>
        <w:br/>
        <w:t>3. Install locked dependencies with uv sync --dev.</w:t>
        <w:br/>
        <w:t>4. Run Ruff.</w:t>
        <w:br/>
        <w:t>5. Run 21 Pytest tests with coverage.</w:t>
        <w:br/>
        <w:t>6. Build stock-agent:test with Docker.</w:t>
        <w:br/>
        <w:t>7. Stop immediately if any command fails.</w:t>
      </w:r>
    </w:p>
    <w:p>
      <w:pPr>
        <w:pStyle w:val="Heading2"/>
      </w:pPr>
      <w:r>
        <w:t>15.5 Continuous deployment sequence</w:t>
      </w:r>
    </w:p>
    <w:p>
      <w:pPr/>
      <w:r>
        <w:t>1. Wait for the test job through needs: test.</w:t>
        <w:br/>
        <w:t>2. Validate the role and deployment values.</w:t>
        <w:br/>
        <w:t>3. Exchange a GitHub OIDC token for temporary AWS credentials.</w:t>
        <w:br/>
        <w:t>4. Log Docker into ECR.</w:t>
        <w:br/>
        <w:t>5. Build and push an image tagged with the Git commit SHA.</w:t>
        <w:br/>
        <w:t>6. Render the task definition with the new image.</w:t>
        <w:br/>
        <w:t>7. Deploy to the renamed ECS service and wait for stability.</w:t>
        <w:br/>
        <w:t>8. Use the health check and circuit breaker to protect or roll back the release.</w:t>
      </w:r>
    </w:p>
    <w:p>
      <w:pPr>
        <w:pStyle w:val="Heading2"/>
      </w:pPr>
      <w:r>
        <w:t>15.6 Current deployment prerequisite</w:t>
      </w:r>
    </w:p>
    <w:p>
      <w:pPr/>
      <w:r>
        <w:t>Automatic GitHub deployment is not fully enabled until an IAM OIDC role explicitly trusts repo:Madhavitippareddy1/Stock-agent and its ARN is stored as AWS_ROLE_ARN. Existing GitHub-related roles in the account trust other repositories and should not be reused without a deliberate least-privilege review.</w:t>
      </w:r>
    </w:p>
    <w:p>
      <w:pPr>
        <w:pStyle w:val="Heading2"/>
      </w:pPr>
      <w:r>
        <w:t>15.7 Email and workflow notifications</w:t>
      </w:r>
    </w:p>
    <w:p>
      <w:pPr/>
      <w:r>
        <w:t>GitHub can email workflow updates without SMTP credentials. Verify an email address in GitHub, open Settings &gt; Notifications, enable Email under System &gt; Actions, and optionally select failure-only notifications. Watch the repository for broader activity. Workflow history and logs are available on the Actions page. The current workflow does not send custom application emails; Amazon SES or another approved service can be added later for tailored deployment messages.</w:t>
      </w:r>
    </w:p>
    <w:p>
      <w:pPr>
        <w:pStyle w:val="Heading2"/>
      </w:pPr>
      <w:r>
        <w:t>15.8 Recommended release procedure</w:t>
      </w:r>
    </w:p>
    <w:p>
      <w:pPr/>
      <w:r>
        <w:t>Develop on Madhavi, open a pull request, review passing CI checks, merge into main, confirm OIDC authentication, and verify ECS stability plus /_stcore/health. The commit SHA provides traceability from source to the ECR image.</w:t>
      </w:r>
    </w:p>
    <w:p>
      <w:pPr>
        <w:pStyle w:val="Heading1"/>
        <w:keepNext/>
      </w:pPr>
      <w:r>
        <w:t>16. Phase 11 - Testing and quality assurance</w:t>
      </w:r>
    </w:p>
    <w:p>
      <w:r>
        <w:rPr>
          <w:rFonts w:ascii="Calibri" w:hAnsi="Calibri"/>
          <w:i w:val="0"/>
          <w:color w:val="172B4D"/>
          <w:sz w:val="22"/>
        </w:rPr>
        <w:t>The project uses fast unit tests around external boundaries. Yahoo, S3, and SEC behavior is mocked where possible, while selected live checks were used during deployment.</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232"/>
            <w:shd w:fill="E9F2FF"/>
            <w:tcMar>
              <w:top w:w="100" w:type="dxa"/>
              <w:start w:w="120" w:type="dxa"/>
              <w:bottom w:w="100" w:type="dxa"/>
              <w:end w:w="120" w:type="dxa"/>
            </w:tcMar>
            <w:vAlign w:val="center"/>
          </w:tcPr>
          <w:p>
            <w:pPr>
              <w:jc w:val="left"/>
            </w:pPr>
            <w:r>
              <w:rPr>
                <w:rFonts w:ascii="Calibri" w:hAnsi="Calibri"/>
                <w:b/>
                <w:color w:val="172B4D"/>
                <w:sz w:val="19"/>
              </w:rPr>
              <w:t>Test area</w:t>
            </w:r>
          </w:p>
        </w:tc>
        <w:tc>
          <w:tcPr>
            <w:tcW w:type="dxa" w:w="6768"/>
            <w:shd w:fill="E9F2FF"/>
            <w:tcMar>
              <w:top w:w="100" w:type="dxa"/>
              <w:start w:w="120" w:type="dxa"/>
              <w:bottom w:w="100" w:type="dxa"/>
              <w:end w:w="120" w:type="dxa"/>
            </w:tcMar>
            <w:vAlign w:val="center"/>
          </w:tcPr>
          <w:p>
            <w:pPr>
              <w:jc w:val="left"/>
            </w:pPr>
            <w:r>
              <w:rPr>
                <w:rFonts w:ascii="Calibri" w:hAnsi="Calibri"/>
                <w:b/>
                <w:color w:val="172B4D"/>
                <w:sz w:val="19"/>
              </w:rPr>
              <w:t>What is verified</w:t>
            </w:r>
          </w:p>
        </w:tc>
      </w:tr>
      <w:tr>
        <w:tc>
          <w:tcPr>
            <w:tcW w:type="dxa" w:w="4824"/>
            <w:tcMar>
              <w:top w:w="100" w:type="dxa"/>
              <w:start w:w="120" w:type="dxa"/>
              <w:bottom w:w="100" w:type="dxa"/>
              <w:end w:w="120" w:type="dxa"/>
            </w:tcMar>
            <w:vAlign w:val="center"/>
          </w:tcPr>
          <w:p>
            <w:r>
              <w:rPr>
                <w:rFonts w:ascii="Calibri" w:hAnsi="Calibri"/>
                <w:color w:val="172B4D"/>
                <w:sz w:val="18"/>
              </w:rPr>
              <w:t>Supervisor</w:t>
            </w:r>
          </w:p>
        </w:tc>
        <w:tc>
          <w:tcPr>
            <w:tcW w:type="dxa" w:w="4824"/>
            <w:tcMar>
              <w:top w:w="100" w:type="dxa"/>
              <w:start w:w="120" w:type="dxa"/>
              <w:bottom w:w="100" w:type="dxa"/>
              <w:end w:w="120" w:type="dxa"/>
            </w:tcMar>
            <w:vAlign w:val="center"/>
          </w:tcPr>
          <w:p>
            <w:r>
              <w:rPr>
                <w:rFonts w:ascii="Calibri" w:hAnsi="Calibri"/>
                <w:color w:val="172B4D"/>
                <w:sz w:val="18"/>
              </w:rPr>
              <w:t>Ticker extraction and route selection.</w:t>
            </w:r>
          </w:p>
        </w:tc>
      </w:tr>
      <w:tr>
        <w:tc>
          <w:tcPr>
            <w:tcW w:type="dxa" w:w="4824"/>
            <w:tcMar>
              <w:top w:w="100" w:type="dxa"/>
              <w:start w:w="120" w:type="dxa"/>
              <w:bottom w:w="100" w:type="dxa"/>
              <w:end w:w="120" w:type="dxa"/>
            </w:tcMar>
            <w:vAlign w:val="center"/>
          </w:tcPr>
          <w:p>
            <w:r>
              <w:rPr>
                <w:rFonts w:ascii="Calibri" w:hAnsi="Calibri"/>
                <w:color w:val="172B4D"/>
                <w:sz w:val="18"/>
              </w:rPr>
              <w:t>Document service</w:t>
            </w:r>
          </w:p>
        </w:tc>
        <w:tc>
          <w:tcPr>
            <w:tcW w:type="dxa" w:w="4824"/>
            <w:tcMar>
              <w:top w:w="100" w:type="dxa"/>
              <w:start w:w="120" w:type="dxa"/>
              <w:bottom w:w="100" w:type="dxa"/>
              <w:end w:w="120" w:type="dxa"/>
            </w:tcMar>
            <w:vAlign w:val="center"/>
          </w:tcPr>
          <w:p>
            <w:r>
              <w:rPr>
                <w:rFonts w:ascii="Calibri" w:hAnsi="Calibri"/>
                <w:color w:val="172B4D"/>
                <w:sz w:val="18"/>
              </w:rPr>
              <w:t>Text extraction and overlapping chunk creation.</w:t>
            </w:r>
          </w:p>
        </w:tc>
      </w:tr>
      <w:tr>
        <w:tc>
          <w:tcPr>
            <w:tcW w:type="dxa" w:w="4824"/>
            <w:tcMar>
              <w:top w:w="100" w:type="dxa"/>
              <w:start w:w="120" w:type="dxa"/>
              <w:bottom w:w="100" w:type="dxa"/>
              <w:end w:w="120" w:type="dxa"/>
            </w:tcMar>
            <w:vAlign w:val="center"/>
          </w:tcPr>
          <w:p>
            <w:r>
              <w:rPr>
                <w:rFonts w:ascii="Calibri" w:hAnsi="Calibri"/>
                <w:color w:val="172B4D"/>
                <w:sz w:val="18"/>
              </w:rPr>
              <w:t>RAG</w:t>
            </w:r>
          </w:p>
        </w:tc>
        <w:tc>
          <w:tcPr>
            <w:tcW w:type="dxa" w:w="4824"/>
            <w:tcMar>
              <w:top w:w="100" w:type="dxa"/>
              <w:start w:w="120" w:type="dxa"/>
              <w:bottom w:w="100" w:type="dxa"/>
              <w:end w:w="120" w:type="dxa"/>
            </w:tcMar>
            <w:vAlign w:val="center"/>
          </w:tcPr>
          <w:p>
            <w:r>
              <w:rPr>
                <w:rFonts w:ascii="Calibri" w:hAnsi="Calibri"/>
                <w:color w:val="172B4D"/>
                <w:sz w:val="18"/>
              </w:rPr>
              <w:t>Relevant retrieval, uploaded-file isolation, generic summary behavior, and no S3 access during uploads.</w:t>
            </w:r>
          </w:p>
        </w:tc>
      </w:tr>
      <w:tr>
        <w:tc>
          <w:tcPr>
            <w:tcW w:type="dxa" w:w="4824"/>
            <w:tcMar>
              <w:top w:w="100" w:type="dxa"/>
              <w:start w:w="120" w:type="dxa"/>
              <w:bottom w:w="100" w:type="dxa"/>
              <w:end w:w="120" w:type="dxa"/>
            </w:tcMar>
            <w:vAlign w:val="center"/>
          </w:tcPr>
          <w:p>
            <w:r>
              <w:rPr>
                <w:rFonts w:ascii="Calibri" w:hAnsi="Calibri"/>
                <w:color w:val="172B4D"/>
                <w:sz w:val="18"/>
              </w:rPr>
              <w:t>Stock data</w:t>
            </w:r>
          </w:p>
        </w:tc>
        <w:tc>
          <w:tcPr>
            <w:tcW w:type="dxa" w:w="4824"/>
            <w:tcMar>
              <w:top w:w="100" w:type="dxa"/>
              <w:start w:w="120" w:type="dxa"/>
              <w:bottom w:w="100" w:type="dxa"/>
              <w:end w:w="120" w:type="dxa"/>
            </w:tcMar>
            <w:vAlign w:val="center"/>
          </w:tcPr>
          <w:p>
            <w:r>
              <w:rPr>
                <w:rFonts w:ascii="Calibri" w:hAnsi="Calibri"/>
                <w:color w:val="172B4D"/>
                <w:sz w:val="18"/>
              </w:rPr>
              <w:t>Vendor field normalization, invalid ticker rejection, missing-value handling, and output formatting.</w:t>
            </w:r>
          </w:p>
        </w:tc>
      </w:tr>
      <w:tr>
        <w:tc>
          <w:tcPr>
            <w:tcW w:type="dxa" w:w="4824"/>
            <w:tcMar>
              <w:top w:w="100" w:type="dxa"/>
              <w:start w:w="120" w:type="dxa"/>
              <w:bottom w:w="100" w:type="dxa"/>
              <w:end w:w="120" w:type="dxa"/>
            </w:tcMar>
            <w:vAlign w:val="center"/>
          </w:tcPr>
          <w:p>
            <w:r>
              <w:rPr>
                <w:rFonts w:ascii="Calibri" w:hAnsi="Calibri"/>
                <w:color w:val="172B4D"/>
                <w:sz w:val="18"/>
              </w:rPr>
              <w:t>S3 repository</w:t>
            </w:r>
          </w:p>
        </w:tc>
        <w:tc>
          <w:tcPr>
            <w:tcW w:type="dxa" w:w="4824"/>
            <w:tcMar>
              <w:top w:w="100" w:type="dxa"/>
              <w:start w:w="120" w:type="dxa"/>
              <w:bottom w:w="100" w:type="dxa"/>
              <w:end w:w="120" w:type="dxa"/>
            </w:tcMar>
            <w:vAlign w:val="center"/>
          </w:tcPr>
          <w:p>
            <w:r>
              <w:rPr>
                <w:rFonts w:ascii="Calibri" w:hAnsi="Calibri"/>
                <w:color w:val="172B4D"/>
                <w:sz w:val="18"/>
              </w:rPr>
              <w:t>Object naming, upload parameters, listing, and download behavior.</w:t>
            </w:r>
          </w:p>
        </w:tc>
      </w:tr>
      <w:tr>
        <w:tc>
          <w:tcPr>
            <w:tcW w:type="dxa" w:w="4824"/>
            <w:tcMar>
              <w:top w:w="100" w:type="dxa"/>
              <w:start w:w="120" w:type="dxa"/>
              <w:bottom w:w="100" w:type="dxa"/>
              <w:end w:w="120" w:type="dxa"/>
            </w:tcMar>
            <w:vAlign w:val="center"/>
          </w:tcPr>
          <w:p>
            <w:r>
              <w:rPr>
                <w:rFonts w:ascii="Calibri" w:hAnsi="Calibri"/>
                <w:color w:val="172B4D"/>
                <w:sz w:val="18"/>
              </w:rPr>
              <w:t>SEC tool</w:t>
            </w:r>
          </w:p>
        </w:tc>
        <w:tc>
          <w:tcPr>
            <w:tcW w:type="dxa" w:w="4824"/>
            <w:tcMar>
              <w:top w:w="100" w:type="dxa"/>
              <w:start w:w="120" w:type="dxa"/>
              <w:bottom w:w="100" w:type="dxa"/>
              <w:end w:w="120" w:type="dxa"/>
            </w:tcMar>
            <w:vAlign w:val="center"/>
          </w:tcPr>
          <w:p>
            <w:r>
              <w:rPr>
                <w:rFonts w:ascii="Calibri" w:hAnsi="Calibri"/>
                <w:color w:val="172B4D"/>
                <w:sz w:val="18"/>
              </w:rPr>
              <w:t>10-K/10-Q selection and annual/quarterly/half-year classification.</w:t>
            </w:r>
          </w:p>
        </w:tc>
      </w:tr>
      <w:tr>
        <w:tc>
          <w:tcPr>
            <w:tcW w:type="dxa" w:w="4824"/>
            <w:tcMar>
              <w:top w:w="100" w:type="dxa"/>
              <w:start w:w="120" w:type="dxa"/>
              <w:bottom w:w="100" w:type="dxa"/>
              <w:end w:w="120" w:type="dxa"/>
            </w:tcMar>
            <w:vAlign w:val="center"/>
          </w:tcPr>
          <w:p>
            <w:r>
              <w:rPr>
                <w:rFonts w:ascii="Calibri" w:hAnsi="Calibri"/>
                <w:color w:val="172B4D"/>
                <w:sz w:val="18"/>
              </w:rPr>
              <w:t>Yahoo report sync</w:t>
            </w:r>
          </w:p>
        </w:tc>
        <w:tc>
          <w:tcPr>
            <w:tcW w:type="dxa" w:w="4824"/>
            <w:tcMar>
              <w:top w:w="100" w:type="dxa"/>
              <w:start w:w="120" w:type="dxa"/>
              <w:bottom w:w="100" w:type="dxa"/>
              <w:end w:w="120" w:type="dxa"/>
            </w:tcMar>
            <w:vAlign w:val="center"/>
          </w:tcPr>
          <w:p>
            <w:r>
              <w:rPr>
                <w:rFonts w:ascii="Calibri" w:hAnsi="Calibri"/>
                <w:color w:val="172B4D"/>
                <w:sz w:val="18"/>
              </w:rPr>
              <w:t>Annual, quarterly, and half-year report construction.</w:t>
            </w:r>
          </w:p>
        </w:tc>
      </w:tr>
      <w:tr>
        <w:tc>
          <w:tcPr>
            <w:tcW w:type="dxa" w:w="4824"/>
            <w:tcMar>
              <w:top w:w="100" w:type="dxa"/>
              <w:start w:w="120" w:type="dxa"/>
              <w:bottom w:w="100" w:type="dxa"/>
              <w:end w:w="120" w:type="dxa"/>
            </w:tcMar>
            <w:vAlign w:val="center"/>
          </w:tcPr>
          <w:p>
            <w:r>
              <w:rPr>
                <w:rFonts w:ascii="Calibri" w:hAnsi="Calibri"/>
                <w:color w:val="172B4D"/>
                <w:sz w:val="18"/>
              </w:rPr>
              <w:t>Streamlit AppTest</w:t>
            </w:r>
          </w:p>
        </w:tc>
        <w:tc>
          <w:tcPr>
            <w:tcW w:type="dxa" w:w="4824"/>
            <w:tcMar>
              <w:top w:w="100" w:type="dxa"/>
              <w:start w:w="120" w:type="dxa"/>
              <w:bottom w:w="100" w:type="dxa"/>
              <w:end w:w="120" w:type="dxa"/>
            </w:tcMar>
            <w:vAlign w:val="center"/>
          </w:tcPr>
          <w:p>
            <w:r>
              <w:rPr>
                <w:rFonts w:ascii="Calibri" w:hAnsi="Calibri"/>
                <w:color w:val="172B4D"/>
                <w:sz w:val="18"/>
              </w:rPr>
              <w:t>Dashboard refresh renders mixed Yahoo rows without exceptions.</w:t>
            </w:r>
          </w:p>
        </w:tc>
      </w:tr>
    </w:tbl>
    <w:p>
      <w:pPr>
        <w:spacing w:after="20"/>
      </w:pPr>
    </w:p>
    <w:tbl>
      <w:tblPr>
        <w:tblW w:type="auto" w:w="0"/>
        <w:jc w:val="center"/>
        <w:tblLayout w:type="fixed"/>
        <w:tblLook w:firstColumn="1" w:firstRow="1" w:lastColumn="0" w:lastRow="0" w:noHBand="0" w:noVBand="1" w:val="04A0"/>
      </w:tblPr>
      <w:tblGrid>
        <w:gridCol w:w="9648"/>
      </w:tblGrid>
      <w:tr>
        <w:tc>
          <w:tcPr>
            <w:tcW w:type="dxa" w:w="9000"/>
            <w:shd w:fill="DCFFF1"/>
            <w:tcMar>
              <w:top w:w="150" w:type="dxa"/>
              <w:start w:w="170" w:type="dxa"/>
              <w:bottom w:w="150" w:type="dxa"/>
              <w:end w:w="170" w:type="dxa"/>
            </w:tcMar>
          </w:tcPr>
          <w:p>
            <w:r>
              <w:t>Current quality result</w:t>
              <w:br/>
              <w:t>The latest verified suite contains 21 passing tests. Ruff passes, the new image is present in dev-dsmay-stock-agent-repo, task definition stock-agent:8 is healthy, and the Streamlit health endpoint returns HTTP 200.</w:t>
            </w:r>
          </w:p>
        </w:tc>
      </w:tr>
    </w:tbl>
    <w:p>
      <w:pPr>
        <w:spacing w:after="20"/>
      </w:pPr>
    </w:p>
    <w:p>
      <w:pPr>
        <w:pStyle w:val="Heading2"/>
        <w:keepNext/>
      </w:pPr>
      <w:r>
        <w:t>16.1 Validation levels</w:t>
      </w:r>
    </w:p>
    <w:p>
      <w:pPr>
        <w:pStyle w:val="ListBullet"/>
      </w:pPr>
      <w:r>
        <w:rPr>
          <w:rFonts w:ascii="Calibri" w:hAnsi="Calibri"/>
          <w:color w:val="172B4D"/>
          <w:sz w:val="22"/>
        </w:rPr>
        <w:t>Static quality: Ruff and git diff whitespace checks.</w:t>
      </w:r>
    </w:p>
    <w:p>
      <w:pPr>
        <w:pStyle w:val="ListBullet"/>
      </w:pPr>
      <w:r>
        <w:rPr>
          <w:rFonts w:ascii="Calibri" w:hAnsi="Calibri"/>
          <w:color w:val="172B4D"/>
          <w:sz w:val="22"/>
        </w:rPr>
        <w:t>Unit tests: deterministic tests for services, agents, and tools.</w:t>
      </w:r>
    </w:p>
    <w:p>
      <w:pPr>
        <w:pStyle w:val="ListBullet"/>
      </w:pPr>
      <w:r>
        <w:rPr>
          <w:rFonts w:ascii="Calibri" w:hAnsi="Calibri"/>
          <w:color w:val="172B4D"/>
          <w:sz w:val="22"/>
        </w:rPr>
        <w:t>UI regression: Streamlit AppTest clicks the dashboard refresh button.</w:t>
      </w:r>
    </w:p>
    <w:p>
      <w:pPr>
        <w:pStyle w:val="ListBullet"/>
      </w:pPr>
      <w:r>
        <w:rPr>
          <w:rFonts w:ascii="Calibri" w:hAnsi="Calibri"/>
          <w:color w:val="172B4D"/>
          <w:sz w:val="22"/>
        </w:rPr>
        <w:t>Container validation: docker build and container health configuration.</w:t>
      </w:r>
    </w:p>
    <w:p>
      <w:pPr>
        <w:pStyle w:val="ListBullet"/>
      </w:pPr>
      <w:r>
        <w:rPr>
          <w:rFonts w:ascii="Calibri" w:hAnsi="Calibri"/>
          <w:color w:val="172B4D"/>
          <w:sz w:val="22"/>
        </w:rPr>
        <w:t>Cloud smoke test: ECS service stability and HTTP health endpoint.</w:t>
      </w:r>
    </w:p>
    <w:p>
      <w:pPr>
        <w:pStyle w:val="ListBullet"/>
      </w:pPr>
      <w:r>
        <w:rPr>
          <w:rFonts w:ascii="Calibri" w:hAnsi="Calibri"/>
          <w:color w:val="172B4D"/>
          <w:sz w:val="22"/>
        </w:rPr>
        <w:t>AI integration check: real S3 retrieval plus Bedrock response, including AAPL-only isolation verification.</w:t>
      </w:r>
    </w:p>
    <w:p>
      <w:r>
        <w:br w:type="page"/>
      </w:r>
    </w:p>
    <w:p>
      <w:pPr>
        <w:pStyle w:val="Heading1"/>
        <w:keepNext/>
      </w:pPr>
      <w:r>
        <w:t>17. Security, privacy, and IAM</w:t>
      </w:r>
    </w:p>
    <w:p>
      <w:pPr>
        <w:pStyle w:val="Heading2"/>
        <w:keepNext/>
      </w:pPr>
      <w:r>
        <w:t>17.1 Implemented controls</w:t>
      </w:r>
    </w:p>
    <w:p>
      <w:pPr>
        <w:pStyle w:val="ListBullet"/>
      </w:pPr>
      <w:r>
        <w:rPr>
          <w:rFonts w:ascii="Calibri" w:hAnsi="Calibri"/>
          <w:color w:val="172B4D"/>
          <w:sz w:val="22"/>
        </w:rPr>
        <w:t>No AWS access keys are embedded in source code or Docker images.</w:t>
      </w:r>
    </w:p>
    <w:p>
      <w:pPr>
        <w:pStyle w:val="ListBullet"/>
      </w:pPr>
      <w:r>
        <w:rPr>
          <w:rFonts w:ascii="Calibri" w:hAnsi="Calibri"/>
          <w:color w:val="172B4D"/>
          <w:sz w:val="22"/>
        </w:rPr>
        <w:t>ECS uses IAM task roles with purpose-specific permissions.</w:t>
      </w:r>
    </w:p>
    <w:p>
      <w:pPr>
        <w:pStyle w:val="ListBullet"/>
      </w:pPr>
      <w:r>
        <w:rPr>
          <w:rFonts w:ascii="Calibri" w:hAnsi="Calibri"/>
          <w:color w:val="172B4D"/>
          <w:sz w:val="22"/>
        </w:rPr>
        <w:t>S3 public access is blocked, encryption is enabled, and versioning is enabled.</w:t>
      </w:r>
    </w:p>
    <w:p>
      <w:pPr>
        <w:pStyle w:val="ListBullet"/>
      </w:pPr>
      <w:r>
        <w:rPr>
          <w:rFonts w:ascii="Calibri" w:hAnsi="Calibri"/>
          <w:color w:val="172B4D"/>
          <w:sz w:val="22"/>
        </w:rPr>
        <w:t>The container runs as a non-root user.</w:t>
      </w:r>
    </w:p>
    <w:p>
      <w:pPr>
        <w:pStyle w:val="ListBullet"/>
      </w:pPr>
      <w:r>
        <w:rPr>
          <w:rFonts w:ascii="Calibri" w:hAnsi="Calibri"/>
          <w:color w:val="172B4D"/>
          <w:sz w:val="22"/>
        </w:rPr>
        <w:t>Secrets and local .env files are excluded from Git.</w:t>
      </w:r>
    </w:p>
    <w:p>
      <w:pPr>
        <w:pStyle w:val="ListBullet"/>
      </w:pPr>
      <w:r>
        <w:rPr>
          <w:rFonts w:ascii="Calibri" w:hAnsi="Calibri"/>
          <w:color w:val="172B4D"/>
          <w:sz w:val="22"/>
        </w:rPr>
        <w:t>GitHub Actions deployment uses short-lived OIDC credentials.</w:t>
      </w:r>
    </w:p>
    <w:p>
      <w:pPr>
        <w:pStyle w:val="ListBullet"/>
      </w:pPr>
      <w:r>
        <w:rPr>
          <w:rFonts w:ascii="Calibri" w:hAnsi="Calibri"/>
          <w:color w:val="172B4D"/>
          <w:sz w:val="22"/>
        </w:rPr>
        <w:t>Uploaded content is not intentionally written to application logs.</w:t>
      </w:r>
    </w:p>
    <w:p>
      <w:pPr>
        <w:pStyle w:val="Heading2"/>
        <w:keepNext/>
      </w:pPr>
      <w:r>
        <w:t>17.2 Required production hardening</w:t>
      </w:r>
    </w:p>
    <w:p>
      <w:pPr>
        <w:pStyle w:val="ListBullet"/>
      </w:pPr>
      <w:r>
        <w:rPr>
          <w:rFonts w:ascii="Calibri" w:hAnsi="Calibri"/>
          <w:color w:val="172B4D"/>
          <w:sz w:val="22"/>
        </w:rPr>
        <w:t>Add user authentication and authorization.</w:t>
      </w:r>
    </w:p>
    <w:p>
      <w:pPr>
        <w:pStyle w:val="ListBullet"/>
      </w:pPr>
      <w:r>
        <w:rPr>
          <w:rFonts w:ascii="Calibri" w:hAnsi="Calibri"/>
          <w:color w:val="172B4D"/>
          <w:sz w:val="22"/>
        </w:rPr>
        <w:t>Use HTTPS with an Application Load Balancer and ACM certificate.</w:t>
      </w:r>
    </w:p>
    <w:p>
      <w:pPr>
        <w:pStyle w:val="ListBullet"/>
      </w:pPr>
      <w:r>
        <w:rPr>
          <w:rFonts w:ascii="Calibri" w:hAnsi="Calibri"/>
          <w:color w:val="172B4D"/>
          <w:sz w:val="22"/>
        </w:rPr>
        <w:t>Move tasks to private subnets and restrict outbound connectivity.</w:t>
      </w:r>
    </w:p>
    <w:p>
      <w:pPr>
        <w:pStyle w:val="ListBullet"/>
      </w:pPr>
      <w:r>
        <w:rPr>
          <w:rFonts w:ascii="Calibri" w:hAnsi="Calibri"/>
          <w:color w:val="172B4D"/>
          <w:sz w:val="22"/>
        </w:rPr>
        <w:t>Add malware scanning and file-size/type limits for uploads.</w:t>
      </w:r>
    </w:p>
    <w:p>
      <w:pPr>
        <w:pStyle w:val="ListBullet"/>
      </w:pPr>
      <w:r>
        <w:rPr>
          <w:rFonts w:ascii="Calibri" w:hAnsi="Calibri"/>
          <w:color w:val="172B4D"/>
          <w:sz w:val="22"/>
        </w:rPr>
        <w:t>Apply S3 lifecycle, retention, and deletion policies.</w:t>
      </w:r>
    </w:p>
    <w:p>
      <w:pPr>
        <w:pStyle w:val="ListBullet"/>
      </w:pPr>
      <w:r>
        <w:rPr>
          <w:rFonts w:ascii="Calibri" w:hAnsi="Calibri"/>
          <w:color w:val="172B4D"/>
          <w:sz w:val="22"/>
        </w:rPr>
        <w:t>Use AWS WAF and rate limiting for public access.</w:t>
      </w:r>
    </w:p>
    <w:p>
      <w:pPr>
        <w:pStyle w:val="ListBullet"/>
      </w:pPr>
      <w:r>
        <w:rPr>
          <w:rFonts w:ascii="Calibri" w:hAnsi="Calibri"/>
          <w:color w:val="172B4D"/>
          <w:sz w:val="22"/>
        </w:rPr>
        <w:t>Perform dependency and container vulnerability scanning.</w:t>
      </w:r>
    </w:p>
    <w:p>
      <w:pPr>
        <w:pStyle w:val="ListBullet"/>
      </w:pPr>
      <w:r>
        <w:rPr>
          <w:rFonts w:ascii="Calibri" w:hAnsi="Calibri"/>
          <w:color w:val="172B4D"/>
          <w:sz w:val="22"/>
        </w:rPr>
        <w:t>Review whether financial reports contain licensed or confidential material before storage.</w:t>
      </w:r>
    </w:p>
    <w:p>
      <w:pPr>
        <w:pStyle w:val="Heading1"/>
        <w:keepNext/>
      </w:pPr>
      <w:r>
        <w:t>18. Operations and monitoring</w:t>
      </w:r>
    </w:p>
    <w:p>
      <w:pPr>
        <w:pStyle w:val="Heading2"/>
        <w:keepNext/>
      </w:pPr>
      <w:r>
        <w:t>18.1 Daily operational checks</w:t>
      </w:r>
    </w:p>
    <w:p>
      <w:pPr>
        <w:pStyle w:val="ListBullet"/>
      </w:pPr>
      <w:r>
        <w:rPr>
          <w:rFonts w:ascii="Calibri" w:hAnsi="Calibri"/>
          <w:color w:val="172B4D"/>
          <w:sz w:val="22"/>
        </w:rPr>
        <w:t>Confirm ECS desired count equals running count.</w:t>
      </w:r>
    </w:p>
    <w:p>
      <w:pPr>
        <w:pStyle w:val="ListBullet"/>
      </w:pPr>
      <w:r>
        <w:rPr>
          <w:rFonts w:ascii="Calibri" w:hAnsi="Calibri"/>
          <w:color w:val="172B4D"/>
          <w:sz w:val="22"/>
        </w:rPr>
        <w:t>Confirm the active task is HEALTHY.</w:t>
      </w:r>
    </w:p>
    <w:p>
      <w:pPr>
        <w:pStyle w:val="ListBullet"/>
      </w:pPr>
      <w:r>
        <w:rPr>
          <w:rFonts w:ascii="Calibri" w:hAnsi="Calibri"/>
          <w:color w:val="172B4D"/>
          <w:sz w:val="22"/>
        </w:rPr>
        <w:t>Check /_stcore/health returns HTTP 200.</w:t>
      </w:r>
    </w:p>
    <w:p>
      <w:pPr>
        <w:pStyle w:val="ListBullet"/>
      </w:pPr>
      <w:r>
        <w:rPr>
          <w:rFonts w:ascii="Calibri" w:hAnsi="Calibri"/>
          <w:color w:val="172B4D"/>
          <w:sz w:val="22"/>
        </w:rPr>
        <w:t>Review CloudWatch logs for exceptions or repeated vendor failures.</w:t>
      </w:r>
    </w:p>
    <w:p>
      <w:pPr>
        <w:pStyle w:val="ListBullet"/>
      </w:pPr>
      <w:r>
        <w:rPr>
          <w:rFonts w:ascii="Calibri" w:hAnsi="Calibri"/>
          <w:color w:val="172B4D"/>
          <w:sz w:val="22"/>
        </w:rPr>
        <w:t>Confirm ECR contains the expected commit tag and latest tag.</w:t>
      </w:r>
    </w:p>
    <w:p>
      <w:pPr>
        <w:pStyle w:val="ListBullet"/>
      </w:pPr>
      <w:r>
        <w:rPr>
          <w:rFonts w:ascii="Calibri" w:hAnsi="Calibri"/>
          <w:color w:val="172B4D"/>
          <w:sz w:val="22"/>
        </w:rPr>
        <w:t>Confirm S3 object count and report freshness.</w:t>
      </w:r>
    </w:p>
    <w:p>
      <w:pPr>
        <w:pStyle w:val="Heading2"/>
        <w:keepNext/>
      </w:pPr>
      <w:r>
        <w:t>18.2 Recommended alarms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76"/>
            <w:shd w:fill="E9F2FF"/>
            <w:tcMar>
              <w:top w:w="100" w:type="dxa"/>
              <w:start w:w="120" w:type="dxa"/>
              <w:bottom w:w="100" w:type="dxa"/>
              <w:end w:w="120" w:type="dxa"/>
            </w:tcMar>
            <w:vAlign w:val="center"/>
          </w:tcPr>
          <w:p>
            <w:pPr>
              <w:jc w:val="left"/>
            </w:pPr>
            <w:r>
              <w:rPr>
                <w:rFonts w:ascii="Calibri" w:hAnsi="Calibri"/>
                <w:b/>
                <w:color w:val="172B4D"/>
                <w:sz w:val="19"/>
              </w:rPr>
              <w:t>Alarm</w:t>
            </w:r>
          </w:p>
        </w:tc>
        <w:tc>
          <w:tcPr>
            <w:tcW w:type="dxa" w:w="3240"/>
            <w:shd w:fill="E9F2FF"/>
            <w:tcMar>
              <w:top w:w="100" w:type="dxa"/>
              <w:start w:w="120" w:type="dxa"/>
              <w:bottom w:w="100" w:type="dxa"/>
              <w:end w:w="120" w:type="dxa"/>
            </w:tcMar>
            <w:vAlign w:val="center"/>
          </w:tcPr>
          <w:p>
            <w:pPr>
              <w:jc w:val="left"/>
            </w:pPr>
            <w:r>
              <w:rPr>
                <w:rFonts w:ascii="Calibri" w:hAnsi="Calibri"/>
                <w:b/>
                <w:color w:val="172B4D"/>
                <w:sz w:val="19"/>
              </w:rPr>
              <w:t>Condition</w:t>
            </w:r>
          </w:p>
        </w:tc>
        <w:tc>
          <w:tcPr>
            <w:tcW w:type="dxa" w:w="3384"/>
            <w:shd w:fill="E9F2FF"/>
            <w:tcMar>
              <w:top w:w="100" w:type="dxa"/>
              <w:start w:w="120" w:type="dxa"/>
              <w:bottom w:w="100" w:type="dxa"/>
              <w:end w:w="120" w:type="dxa"/>
            </w:tcMar>
            <w:vAlign w:val="center"/>
          </w:tcPr>
          <w:p>
            <w:pPr>
              <w:jc w:val="left"/>
            </w:pPr>
            <w:r>
              <w:rPr>
                <w:rFonts w:ascii="Calibri" w:hAnsi="Calibri"/>
                <w:b/>
                <w:color w:val="172B4D"/>
                <w:sz w:val="19"/>
              </w:rPr>
              <w:t>Response</w:t>
            </w:r>
          </w:p>
        </w:tc>
      </w:tr>
      <w:tr>
        <w:tc>
          <w:tcPr>
            <w:tcW w:type="dxa" w:w="3216"/>
            <w:tcMar>
              <w:top w:w="100" w:type="dxa"/>
              <w:start w:w="120" w:type="dxa"/>
              <w:bottom w:w="100" w:type="dxa"/>
              <w:end w:w="120" w:type="dxa"/>
            </w:tcMar>
            <w:vAlign w:val="center"/>
          </w:tcPr>
          <w:p>
            <w:r>
              <w:rPr>
                <w:rFonts w:ascii="Calibri" w:hAnsi="Calibri"/>
                <w:color w:val="172B4D"/>
                <w:sz w:val="18"/>
              </w:rPr>
              <w:t>ECS running task count</w:t>
            </w:r>
          </w:p>
        </w:tc>
        <w:tc>
          <w:tcPr>
            <w:tcW w:type="dxa" w:w="3216"/>
            <w:tcMar>
              <w:top w:w="100" w:type="dxa"/>
              <w:start w:w="120" w:type="dxa"/>
              <w:bottom w:w="100" w:type="dxa"/>
              <w:end w:w="120" w:type="dxa"/>
            </w:tcMar>
            <w:vAlign w:val="center"/>
          </w:tcPr>
          <w:p>
            <w:r>
              <w:rPr>
                <w:rFonts w:ascii="Calibri" w:hAnsi="Calibri"/>
                <w:color w:val="172B4D"/>
                <w:sz w:val="18"/>
              </w:rPr>
              <w:t>Running &lt; desired</w:t>
            </w:r>
          </w:p>
        </w:tc>
        <w:tc>
          <w:tcPr>
            <w:tcW w:type="dxa" w:w="3216"/>
            <w:tcMar>
              <w:top w:w="100" w:type="dxa"/>
              <w:start w:w="120" w:type="dxa"/>
              <w:bottom w:w="100" w:type="dxa"/>
              <w:end w:w="120" w:type="dxa"/>
            </w:tcMar>
            <w:vAlign w:val="center"/>
          </w:tcPr>
          <w:p>
            <w:r>
              <w:rPr>
                <w:rFonts w:ascii="Calibri" w:hAnsi="Calibri"/>
                <w:color w:val="172B4D"/>
                <w:sz w:val="18"/>
              </w:rPr>
              <w:t>Inspect service events and stopped-task reason.</w:t>
            </w:r>
          </w:p>
        </w:tc>
      </w:tr>
      <w:tr>
        <w:tc>
          <w:tcPr>
            <w:tcW w:type="dxa" w:w="3216"/>
            <w:tcMar>
              <w:top w:w="100" w:type="dxa"/>
              <w:start w:w="120" w:type="dxa"/>
              <w:bottom w:w="100" w:type="dxa"/>
              <w:end w:w="120" w:type="dxa"/>
            </w:tcMar>
            <w:vAlign w:val="center"/>
          </w:tcPr>
          <w:p>
            <w:r>
              <w:rPr>
                <w:rFonts w:ascii="Calibri" w:hAnsi="Calibri"/>
                <w:color w:val="172B4D"/>
                <w:sz w:val="18"/>
              </w:rPr>
              <w:t>Application health</w:t>
            </w:r>
          </w:p>
        </w:tc>
        <w:tc>
          <w:tcPr>
            <w:tcW w:type="dxa" w:w="3216"/>
            <w:tcMar>
              <w:top w:w="100" w:type="dxa"/>
              <w:start w:w="120" w:type="dxa"/>
              <w:bottom w:w="100" w:type="dxa"/>
              <w:end w:w="120" w:type="dxa"/>
            </w:tcMar>
            <w:vAlign w:val="center"/>
          </w:tcPr>
          <w:p>
            <w:r>
              <w:rPr>
                <w:rFonts w:ascii="Calibri" w:hAnsi="Calibri"/>
                <w:color w:val="172B4D"/>
                <w:sz w:val="18"/>
              </w:rPr>
              <w:t>Repeated health-check failure</w:t>
            </w:r>
          </w:p>
        </w:tc>
        <w:tc>
          <w:tcPr>
            <w:tcW w:type="dxa" w:w="3216"/>
            <w:tcMar>
              <w:top w:w="100" w:type="dxa"/>
              <w:start w:w="120" w:type="dxa"/>
              <w:bottom w:w="100" w:type="dxa"/>
              <w:end w:w="120" w:type="dxa"/>
            </w:tcMar>
            <w:vAlign w:val="center"/>
          </w:tcPr>
          <w:p>
            <w:r>
              <w:rPr>
                <w:rFonts w:ascii="Calibri" w:hAnsi="Calibri"/>
                <w:color w:val="172B4D"/>
                <w:sz w:val="18"/>
              </w:rPr>
              <w:t>Rollback task revision or inspect startup logs.</w:t>
            </w:r>
          </w:p>
        </w:tc>
      </w:tr>
      <w:tr>
        <w:tc>
          <w:tcPr>
            <w:tcW w:type="dxa" w:w="3216"/>
            <w:tcMar>
              <w:top w:w="100" w:type="dxa"/>
              <w:start w:w="120" w:type="dxa"/>
              <w:bottom w:w="100" w:type="dxa"/>
              <w:end w:w="120" w:type="dxa"/>
            </w:tcMar>
            <w:vAlign w:val="center"/>
          </w:tcPr>
          <w:p>
            <w:r>
              <w:rPr>
                <w:rFonts w:ascii="Calibri" w:hAnsi="Calibri"/>
                <w:color w:val="172B4D"/>
                <w:sz w:val="18"/>
              </w:rPr>
              <w:t>CloudWatch errors</w:t>
            </w:r>
          </w:p>
        </w:tc>
        <w:tc>
          <w:tcPr>
            <w:tcW w:type="dxa" w:w="3216"/>
            <w:tcMar>
              <w:top w:w="100" w:type="dxa"/>
              <w:start w:w="120" w:type="dxa"/>
              <w:bottom w:w="100" w:type="dxa"/>
              <w:end w:w="120" w:type="dxa"/>
            </w:tcMar>
            <w:vAlign w:val="center"/>
          </w:tcPr>
          <w:p>
            <w:r>
              <w:rPr>
                <w:rFonts w:ascii="Calibri" w:hAnsi="Calibri"/>
                <w:color w:val="172B4D"/>
                <w:sz w:val="18"/>
              </w:rPr>
              <w:t>Exception count above threshold</w:t>
            </w:r>
          </w:p>
        </w:tc>
        <w:tc>
          <w:tcPr>
            <w:tcW w:type="dxa" w:w="3216"/>
            <w:tcMar>
              <w:top w:w="100" w:type="dxa"/>
              <w:start w:w="120" w:type="dxa"/>
              <w:bottom w:w="100" w:type="dxa"/>
              <w:end w:w="120" w:type="dxa"/>
            </w:tcMar>
            <w:vAlign w:val="center"/>
          </w:tcPr>
          <w:p>
            <w:r>
              <w:rPr>
                <w:rFonts w:ascii="Calibri" w:hAnsi="Calibri"/>
                <w:color w:val="172B4D"/>
                <w:sz w:val="18"/>
              </w:rPr>
              <w:t>Identify agent/vendor path and open incident.</w:t>
            </w:r>
          </w:p>
        </w:tc>
      </w:tr>
      <w:tr>
        <w:tc>
          <w:tcPr>
            <w:tcW w:type="dxa" w:w="3216"/>
            <w:tcMar>
              <w:top w:w="100" w:type="dxa"/>
              <w:start w:w="120" w:type="dxa"/>
              <w:bottom w:w="100" w:type="dxa"/>
              <w:end w:w="120" w:type="dxa"/>
            </w:tcMar>
            <w:vAlign w:val="center"/>
          </w:tcPr>
          <w:p>
            <w:r>
              <w:rPr>
                <w:rFonts w:ascii="Calibri" w:hAnsi="Calibri"/>
                <w:color w:val="172B4D"/>
                <w:sz w:val="18"/>
              </w:rPr>
              <w:t>Vendor latency</w:t>
            </w:r>
          </w:p>
        </w:tc>
        <w:tc>
          <w:tcPr>
            <w:tcW w:type="dxa" w:w="3216"/>
            <w:tcMar>
              <w:top w:w="100" w:type="dxa"/>
              <w:start w:w="120" w:type="dxa"/>
              <w:bottom w:w="100" w:type="dxa"/>
              <w:end w:w="120" w:type="dxa"/>
            </w:tcMar>
            <w:vAlign w:val="center"/>
          </w:tcPr>
          <w:p>
            <w:r>
              <w:rPr>
                <w:rFonts w:ascii="Calibri" w:hAnsi="Calibri"/>
                <w:color w:val="172B4D"/>
                <w:sz w:val="18"/>
              </w:rPr>
              <w:t>Yahoo request duration above threshold</w:t>
            </w:r>
          </w:p>
        </w:tc>
        <w:tc>
          <w:tcPr>
            <w:tcW w:type="dxa" w:w="3216"/>
            <w:tcMar>
              <w:top w:w="100" w:type="dxa"/>
              <w:start w:w="120" w:type="dxa"/>
              <w:bottom w:w="100" w:type="dxa"/>
              <w:end w:w="120" w:type="dxa"/>
            </w:tcMar>
            <w:vAlign w:val="center"/>
          </w:tcPr>
          <w:p>
            <w:r>
              <w:rPr>
                <w:rFonts w:ascii="Calibri" w:hAnsi="Calibri"/>
                <w:color w:val="172B4D"/>
                <w:sz w:val="18"/>
              </w:rPr>
              <w:t>Apply caching, retry/backoff, or alternative vendor.</w:t>
            </w:r>
          </w:p>
        </w:tc>
      </w:tr>
      <w:tr>
        <w:tc>
          <w:tcPr>
            <w:tcW w:type="dxa" w:w="3216"/>
            <w:tcMar>
              <w:top w:w="100" w:type="dxa"/>
              <w:start w:w="120" w:type="dxa"/>
              <w:bottom w:w="100" w:type="dxa"/>
              <w:end w:w="120" w:type="dxa"/>
            </w:tcMar>
            <w:vAlign w:val="center"/>
          </w:tcPr>
          <w:p>
            <w:r>
              <w:rPr>
                <w:rFonts w:ascii="Calibri" w:hAnsi="Calibri"/>
                <w:color w:val="172B4D"/>
                <w:sz w:val="18"/>
              </w:rPr>
              <w:t>S3 report freshness</w:t>
            </w:r>
          </w:p>
        </w:tc>
        <w:tc>
          <w:tcPr>
            <w:tcW w:type="dxa" w:w="3216"/>
            <w:tcMar>
              <w:top w:w="100" w:type="dxa"/>
              <w:start w:w="120" w:type="dxa"/>
              <w:bottom w:w="100" w:type="dxa"/>
              <w:end w:w="120" w:type="dxa"/>
            </w:tcMar>
            <w:vAlign w:val="center"/>
          </w:tcPr>
          <w:p>
            <w:r>
              <w:rPr>
                <w:rFonts w:ascii="Calibri" w:hAnsi="Calibri"/>
                <w:color w:val="172B4D"/>
                <w:sz w:val="18"/>
              </w:rPr>
              <w:t>No report update within expected period</w:t>
            </w:r>
          </w:p>
        </w:tc>
        <w:tc>
          <w:tcPr>
            <w:tcW w:type="dxa" w:w="3216"/>
            <w:tcMar>
              <w:top w:w="100" w:type="dxa"/>
              <w:start w:w="120" w:type="dxa"/>
              <w:bottom w:w="100" w:type="dxa"/>
              <w:end w:w="120" w:type="dxa"/>
            </w:tcMar>
            <w:vAlign w:val="center"/>
          </w:tcPr>
          <w:p>
            <w:r>
              <w:rPr>
                <w:rFonts w:ascii="Calibri" w:hAnsi="Calibri"/>
                <w:color w:val="172B4D"/>
                <w:sz w:val="18"/>
              </w:rPr>
              <w:t>Run synchronization task and inspect source access.</w:t>
            </w:r>
          </w:p>
        </w:tc>
      </w:tr>
    </w:tbl>
    <w:p>
      <w:pPr>
        <w:spacing w:after="20"/>
      </w:pPr>
    </w:p>
    <w:p>
      <w:pPr>
        <w:pStyle w:val="Heading2"/>
        <w:keepNext/>
      </w:pPr>
      <w:r>
        <w:t>18.3 Cost drivers</w:t>
      </w:r>
    </w:p>
    <w:p>
      <w:pPr>
        <w:pStyle w:val="ListBullet"/>
      </w:pPr>
      <w:r>
        <w:rPr>
          <w:rFonts w:ascii="Calibri" w:hAnsi="Calibri"/>
          <w:color w:val="172B4D"/>
          <w:sz w:val="22"/>
        </w:rPr>
        <w:t>ECS Fargate CPU and memory while the task is running.</w:t>
      </w:r>
    </w:p>
    <w:p>
      <w:pPr>
        <w:pStyle w:val="ListBullet"/>
      </w:pPr>
      <w:r>
        <w:rPr>
          <w:rFonts w:ascii="Calibri" w:hAnsi="Calibri"/>
          <w:color w:val="172B4D"/>
          <w:sz w:val="22"/>
        </w:rPr>
        <w:t>Bedrock input and output tokens for report analysis.</w:t>
      </w:r>
    </w:p>
    <w:p>
      <w:pPr>
        <w:pStyle w:val="ListBullet"/>
      </w:pPr>
      <w:r>
        <w:rPr>
          <w:rFonts w:ascii="Calibri" w:hAnsi="Calibri"/>
          <w:color w:val="172B4D"/>
          <w:sz w:val="22"/>
        </w:rPr>
        <w:t>CloudWatch log ingestion and retention.</w:t>
      </w:r>
    </w:p>
    <w:p>
      <w:pPr>
        <w:pStyle w:val="ListBullet"/>
      </w:pPr>
      <w:r>
        <w:rPr>
          <w:rFonts w:ascii="Calibri" w:hAnsi="Calibri"/>
          <w:color w:val="172B4D"/>
          <w:sz w:val="22"/>
        </w:rPr>
        <w:t>S3 storage and requests.</w:t>
      </w:r>
    </w:p>
    <w:p>
      <w:pPr>
        <w:pStyle w:val="ListBullet"/>
      </w:pPr>
      <w:r>
        <w:rPr>
          <w:rFonts w:ascii="Calibri" w:hAnsi="Calibri"/>
          <w:color w:val="172B4D"/>
          <w:sz w:val="22"/>
        </w:rPr>
        <w:t>ECR image storage and scanning.</w:t>
      </w:r>
    </w:p>
    <w:p>
      <w:pPr>
        <w:pStyle w:val="ListBullet"/>
      </w:pPr>
      <w:r>
        <w:rPr>
          <w:rFonts w:ascii="Calibri" w:hAnsi="Calibri"/>
          <w:color w:val="172B4D"/>
          <w:sz w:val="22"/>
        </w:rPr>
        <w:t>Future ALB hourly and capacity charges.</w:t>
      </w:r>
    </w:p>
    <w:p>
      <w:pPr>
        <w:pStyle w:val="Heading1"/>
        <w:keepNext/>
      </w:pPr>
      <w:r>
        <w:t>19. Deployment and support runbooks</w:t>
      </w:r>
    </w:p>
    <w:p>
      <w:pPr>
        <w:pStyle w:val="Heading2"/>
        <w:keepNext/>
      </w:pPr>
      <w:r>
        <w:t>19.1 Local development runbook</w:t>
      </w:r>
    </w:p>
    <w:p>
      <w:pPr>
        <w:pStyle w:val="ListNumber"/>
      </w:pPr>
      <w:r>
        <w:rPr>
          <w:rFonts w:ascii="Calibri" w:hAnsi="Calibri"/>
          <w:color w:val="172B4D"/>
          <w:sz w:val="22"/>
        </w:rPr>
        <w:t>Copy .env.example to .env and configure local values.</w:t>
      </w:r>
    </w:p>
    <w:p>
      <w:pPr>
        <w:pStyle w:val="ListNumber"/>
      </w:pPr>
      <w:r>
        <w:rPr>
          <w:rFonts w:ascii="Calibri" w:hAnsi="Calibri"/>
          <w:color w:val="172B4D"/>
          <w:sz w:val="22"/>
        </w:rPr>
        <w:t>Run uv sync --dev.</w:t>
      </w:r>
    </w:p>
    <w:p>
      <w:pPr>
        <w:pStyle w:val="ListNumber"/>
      </w:pPr>
      <w:r>
        <w:rPr>
          <w:rFonts w:ascii="Calibri" w:hAnsi="Calibri"/>
          <w:color w:val="172B4D"/>
          <w:sz w:val="22"/>
        </w:rPr>
        <w:t>Run uv run streamlit run app.py.</w:t>
      </w:r>
    </w:p>
    <w:p>
      <w:pPr>
        <w:pStyle w:val="ListNumber"/>
      </w:pPr>
      <w:r>
        <w:rPr>
          <w:rFonts w:ascii="Calibri" w:hAnsi="Calibri"/>
          <w:color w:val="172B4D"/>
          <w:sz w:val="22"/>
        </w:rPr>
        <w:t>Run uv run ruff check . and uv run pytest.</w:t>
      </w:r>
    </w:p>
    <w:p>
      <w:pPr>
        <w:pStyle w:val="ListNumber"/>
      </w:pPr>
      <w:r>
        <w:rPr>
          <w:rFonts w:ascii="Calibri" w:hAnsi="Calibri"/>
          <w:color w:val="172B4D"/>
          <w:sz w:val="22"/>
        </w:rPr>
        <w:t>Build the container with docker build -t stock-agent:test .</w:t>
      </w:r>
    </w:p>
    <w:p>
      <w:pPr>
        <w:pStyle w:val="Heading2"/>
        <w:keepNext/>
      </w:pPr>
      <w:r>
        <w:t>19.2 Manual AWS deployment runbook</w:t>
      </w:r>
    </w:p>
    <w:p>
      <w:pPr>
        <w:pStyle w:val="ListNumber"/>
      </w:pPr>
      <w:r>
        <w:rPr>
          <w:rFonts w:ascii="Calibri" w:hAnsi="Calibri"/>
          <w:color w:val="172B4D"/>
          <w:sz w:val="22"/>
        </w:rPr>
        <w:t>Verify aws sts get-caller-identity and the eu-west-2 region.</w:t>
      </w:r>
    </w:p>
    <w:p>
      <w:pPr>
        <w:pStyle w:val="ListNumber"/>
      </w:pPr>
      <w:r>
        <w:rPr>
          <w:rFonts w:ascii="Calibri" w:hAnsi="Calibri"/>
          <w:color w:val="172B4D"/>
          <w:sz w:val="22"/>
        </w:rPr>
        <w:t>Build and tag the image with the current Git commit.</w:t>
      </w:r>
    </w:p>
    <w:p>
      <w:pPr>
        <w:pStyle w:val="ListNumber"/>
      </w:pPr>
      <w:r>
        <w:rPr>
          <w:rFonts w:ascii="Calibri" w:hAnsi="Calibri"/>
          <w:color w:val="172B4D"/>
          <w:sz w:val="22"/>
        </w:rPr>
        <w:t>Retrieve a short-lived ECR authorization token and push the commit/latest tags.</w:t>
      </w:r>
    </w:p>
    <w:p>
      <w:pPr>
        <w:pStyle w:val="ListNumber"/>
      </w:pPr>
      <w:r>
        <w:rPr>
          <w:rFonts w:ascii="Calibri" w:hAnsi="Calibri"/>
          <w:color w:val="172B4D"/>
          <w:sz w:val="22"/>
        </w:rPr>
        <w:t>Register infra/ecs-task-definition.json as a new revision.</w:t>
      </w:r>
    </w:p>
    <w:p>
      <w:pPr>
        <w:pStyle w:val="ListNumber"/>
      </w:pPr>
      <w:r>
        <w:t>Update dev-dsmay-stock-agent-ecs in dev-dsmay-stock-agent-cluster to the new revision.</w:t>
      </w:r>
    </w:p>
    <w:p>
      <w:pPr>
        <w:pStyle w:val="ListNumber"/>
      </w:pPr>
      <w:r>
        <w:rPr>
          <w:rFonts w:ascii="Calibri" w:hAnsi="Calibri"/>
          <w:color w:val="172B4D"/>
          <w:sz w:val="22"/>
        </w:rPr>
        <w:t>Wait for services-stable.</w:t>
      </w:r>
    </w:p>
    <w:p>
      <w:pPr>
        <w:pStyle w:val="ListNumber"/>
      </w:pPr>
      <w:r>
        <w:rPr>
          <w:rFonts w:ascii="Calibri" w:hAnsi="Calibri"/>
          <w:color w:val="172B4D"/>
          <w:sz w:val="22"/>
        </w:rPr>
        <w:t>Verify task health and the Streamlit health endpoint.</w:t>
      </w:r>
    </w:p>
    <w:p>
      <w:pPr>
        <w:pStyle w:val="Heading2"/>
        <w:keepNext/>
      </w:pPr>
      <w:r>
        <w:t>19.3 Rollback runbook</w:t>
      </w:r>
    </w:p>
    <w:p>
      <w:pPr>
        <w:pStyle w:val="ListNumber"/>
      </w:pPr>
      <w:r>
        <w:rPr>
          <w:rFonts w:ascii="Calibri" w:hAnsi="Calibri"/>
          <w:color w:val="172B4D"/>
          <w:sz w:val="22"/>
        </w:rPr>
        <w:t>Identify the last known healthy task-definition revision.</w:t>
      </w:r>
    </w:p>
    <w:p>
      <w:pPr>
        <w:pStyle w:val="ListNumber"/>
      </w:pPr>
      <w:r>
        <w:rPr>
          <w:rFonts w:ascii="Calibri" w:hAnsi="Calibri"/>
          <w:color w:val="172B4D"/>
          <w:sz w:val="22"/>
        </w:rPr>
        <w:t>Update the ECS service to that revision.</w:t>
      </w:r>
    </w:p>
    <w:p>
      <w:pPr>
        <w:pStyle w:val="ListNumber"/>
      </w:pPr>
      <w:r>
        <w:rPr>
          <w:rFonts w:ascii="Calibri" w:hAnsi="Calibri"/>
          <w:color w:val="172B4D"/>
          <w:sz w:val="22"/>
        </w:rPr>
        <w:t>Wait for service stability and verify health.</w:t>
      </w:r>
    </w:p>
    <w:p>
      <w:pPr>
        <w:pStyle w:val="ListNumber"/>
      </w:pPr>
      <w:r>
        <w:rPr>
          <w:rFonts w:ascii="Calibri" w:hAnsi="Calibri"/>
          <w:color w:val="172B4D"/>
          <w:sz w:val="22"/>
        </w:rPr>
        <w:t>Inspect the failed revision logs and stopped-task reason.</w:t>
      </w:r>
    </w:p>
    <w:p>
      <w:pPr>
        <w:pStyle w:val="ListNumber"/>
      </w:pPr>
      <w:r>
        <w:rPr>
          <w:rFonts w:ascii="Calibri" w:hAnsi="Calibri"/>
          <w:color w:val="172B4D"/>
          <w:sz w:val="22"/>
        </w:rPr>
        <w:t>Correct the source, add a regression test, and redeploy with a new commit tag.</w:t>
      </w:r>
    </w:p>
    <w:p>
      <w:pPr>
        <w:pStyle w:val="Heading2"/>
        <w:keepNext/>
      </w:pPr>
      <w:r>
        <w:t>19.4 Troubleshooting guide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232"/>
            <w:shd w:fill="E9F2FF"/>
            <w:tcMar>
              <w:top w:w="100" w:type="dxa"/>
              <w:start w:w="120" w:type="dxa"/>
              <w:bottom w:w="100" w:type="dxa"/>
              <w:end w:w="120" w:type="dxa"/>
            </w:tcMar>
            <w:vAlign w:val="center"/>
          </w:tcPr>
          <w:p>
            <w:pPr>
              <w:jc w:val="left"/>
            </w:pPr>
            <w:r>
              <w:rPr>
                <w:rFonts w:ascii="Calibri" w:hAnsi="Calibri"/>
                <w:b/>
                <w:color w:val="172B4D"/>
                <w:sz w:val="19"/>
              </w:rPr>
              <w:t>Symptom</w:t>
            </w:r>
          </w:p>
        </w:tc>
        <w:tc>
          <w:tcPr>
            <w:tcW w:type="dxa" w:w="3456"/>
            <w:shd w:fill="E9F2FF"/>
            <w:tcMar>
              <w:top w:w="100" w:type="dxa"/>
              <w:start w:w="120" w:type="dxa"/>
              <w:bottom w:w="100" w:type="dxa"/>
              <w:end w:w="120" w:type="dxa"/>
            </w:tcMar>
            <w:vAlign w:val="center"/>
          </w:tcPr>
          <w:p>
            <w:pPr>
              <w:jc w:val="left"/>
            </w:pPr>
            <w:r>
              <w:rPr>
                <w:rFonts w:ascii="Calibri" w:hAnsi="Calibri"/>
                <w:b/>
                <w:color w:val="172B4D"/>
                <w:sz w:val="19"/>
              </w:rPr>
              <w:t>Likely cause</w:t>
            </w:r>
          </w:p>
        </w:tc>
        <w:tc>
          <w:tcPr>
            <w:tcW w:type="dxa" w:w="3311"/>
            <w:shd w:fill="E9F2FF"/>
            <w:tcMar>
              <w:top w:w="100" w:type="dxa"/>
              <w:start w:w="120" w:type="dxa"/>
              <w:bottom w:w="100" w:type="dxa"/>
              <w:end w:w="120" w:type="dxa"/>
            </w:tcMar>
            <w:vAlign w:val="center"/>
          </w:tcPr>
          <w:p>
            <w:pPr>
              <w:jc w:val="left"/>
            </w:pPr>
            <w:r>
              <w:rPr>
                <w:rFonts w:ascii="Calibri" w:hAnsi="Calibri"/>
                <w:b/>
                <w:color w:val="172B4D"/>
                <w:sz w:val="19"/>
              </w:rPr>
              <w:t>Resolution</w:t>
            </w:r>
          </w:p>
        </w:tc>
      </w:tr>
      <w:tr>
        <w:tc>
          <w:tcPr>
            <w:tcW w:type="dxa" w:w="3216"/>
            <w:tcMar>
              <w:top w:w="100" w:type="dxa"/>
              <w:start w:w="120" w:type="dxa"/>
              <w:bottom w:w="100" w:type="dxa"/>
              <w:end w:w="120" w:type="dxa"/>
            </w:tcMar>
            <w:vAlign w:val="center"/>
          </w:tcPr>
          <w:p>
            <w:r>
              <w:rPr>
                <w:rFonts w:ascii="Calibri" w:hAnsi="Calibri"/>
                <w:color w:val="172B4D"/>
                <w:sz w:val="18"/>
              </w:rPr>
              <w:t>Dashboard shows None for price</w:t>
            </w:r>
          </w:p>
        </w:tc>
        <w:tc>
          <w:tcPr>
            <w:tcW w:type="dxa" w:w="3216"/>
            <w:tcMar>
              <w:top w:w="100" w:type="dxa"/>
              <w:start w:w="120" w:type="dxa"/>
              <w:bottom w:w="100" w:type="dxa"/>
              <w:end w:w="120" w:type="dxa"/>
            </w:tcMar>
            <w:vAlign w:val="center"/>
          </w:tcPr>
          <w:p>
            <w:r>
              <w:rPr>
                <w:rFonts w:ascii="Calibri" w:hAnsi="Calibri"/>
                <w:color w:val="172B4D"/>
                <w:sz w:val="18"/>
              </w:rPr>
              <w:t>yfinance field-name mismatch</w:t>
            </w:r>
          </w:p>
        </w:tc>
        <w:tc>
          <w:tcPr>
            <w:tcW w:type="dxa" w:w="3216"/>
            <w:tcMar>
              <w:top w:w="100" w:type="dxa"/>
              <w:start w:w="120" w:type="dxa"/>
              <w:bottom w:w="100" w:type="dxa"/>
              <w:end w:w="120" w:type="dxa"/>
            </w:tcMar>
            <w:vAlign w:val="center"/>
          </w:tcPr>
          <w:p>
            <w:r>
              <w:rPr>
                <w:rFonts w:ascii="Calibri" w:hAnsi="Calibri"/>
                <w:color w:val="172B4D"/>
                <w:sz w:val="18"/>
              </w:rPr>
              <w:t>Support camelCase/snake_case and historical-close fallback.</w:t>
            </w:r>
          </w:p>
        </w:tc>
      </w:tr>
      <w:tr>
        <w:tc>
          <w:tcPr>
            <w:tcW w:type="dxa" w:w="3216"/>
            <w:tcMar>
              <w:top w:w="100" w:type="dxa"/>
              <w:start w:w="120" w:type="dxa"/>
              <w:bottom w:w="100" w:type="dxa"/>
              <w:end w:w="120" w:type="dxa"/>
            </w:tcMar>
            <w:vAlign w:val="center"/>
          </w:tcPr>
          <w:p>
            <w:r>
              <w:rPr>
                <w:rFonts w:ascii="Calibri" w:hAnsi="Calibri"/>
                <w:color w:val="172B4D"/>
                <w:sz w:val="18"/>
              </w:rPr>
              <w:t>Dashboard formatting traceback</w:t>
            </w:r>
          </w:p>
        </w:tc>
        <w:tc>
          <w:tcPr>
            <w:tcW w:type="dxa" w:w="3216"/>
            <w:tcMar>
              <w:top w:w="100" w:type="dxa"/>
              <w:start w:w="120" w:type="dxa"/>
              <w:bottom w:w="100" w:type="dxa"/>
              <w:end w:w="120" w:type="dxa"/>
            </w:tcMar>
            <w:vAlign w:val="center"/>
          </w:tcPr>
          <w:p>
            <w:r>
              <w:rPr>
                <w:rFonts w:ascii="Calibri" w:hAnsi="Calibri"/>
                <w:color w:val="172B4D"/>
                <w:sz w:val="18"/>
              </w:rPr>
              <w:t>Pandas Styler formats missing vendor values</w:t>
            </w:r>
          </w:p>
        </w:tc>
        <w:tc>
          <w:tcPr>
            <w:tcW w:type="dxa" w:w="3216"/>
            <w:tcMar>
              <w:top w:w="100" w:type="dxa"/>
              <w:start w:w="120" w:type="dxa"/>
              <w:bottom w:w="100" w:type="dxa"/>
              <w:end w:w="120" w:type="dxa"/>
            </w:tcMar>
            <w:vAlign w:val="center"/>
          </w:tcPr>
          <w:p>
            <w:r>
              <w:rPr>
                <w:rFonts w:ascii="Calibri" w:hAnsi="Calibri"/>
                <w:color w:val="172B4D"/>
                <w:sz w:val="18"/>
              </w:rPr>
              <w:t>Use typed Streamlit columns and numeric coercion.</w:t>
            </w:r>
          </w:p>
        </w:tc>
      </w:tr>
      <w:tr>
        <w:tc>
          <w:tcPr>
            <w:tcW w:type="dxa" w:w="3216"/>
            <w:tcMar>
              <w:top w:w="100" w:type="dxa"/>
              <w:start w:w="120" w:type="dxa"/>
              <w:bottom w:w="100" w:type="dxa"/>
              <w:end w:w="120" w:type="dxa"/>
            </w:tcMar>
            <w:vAlign w:val="center"/>
          </w:tcPr>
          <w:p>
            <w:r>
              <w:rPr>
                <w:rFonts w:ascii="Calibri" w:hAnsi="Calibri"/>
                <w:color w:val="172B4D"/>
                <w:sz w:val="18"/>
              </w:rPr>
              <w:t>AAPL summary includes TSLA</w:t>
            </w:r>
          </w:p>
        </w:tc>
        <w:tc>
          <w:tcPr>
            <w:tcW w:type="dxa" w:w="3216"/>
            <w:tcMar>
              <w:top w:w="100" w:type="dxa"/>
              <w:start w:w="120" w:type="dxa"/>
              <w:bottom w:w="100" w:type="dxa"/>
              <w:end w:w="120" w:type="dxa"/>
            </w:tcMar>
            <w:vAlign w:val="center"/>
          </w:tcPr>
          <w:p>
            <w:r>
              <w:rPr>
                <w:rFonts w:ascii="Calibri" w:hAnsi="Calibri"/>
                <w:color w:val="172B4D"/>
                <w:sz w:val="18"/>
              </w:rPr>
              <w:t>Uploaded file and S3 reports mixed in one retrieval pool</w:t>
            </w:r>
          </w:p>
        </w:tc>
        <w:tc>
          <w:tcPr>
            <w:tcW w:type="dxa" w:w="3216"/>
            <w:tcMar>
              <w:top w:w="100" w:type="dxa"/>
              <w:start w:w="120" w:type="dxa"/>
              <w:bottom w:w="100" w:type="dxa"/>
              <w:end w:w="120" w:type="dxa"/>
            </w:tcMar>
            <w:vAlign w:val="center"/>
          </w:tcPr>
          <w:p>
            <w:r>
              <w:rPr>
                <w:rFonts w:ascii="Calibri" w:hAnsi="Calibri"/>
                <w:color w:val="172B4D"/>
                <w:sz w:val="18"/>
              </w:rPr>
              <w:t>Analyze uploaded file only; search S3 only without an upload.</w:t>
            </w:r>
          </w:p>
        </w:tc>
      </w:tr>
      <w:tr>
        <w:tc>
          <w:tcPr>
            <w:tcW w:type="dxa" w:w="3216"/>
            <w:tcMar>
              <w:top w:w="100" w:type="dxa"/>
              <w:start w:w="120" w:type="dxa"/>
              <w:bottom w:w="100" w:type="dxa"/>
              <w:end w:w="120" w:type="dxa"/>
            </w:tcMar>
            <w:vAlign w:val="center"/>
          </w:tcPr>
          <w:p>
            <w:r>
              <w:rPr>
                <w:rFonts w:ascii="Calibri" w:hAnsi="Calibri"/>
                <w:color w:val="172B4D"/>
                <w:sz w:val="18"/>
              </w:rPr>
              <w:t>NEWS_API_KEY unavailable</w:t>
            </w:r>
          </w:p>
        </w:tc>
        <w:tc>
          <w:tcPr>
            <w:tcW w:type="dxa" w:w="3216"/>
            <w:tcMar>
              <w:top w:w="100" w:type="dxa"/>
              <w:start w:w="120" w:type="dxa"/>
              <w:bottom w:w="100" w:type="dxa"/>
              <w:end w:w="120" w:type="dxa"/>
            </w:tcMar>
            <w:vAlign w:val="center"/>
          </w:tcPr>
          <w:p>
            <w:r>
              <w:rPr>
                <w:rFonts w:ascii="Calibri" w:hAnsi="Calibri"/>
                <w:color w:val="172B4D"/>
                <w:sz w:val="18"/>
              </w:rPr>
              <w:t>Deferred News Agent configuration</w:t>
            </w:r>
          </w:p>
        </w:tc>
        <w:tc>
          <w:tcPr>
            <w:tcW w:type="dxa" w:w="3216"/>
            <w:tcMar>
              <w:top w:w="100" w:type="dxa"/>
              <w:start w:w="120" w:type="dxa"/>
              <w:bottom w:w="100" w:type="dxa"/>
              <w:end w:w="120" w:type="dxa"/>
            </w:tcMar>
            <w:vAlign w:val="center"/>
          </w:tcPr>
          <w:p>
            <w:r>
              <w:rPr>
                <w:rFonts w:ascii="Calibri" w:hAnsi="Calibri"/>
                <w:color w:val="172B4D"/>
                <w:sz w:val="18"/>
              </w:rPr>
              <w:t>News Agent has been removed; implement in a later phase.</w:t>
            </w:r>
          </w:p>
        </w:tc>
      </w:tr>
      <w:tr>
        <w:tc>
          <w:tcPr>
            <w:tcW w:type="dxa" w:w="3216"/>
            <w:tcMar>
              <w:top w:w="100" w:type="dxa"/>
              <w:start w:w="120" w:type="dxa"/>
              <w:bottom w:w="100" w:type="dxa"/>
              <w:end w:w="120" w:type="dxa"/>
            </w:tcMar>
            <w:vAlign w:val="center"/>
          </w:tcPr>
          <w:p>
            <w:r>
              <w:rPr>
                <w:rFonts w:ascii="Calibri" w:hAnsi="Calibri"/>
                <w:color w:val="172B4D"/>
                <w:sz w:val="18"/>
              </w:rPr>
              <w:t>SEC sync returns HTTP 403</w:t>
            </w:r>
          </w:p>
        </w:tc>
        <w:tc>
          <w:tcPr>
            <w:tcW w:type="dxa" w:w="3216"/>
            <w:tcMar>
              <w:top w:w="100" w:type="dxa"/>
              <w:start w:w="120" w:type="dxa"/>
              <w:bottom w:w="100" w:type="dxa"/>
              <w:end w:w="120" w:type="dxa"/>
            </w:tcMar>
            <w:vAlign w:val="center"/>
          </w:tcPr>
          <w:p>
            <w:r>
              <w:rPr>
                <w:rFonts w:ascii="Calibri" w:hAnsi="Calibri"/>
                <w:color w:val="172B4D"/>
                <w:sz w:val="18"/>
              </w:rPr>
              <w:t>Execution network blocked by SEC fair-access controls</w:t>
            </w:r>
          </w:p>
        </w:tc>
        <w:tc>
          <w:tcPr>
            <w:tcW w:type="dxa" w:w="3216"/>
            <w:tcMar>
              <w:top w:w="100" w:type="dxa"/>
              <w:start w:w="120" w:type="dxa"/>
              <w:bottom w:w="100" w:type="dxa"/>
              <w:end w:w="120" w:type="dxa"/>
            </w:tcMar>
            <w:vAlign w:val="center"/>
          </w:tcPr>
          <w:p>
            <w:r>
              <w:rPr>
                <w:rFonts w:ascii="Calibri" w:hAnsi="Calibri"/>
                <w:color w:val="172B4D"/>
                <w:sz w:val="18"/>
              </w:rPr>
              <w:t>Run from an allowed network with a valid user agent or use approved alternative source.</w:t>
            </w:r>
          </w:p>
        </w:tc>
      </w:tr>
      <w:tr>
        <w:tc>
          <w:tcPr>
            <w:tcW w:type="dxa" w:w="3216"/>
            <w:tcMar>
              <w:top w:w="100" w:type="dxa"/>
              <w:start w:w="120" w:type="dxa"/>
              <w:bottom w:w="100" w:type="dxa"/>
              <w:end w:w="120" w:type="dxa"/>
            </w:tcMar>
            <w:vAlign w:val="center"/>
          </w:tcPr>
          <w:p>
            <w:r>
              <w:rPr>
                <w:rFonts w:ascii="Calibri" w:hAnsi="Calibri"/>
                <w:color w:val="172B4D"/>
                <w:sz w:val="18"/>
              </w:rPr>
              <w:t>Docker cannot save ECR credentials</w:t>
            </w:r>
          </w:p>
        </w:tc>
        <w:tc>
          <w:tcPr>
            <w:tcW w:type="dxa" w:w="3216"/>
            <w:tcMar>
              <w:top w:w="100" w:type="dxa"/>
              <w:start w:w="120" w:type="dxa"/>
              <w:bottom w:w="100" w:type="dxa"/>
              <w:end w:w="120" w:type="dxa"/>
            </w:tcMar>
            <w:vAlign w:val="center"/>
          </w:tcPr>
          <w:p>
            <w:r>
              <w:rPr>
                <w:rFonts w:ascii="Calibri" w:hAnsi="Calibri"/>
                <w:color w:val="172B4D"/>
                <w:sz w:val="18"/>
              </w:rPr>
              <w:t>Windows credential-helper failure</w:t>
            </w:r>
          </w:p>
        </w:tc>
        <w:tc>
          <w:tcPr>
            <w:tcW w:type="dxa" w:w="3216"/>
            <w:tcMar>
              <w:top w:w="100" w:type="dxa"/>
              <w:start w:w="120" w:type="dxa"/>
              <w:bottom w:w="100" w:type="dxa"/>
              <w:end w:w="120" w:type="dxa"/>
            </w:tcMar>
            <w:vAlign w:val="center"/>
          </w:tcPr>
          <w:p>
            <w:r>
              <w:rPr>
                <w:rFonts w:ascii="Calibri" w:hAnsi="Calibri"/>
                <w:color w:val="172B4D"/>
                <w:sz w:val="18"/>
              </w:rPr>
              <w:t>Use an isolated temporary Docker config with a short-lived ECR authorization token.</w:t>
            </w:r>
          </w:p>
        </w:tc>
      </w:tr>
      <w:tr>
        <w:tc>
          <w:tcPr>
            <w:tcW w:type="dxa" w:w="3216"/>
            <w:tcMar>
              <w:top w:w="100" w:type="dxa"/>
              <w:start w:w="120" w:type="dxa"/>
              <w:bottom w:w="100" w:type="dxa"/>
              <w:end w:w="120" w:type="dxa"/>
            </w:tcMar>
            <w:vAlign w:val="center"/>
          </w:tcPr>
          <w:p>
            <w:r>
              <w:rPr>
                <w:rFonts w:ascii="Calibri" w:hAnsi="Calibri"/>
                <w:color w:val="172B4D"/>
                <w:sz w:val="18"/>
              </w:rPr>
              <w:t>ECS URL changed</w:t>
            </w:r>
          </w:p>
        </w:tc>
        <w:tc>
          <w:tcPr>
            <w:tcW w:type="dxa" w:w="3216"/>
            <w:tcMar>
              <w:top w:w="100" w:type="dxa"/>
              <w:start w:w="120" w:type="dxa"/>
              <w:bottom w:w="100" w:type="dxa"/>
              <w:end w:w="120" w:type="dxa"/>
            </w:tcMar>
            <w:vAlign w:val="center"/>
          </w:tcPr>
          <w:p>
            <w:r>
              <w:rPr>
                <w:rFonts w:ascii="Calibri" w:hAnsi="Calibri"/>
                <w:color w:val="172B4D"/>
                <w:sz w:val="18"/>
              </w:rPr>
              <w:t>Direct Fargate public IP changes after task replacement</w:t>
            </w:r>
          </w:p>
        </w:tc>
        <w:tc>
          <w:tcPr>
            <w:tcW w:type="dxa" w:w="3216"/>
            <w:tcMar>
              <w:top w:w="100" w:type="dxa"/>
              <w:start w:w="120" w:type="dxa"/>
              <w:bottom w:w="100" w:type="dxa"/>
              <w:end w:w="120" w:type="dxa"/>
            </w:tcMar>
            <w:vAlign w:val="center"/>
          </w:tcPr>
          <w:p>
            <w:r>
              <w:rPr>
                <w:rFonts w:ascii="Calibri" w:hAnsi="Calibri"/>
                <w:color w:val="172B4D"/>
                <w:sz w:val="18"/>
              </w:rPr>
              <w:t>Add ALB and DNS for a stable endpoint.</w:t>
            </w:r>
          </w:p>
        </w:tc>
      </w:tr>
    </w:tbl>
    <w:p>
      <w:pPr>
        <w:spacing w:after="20"/>
      </w:pPr>
    </w:p>
    <w:p>
      <w:pPr>
        <w:pStyle w:val="Heading1"/>
        <w:keepNext/>
      </w:pPr>
      <w:r>
        <w:t>20. Known limitations and future roadmap</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152"/>
            <w:shd w:fill="E9F2FF"/>
            <w:tcMar>
              <w:top w:w="100" w:type="dxa"/>
              <w:start w:w="120" w:type="dxa"/>
              <w:bottom w:w="100" w:type="dxa"/>
              <w:end w:w="120" w:type="dxa"/>
            </w:tcMar>
            <w:vAlign w:val="center"/>
          </w:tcPr>
          <w:p>
            <w:pPr>
              <w:jc w:val="left"/>
            </w:pPr>
            <w:r>
              <w:rPr>
                <w:rFonts w:ascii="Calibri" w:hAnsi="Calibri"/>
                <w:b/>
                <w:color w:val="172B4D"/>
                <w:sz w:val="19"/>
              </w:rPr>
              <w:t>Priority</w:t>
            </w:r>
          </w:p>
        </w:tc>
        <w:tc>
          <w:tcPr>
            <w:tcW w:type="dxa" w:w="2448"/>
            <w:shd w:fill="E9F2FF"/>
            <w:tcMar>
              <w:top w:w="100" w:type="dxa"/>
              <w:start w:w="120" w:type="dxa"/>
              <w:bottom w:w="100" w:type="dxa"/>
              <w:end w:w="120" w:type="dxa"/>
            </w:tcMar>
            <w:vAlign w:val="center"/>
          </w:tcPr>
          <w:p>
            <w:pPr>
              <w:jc w:val="left"/>
            </w:pPr>
            <w:r>
              <w:rPr>
                <w:rFonts w:ascii="Calibri" w:hAnsi="Calibri"/>
                <w:b/>
                <w:color w:val="172B4D"/>
                <w:sz w:val="19"/>
              </w:rPr>
              <w:t>Future phase</w:t>
            </w:r>
          </w:p>
        </w:tc>
        <w:tc>
          <w:tcPr>
            <w:tcW w:type="dxa" w:w="5400"/>
            <w:shd w:fill="E9F2FF"/>
            <w:tcMar>
              <w:top w:w="100" w:type="dxa"/>
              <w:start w:w="120" w:type="dxa"/>
              <w:bottom w:w="100" w:type="dxa"/>
              <w:end w:w="120" w:type="dxa"/>
            </w:tcMar>
            <w:vAlign w:val="center"/>
          </w:tcPr>
          <w:p>
            <w:pPr>
              <w:jc w:val="left"/>
            </w:pPr>
            <w:r>
              <w:rPr>
                <w:rFonts w:ascii="Calibri" w:hAnsi="Calibri"/>
                <w:b/>
                <w:color w:val="172B4D"/>
                <w:sz w:val="19"/>
              </w:rPr>
              <w:t>Description</w:t>
            </w:r>
          </w:p>
        </w:tc>
      </w:tr>
      <w:tr>
        <w:tc>
          <w:tcPr>
            <w:tcW w:type="dxa" w:w="3216"/>
            <w:tcMar>
              <w:top w:w="100" w:type="dxa"/>
              <w:start w:w="120" w:type="dxa"/>
              <w:bottom w:w="100" w:type="dxa"/>
              <w:end w:w="120" w:type="dxa"/>
            </w:tcMar>
            <w:vAlign w:val="center"/>
          </w:tcPr>
          <w:p>
            <w:r>
              <w:rPr>
                <w:rFonts w:ascii="Calibri" w:hAnsi="Calibri"/>
                <w:color w:val="172B4D"/>
                <w:sz w:val="18"/>
              </w:rPr>
              <w:t>High</w:t>
            </w:r>
          </w:p>
        </w:tc>
        <w:tc>
          <w:tcPr>
            <w:tcW w:type="dxa" w:w="3216"/>
            <w:tcMar>
              <w:top w:w="100" w:type="dxa"/>
              <w:start w:w="120" w:type="dxa"/>
              <w:bottom w:w="100" w:type="dxa"/>
              <w:end w:w="120" w:type="dxa"/>
            </w:tcMar>
            <w:vAlign w:val="center"/>
          </w:tcPr>
          <w:p>
            <w:r>
              <w:rPr>
                <w:rFonts w:ascii="Calibri" w:hAnsi="Calibri"/>
                <w:color w:val="172B4D"/>
                <w:sz w:val="18"/>
              </w:rPr>
              <w:t>Stable secure endpoint</w:t>
            </w:r>
          </w:p>
        </w:tc>
        <w:tc>
          <w:tcPr>
            <w:tcW w:type="dxa" w:w="3216"/>
            <w:tcMar>
              <w:top w:w="100" w:type="dxa"/>
              <w:start w:w="120" w:type="dxa"/>
              <w:bottom w:w="100" w:type="dxa"/>
              <w:end w:w="120" w:type="dxa"/>
            </w:tcMar>
            <w:vAlign w:val="center"/>
          </w:tcPr>
          <w:p>
            <w:r>
              <w:rPr>
                <w:rFonts w:ascii="Calibri" w:hAnsi="Calibri"/>
                <w:color w:val="172B4D"/>
                <w:sz w:val="18"/>
              </w:rPr>
              <w:t>Application Load Balancer, HTTPS, DNS, authentication, and private subnets.</w:t>
            </w:r>
          </w:p>
        </w:tc>
      </w:tr>
      <w:tr>
        <w:tc>
          <w:tcPr>
            <w:tcW w:type="dxa" w:w="3216"/>
            <w:tcMar>
              <w:top w:w="100" w:type="dxa"/>
              <w:start w:w="120" w:type="dxa"/>
              <w:bottom w:w="100" w:type="dxa"/>
              <w:end w:w="120" w:type="dxa"/>
            </w:tcMar>
            <w:vAlign w:val="center"/>
          </w:tcPr>
          <w:p>
            <w:r>
              <w:t>Completed</w:t>
            </w:r>
          </w:p>
        </w:tc>
        <w:tc>
          <w:tcPr>
            <w:tcW w:type="dxa" w:w="3216"/>
            <w:tcMar>
              <w:top w:w="100" w:type="dxa"/>
              <w:start w:w="120" w:type="dxa"/>
              <w:bottom w:w="100" w:type="dxa"/>
              <w:end w:w="120" w:type="dxa"/>
            </w:tcMar>
            <w:vAlign w:val="center"/>
          </w:tcPr>
          <w:p>
            <w:r>
              <w:t>OpenSearch Serverless RAG</w:t>
            </w:r>
          </w:p>
        </w:tc>
        <w:tc>
          <w:tcPr>
            <w:tcW w:type="dxa" w:w="3216"/>
            <w:tcMar>
              <w:top w:w="100" w:type="dxa"/>
              <w:start w:w="120" w:type="dxa"/>
              <w:bottom w:w="100" w:type="dxa"/>
              <w:end w:w="120" w:type="dxa"/>
            </w:tcMar>
            <w:vAlign w:val="center"/>
          </w:tcPr>
          <w:p>
            <w:r>
              <w:t>Titan embeddings, 1,024-dimension vectors, metadata filtering, and OpenSearch k-NN retrieval are deployed.</w:t>
            </w:r>
          </w:p>
        </w:tc>
      </w:tr>
      <w:tr>
        <w:tc>
          <w:tcPr>
            <w:tcW w:type="dxa" w:w="3216"/>
            <w:tcMar>
              <w:top w:w="100" w:type="dxa"/>
              <w:start w:w="120" w:type="dxa"/>
              <w:bottom w:w="100" w:type="dxa"/>
              <w:end w:w="120" w:type="dxa"/>
            </w:tcMar>
            <w:vAlign w:val="center"/>
          </w:tcPr>
          <w:p>
            <w:r>
              <w:rPr>
                <w:rFonts w:ascii="Calibri" w:hAnsi="Calibri"/>
                <w:color w:val="172B4D"/>
                <w:sz w:val="18"/>
              </w:rPr>
              <w:t>High</w:t>
            </w:r>
          </w:p>
        </w:tc>
        <w:tc>
          <w:tcPr>
            <w:tcW w:type="dxa" w:w="3216"/>
            <w:tcMar>
              <w:top w:w="100" w:type="dxa"/>
              <w:start w:w="120" w:type="dxa"/>
              <w:bottom w:w="100" w:type="dxa"/>
              <w:end w:w="120" w:type="dxa"/>
            </w:tcMar>
            <w:vAlign w:val="center"/>
          </w:tcPr>
          <w:p>
            <w:r>
              <w:rPr>
                <w:rFonts w:ascii="Calibri" w:hAnsi="Calibri"/>
                <w:color w:val="172B4D"/>
                <w:sz w:val="18"/>
              </w:rPr>
              <w:t>News Agent</w:t>
            </w:r>
          </w:p>
        </w:tc>
        <w:tc>
          <w:tcPr>
            <w:tcW w:type="dxa" w:w="3216"/>
            <w:tcMar>
              <w:top w:w="100" w:type="dxa"/>
              <w:start w:w="120" w:type="dxa"/>
              <w:bottom w:w="100" w:type="dxa"/>
              <w:end w:w="120" w:type="dxa"/>
            </w:tcMar>
            <w:vAlign w:val="center"/>
          </w:tcPr>
          <w:p>
            <w:r>
              <w:rPr>
                <w:rFonts w:ascii="Calibri" w:hAnsi="Calibri"/>
                <w:color w:val="172B4D"/>
                <w:sz w:val="18"/>
              </w:rPr>
              <w:t>Reintroduce as a separately tested phase with an approved provider and secret management.</w:t>
            </w:r>
          </w:p>
        </w:tc>
      </w:tr>
      <w:tr>
        <w:tc>
          <w:tcPr>
            <w:tcW w:type="dxa" w:w="3216"/>
            <w:tcMar>
              <w:top w:w="100" w:type="dxa"/>
              <w:start w:w="120" w:type="dxa"/>
              <w:bottom w:w="100" w:type="dxa"/>
              <w:end w:w="120" w:type="dxa"/>
            </w:tcMar>
            <w:vAlign w:val="center"/>
          </w:tcPr>
          <w:p>
            <w:r>
              <w:rPr>
                <w:rFonts w:ascii="Calibri" w:hAnsi="Calibri"/>
                <w:color w:val="172B4D"/>
                <w:sz w:val="18"/>
              </w:rPr>
              <w:t>Medium</w:t>
            </w:r>
          </w:p>
        </w:tc>
        <w:tc>
          <w:tcPr>
            <w:tcW w:type="dxa" w:w="3216"/>
            <w:tcMar>
              <w:top w:w="100" w:type="dxa"/>
              <w:start w:w="120" w:type="dxa"/>
              <w:bottom w:w="100" w:type="dxa"/>
              <w:end w:w="120" w:type="dxa"/>
            </w:tcMar>
            <w:vAlign w:val="center"/>
          </w:tcPr>
          <w:p>
            <w:r>
              <w:rPr>
                <w:rFonts w:ascii="Calibri" w:hAnsi="Calibri"/>
                <w:color w:val="172B4D"/>
                <w:sz w:val="18"/>
              </w:rPr>
              <w:t>Scheduled ingestion</w:t>
            </w:r>
          </w:p>
        </w:tc>
        <w:tc>
          <w:tcPr>
            <w:tcW w:type="dxa" w:w="3216"/>
            <w:tcMar>
              <w:top w:w="100" w:type="dxa"/>
              <w:start w:w="120" w:type="dxa"/>
              <w:bottom w:w="100" w:type="dxa"/>
              <w:end w:w="120" w:type="dxa"/>
            </w:tcMar>
            <w:vAlign w:val="center"/>
          </w:tcPr>
          <w:p>
            <w:r>
              <w:rPr>
                <w:rFonts w:ascii="Calibri" w:hAnsi="Calibri"/>
                <w:color w:val="172B4D"/>
                <w:sz w:val="18"/>
              </w:rPr>
              <w:t>EventBridge-triggered ECS task or Lambda for report refresh.</w:t>
            </w:r>
          </w:p>
        </w:tc>
      </w:tr>
      <w:tr>
        <w:tc>
          <w:tcPr>
            <w:tcW w:type="dxa" w:w="3216"/>
            <w:tcMar>
              <w:top w:w="100" w:type="dxa"/>
              <w:start w:w="120" w:type="dxa"/>
              <w:bottom w:w="100" w:type="dxa"/>
              <w:end w:w="120" w:type="dxa"/>
            </w:tcMar>
            <w:vAlign w:val="center"/>
          </w:tcPr>
          <w:p>
            <w:r>
              <w:rPr>
                <w:rFonts w:ascii="Calibri" w:hAnsi="Calibri"/>
                <w:color w:val="172B4D"/>
                <w:sz w:val="18"/>
              </w:rPr>
              <w:t>Medium</w:t>
            </w:r>
          </w:p>
        </w:tc>
        <w:tc>
          <w:tcPr>
            <w:tcW w:type="dxa" w:w="3216"/>
            <w:tcMar>
              <w:top w:w="100" w:type="dxa"/>
              <w:start w:w="120" w:type="dxa"/>
              <w:bottom w:w="100" w:type="dxa"/>
              <w:end w:w="120" w:type="dxa"/>
            </w:tcMar>
            <w:vAlign w:val="center"/>
          </w:tcPr>
          <w:p>
            <w:r>
              <w:rPr>
                <w:rFonts w:ascii="Calibri" w:hAnsi="Calibri"/>
                <w:color w:val="172B4D"/>
                <w:sz w:val="18"/>
              </w:rPr>
              <w:t>Caching</w:t>
            </w:r>
          </w:p>
        </w:tc>
        <w:tc>
          <w:tcPr>
            <w:tcW w:type="dxa" w:w="3216"/>
            <w:tcMar>
              <w:top w:w="100" w:type="dxa"/>
              <w:start w:w="120" w:type="dxa"/>
              <w:bottom w:w="100" w:type="dxa"/>
              <w:end w:w="120" w:type="dxa"/>
            </w:tcMar>
            <w:vAlign w:val="center"/>
          </w:tcPr>
          <w:p>
            <w:r>
              <w:rPr>
                <w:rFonts w:ascii="Calibri" w:hAnsi="Calibri"/>
                <w:color w:val="172B4D"/>
                <w:sz w:val="18"/>
              </w:rPr>
              <w:t>Cache Yahoo responses to reduce latency and vendor load.</w:t>
            </w:r>
          </w:p>
        </w:tc>
      </w:tr>
      <w:tr>
        <w:tc>
          <w:tcPr>
            <w:tcW w:type="dxa" w:w="3216"/>
            <w:tcMar>
              <w:top w:w="100" w:type="dxa"/>
              <w:start w:w="120" w:type="dxa"/>
              <w:bottom w:w="100" w:type="dxa"/>
              <w:end w:w="120" w:type="dxa"/>
            </w:tcMar>
            <w:vAlign w:val="center"/>
          </w:tcPr>
          <w:p>
            <w:r>
              <w:rPr>
                <w:rFonts w:ascii="Calibri" w:hAnsi="Calibri"/>
                <w:color w:val="172B4D"/>
                <w:sz w:val="18"/>
              </w:rPr>
              <w:t>Medium</w:t>
            </w:r>
          </w:p>
        </w:tc>
        <w:tc>
          <w:tcPr>
            <w:tcW w:type="dxa" w:w="3216"/>
            <w:tcMar>
              <w:top w:w="100" w:type="dxa"/>
              <w:start w:w="120" w:type="dxa"/>
              <w:bottom w:w="100" w:type="dxa"/>
              <w:end w:w="120" w:type="dxa"/>
            </w:tcMar>
            <w:vAlign w:val="center"/>
          </w:tcPr>
          <w:p>
            <w:r>
              <w:rPr>
                <w:rFonts w:ascii="Calibri" w:hAnsi="Calibri"/>
                <w:color w:val="172B4D"/>
                <w:sz w:val="18"/>
              </w:rPr>
              <w:t>Report metadata</w:t>
            </w:r>
          </w:p>
        </w:tc>
        <w:tc>
          <w:tcPr>
            <w:tcW w:type="dxa" w:w="3216"/>
            <w:tcMar>
              <w:top w:w="100" w:type="dxa"/>
              <w:start w:w="120" w:type="dxa"/>
              <w:bottom w:w="100" w:type="dxa"/>
              <w:end w:w="120" w:type="dxa"/>
            </w:tcMar>
            <w:vAlign w:val="center"/>
          </w:tcPr>
          <w:p>
            <w:r>
              <w:rPr>
                <w:rFonts w:ascii="Calibri" w:hAnsi="Calibri"/>
                <w:color w:val="172B4D"/>
                <w:sz w:val="18"/>
              </w:rPr>
              <w:t>Add fiscal period, source URL, filing date, checksum, and ingestion status.</w:t>
            </w:r>
          </w:p>
        </w:tc>
      </w:tr>
      <w:tr>
        <w:tc>
          <w:tcPr>
            <w:tcW w:type="dxa" w:w="3216"/>
            <w:tcMar>
              <w:top w:w="100" w:type="dxa"/>
              <w:start w:w="120" w:type="dxa"/>
              <w:bottom w:w="100" w:type="dxa"/>
              <w:end w:w="120" w:type="dxa"/>
            </w:tcMar>
            <w:vAlign w:val="center"/>
          </w:tcPr>
          <w:p>
            <w:r>
              <w:rPr>
                <w:rFonts w:ascii="Calibri" w:hAnsi="Calibri"/>
                <w:color w:val="172B4D"/>
                <w:sz w:val="18"/>
              </w:rPr>
              <w:t>Medium</w:t>
            </w:r>
          </w:p>
        </w:tc>
        <w:tc>
          <w:tcPr>
            <w:tcW w:type="dxa" w:w="3216"/>
            <w:tcMar>
              <w:top w:w="100" w:type="dxa"/>
              <w:start w:w="120" w:type="dxa"/>
              <w:bottom w:w="100" w:type="dxa"/>
              <w:end w:w="120" w:type="dxa"/>
            </w:tcMar>
            <w:vAlign w:val="center"/>
          </w:tcPr>
          <w:p>
            <w:r>
              <w:rPr>
                <w:rFonts w:ascii="Calibri" w:hAnsi="Calibri"/>
                <w:color w:val="172B4D"/>
                <w:sz w:val="18"/>
              </w:rPr>
              <w:t>User management</w:t>
            </w:r>
          </w:p>
        </w:tc>
        <w:tc>
          <w:tcPr>
            <w:tcW w:type="dxa" w:w="3216"/>
            <w:tcMar>
              <w:top w:w="100" w:type="dxa"/>
              <w:start w:w="120" w:type="dxa"/>
              <w:bottom w:w="100" w:type="dxa"/>
              <w:end w:w="120" w:type="dxa"/>
            </w:tcMar>
            <w:vAlign w:val="center"/>
          </w:tcPr>
          <w:p>
            <w:r>
              <w:rPr>
                <w:rFonts w:ascii="Calibri" w:hAnsi="Calibri"/>
                <w:color w:val="172B4D"/>
                <w:sz w:val="18"/>
              </w:rPr>
              <w:t>Authentication, saved queries, and role-based access.</w:t>
            </w:r>
          </w:p>
        </w:tc>
      </w:tr>
      <w:tr>
        <w:tc>
          <w:tcPr>
            <w:tcW w:type="dxa" w:w="3216"/>
            <w:tcMar>
              <w:top w:w="100" w:type="dxa"/>
              <w:start w:w="120" w:type="dxa"/>
              <w:bottom w:w="100" w:type="dxa"/>
              <w:end w:w="120" w:type="dxa"/>
            </w:tcMar>
            <w:vAlign w:val="center"/>
          </w:tcPr>
          <w:p>
            <w:r>
              <w:rPr>
                <w:rFonts w:ascii="Calibri" w:hAnsi="Calibri"/>
                <w:color w:val="172B4D"/>
                <w:sz w:val="18"/>
              </w:rPr>
              <w:t>Low</w:t>
            </w:r>
          </w:p>
        </w:tc>
        <w:tc>
          <w:tcPr>
            <w:tcW w:type="dxa" w:w="3216"/>
            <w:tcMar>
              <w:top w:w="100" w:type="dxa"/>
              <w:start w:w="120" w:type="dxa"/>
              <w:bottom w:w="100" w:type="dxa"/>
              <w:end w:w="120" w:type="dxa"/>
            </w:tcMar>
            <w:vAlign w:val="center"/>
          </w:tcPr>
          <w:p>
            <w:r>
              <w:rPr>
                <w:rFonts w:ascii="Calibri" w:hAnsi="Calibri"/>
                <w:color w:val="172B4D"/>
                <w:sz w:val="18"/>
              </w:rPr>
              <w:t>Portfolio Agent</w:t>
            </w:r>
          </w:p>
        </w:tc>
        <w:tc>
          <w:tcPr>
            <w:tcW w:type="dxa" w:w="3216"/>
            <w:tcMar>
              <w:top w:w="100" w:type="dxa"/>
              <w:start w:w="120" w:type="dxa"/>
              <w:bottom w:w="100" w:type="dxa"/>
              <w:end w:w="120" w:type="dxa"/>
            </w:tcMar>
            <w:vAlign w:val="center"/>
          </w:tcPr>
          <w:p>
            <w:r>
              <w:rPr>
                <w:rFonts w:ascii="Calibri" w:hAnsi="Calibri"/>
                <w:color w:val="172B4D"/>
                <w:sz w:val="18"/>
              </w:rPr>
              <w:t>Holdings, allocation, volatility, and risk analytics.</w:t>
            </w:r>
          </w:p>
        </w:tc>
      </w:tr>
      <w:tr>
        <w:tc>
          <w:tcPr>
            <w:tcW w:type="dxa" w:w="3216"/>
            <w:tcMar>
              <w:top w:w="100" w:type="dxa"/>
              <w:start w:w="120" w:type="dxa"/>
              <w:bottom w:w="100" w:type="dxa"/>
              <w:end w:w="120" w:type="dxa"/>
            </w:tcMar>
            <w:vAlign w:val="center"/>
          </w:tcPr>
          <w:p>
            <w:r>
              <w:rPr>
                <w:rFonts w:ascii="Calibri" w:hAnsi="Calibri"/>
                <w:color w:val="172B4D"/>
                <w:sz w:val="18"/>
              </w:rPr>
              <w:t>Low</w:t>
            </w:r>
          </w:p>
        </w:tc>
        <w:tc>
          <w:tcPr>
            <w:tcW w:type="dxa" w:w="3216"/>
            <w:tcMar>
              <w:top w:w="100" w:type="dxa"/>
              <w:start w:w="120" w:type="dxa"/>
              <w:bottom w:w="100" w:type="dxa"/>
              <w:end w:w="120" w:type="dxa"/>
            </w:tcMar>
            <w:vAlign w:val="center"/>
          </w:tcPr>
          <w:p>
            <w:r>
              <w:rPr>
                <w:rFonts w:ascii="Calibri" w:hAnsi="Calibri"/>
                <w:color w:val="172B4D"/>
                <w:sz w:val="18"/>
              </w:rPr>
              <w:t>Evaluation framework</w:t>
            </w:r>
          </w:p>
        </w:tc>
        <w:tc>
          <w:tcPr>
            <w:tcW w:type="dxa" w:w="3216"/>
            <w:tcMar>
              <w:top w:w="100" w:type="dxa"/>
              <w:start w:w="120" w:type="dxa"/>
              <w:bottom w:w="100" w:type="dxa"/>
              <w:end w:w="120" w:type="dxa"/>
            </w:tcMar>
            <w:vAlign w:val="center"/>
          </w:tcPr>
          <w:p>
            <w:r>
              <w:rPr>
                <w:rFonts w:ascii="Calibri" w:hAnsi="Calibri"/>
                <w:color w:val="172B4D"/>
                <w:sz w:val="18"/>
              </w:rPr>
              <w:t>Golden questions, citation accuracy scoring, and answer-quality monitoring.</w:t>
            </w:r>
          </w:p>
        </w:tc>
      </w:tr>
    </w:tbl>
    <w:p>
      <w:pPr>
        <w:spacing w:after="20"/>
      </w:pPr>
    </w:p>
    <w:p>
      <w:r>
        <w:br w:type="page"/>
      </w:r>
    </w:p>
    <w:p>
      <w:pPr>
        <w:pStyle w:val="Heading1"/>
        <w:keepNext/>
      </w:pPr>
      <w:r>
        <w:t>Appendix A - AWS resource reference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951"/>
            <w:shd w:fill="E9F2FF"/>
            <w:tcMar>
              <w:top w:w="100" w:type="dxa"/>
              <w:start w:w="120" w:type="dxa"/>
              <w:bottom w:w="100" w:type="dxa"/>
              <w:end w:w="120" w:type="dxa"/>
            </w:tcMar>
            <w:vAlign w:val="center"/>
          </w:tcPr>
          <w:p>
            <w:pPr>
              <w:jc w:val="left"/>
            </w:pPr>
            <w:r>
              <w:rPr>
                <w:rFonts w:ascii="Calibri" w:hAnsi="Calibri"/>
                <w:b/>
                <w:color w:val="172B4D"/>
                <w:sz w:val="19"/>
              </w:rPr>
              <w:t>Resource type</w:t>
            </w:r>
          </w:p>
        </w:tc>
        <w:tc>
          <w:tcPr>
            <w:tcW w:type="dxa" w:w="6048"/>
            <w:shd w:fill="E9F2FF"/>
            <w:tcMar>
              <w:top w:w="100" w:type="dxa"/>
              <w:start w:w="120" w:type="dxa"/>
              <w:bottom w:w="100" w:type="dxa"/>
              <w:end w:w="120" w:type="dxa"/>
            </w:tcMar>
            <w:vAlign w:val="center"/>
          </w:tcPr>
          <w:p>
            <w:pPr>
              <w:jc w:val="left"/>
            </w:pPr>
            <w:r>
              <w:rPr>
                <w:rFonts w:ascii="Calibri" w:hAnsi="Calibri"/>
                <w:b/>
                <w:color w:val="172B4D"/>
                <w:sz w:val="19"/>
              </w:rPr>
              <w:t>Name/value</w:t>
            </w:r>
          </w:p>
        </w:tc>
      </w:tr>
      <w:tr>
        <w:tc>
          <w:tcPr>
            <w:tcW w:type="dxa" w:w="4824"/>
            <w:tcMar>
              <w:top w:w="100" w:type="dxa"/>
              <w:start w:w="120" w:type="dxa"/>
              <w:bottom w:w="100" w:type="dxa"/>
              <w:end w:w="120" w:type="dxa"/>
            </w:tcMar>
            <w:vAlign w:val="center"/>
          </w:tcPr>
          <w:p>
            <w:r>
              <w:rPr>
                <w:rFonts w:ascii="Calibri" w:hAnsi="Calibri"/>
                <w:color w:val="172B4D"/>
                <w:sz w:val="18"/>
              </w:rPr>
              <w:t>Region</w:t>
            </w:r>
          </w:p>
        </w:tc>
        <w:tc>
          <w:tcPr>
            <w:tcW w:type="dxa" w:w="4824"/>
            <w:tcMar>
              <w:top w:w="100" w:type="dxa"/>
              <w:start w:w="120" w:type="dxa"/>
              <w:bottom w:w="100" w:type="dxa"/>
              <w:end w:w="120" w:type="dxa"/>
            </w:tcMar>
            <w:vAlign w:val="center"/>
          </w:tcPr>
          <w:p>
            <w:r>
              <w:rPr>
                <w:rFonts w:ascii="Calibri" w:hAnsi="Calibri"/>
                <w:color w:val="172B4D"/>
                <w:sz w:val="18"/>
              </w:rPr>
              <w:t>eu-west-2</w:t>
            </w:r>
          </w:p>
        </w:tc>
      </w:tr>
      <w:tr>
        <w:tc>
          <w:tcPr>
            <w:tcW w:type="dxa" w:w="4824"/>
            <w:tcMar>
              <w:top w:w="100" w:type="dxa"/>
              <w:start w:w="120" w:type="dxa"/>
              <w:bottom w:w="100" w:type="dxa"/>
              <w:end w:w="120" w:type="dxa"/>
            </w:tcMar>
            <w:vAlign w:val="center"/>
          </w:tcPr>
          <w:p>
            <w:r>
              <w:rPr>
                <w:rFonts w:ascii="Calibri" w:hAnsi="Calibri"/>
                <w:color w:val="172B4D"/>
                <w:sz w:val="18"/>
              </w:rPr>
              <w:t>ECR repository</w:t>
            </w:r>
          </w:p>
        </w:tc>
        <w:tc>
          <w:tcPr>
            <w:tcW w:type="dxa" w:w="4824"/>
            <w:tcMar>
              <w:top w:w="100" w:type="dxa"/>
              <w:start w:w="120" w:type="dxa"/>
              <w:bottom w:w="100" w:type="dxa"/>
              <w:end w:w="120" w:type="dxa"/>
            </w:tcMar>
            <w:vAlign w:val="center"/>
          </w:tcPr>
          <w:p>
            <w:r>
              <w:t>dev-dsmay-stock-agent-repo</w:t>
            </w:r>
          </w:p>
        </w:tc>
      </w:tr>
      <w:tr>
        <w:tc>
          <w:tcPr>
            <w:tcW w:type="dxa" w:w="4824"/>
            <w:tcMar>
              <w:top w:w="100" w:type="dxa"/>
              <w:start w:w="120" w:type="dxa"/>
              <w:bottom w:w="100" w:type="dxa"/>
              <w:end w:w="120" w:type="dxa"/>
            </w:tcMar>
            <w:vAlign w:val="center"/>
          </w:tcPr>
          <w:p>
            <w:r>
              <w:rPr>
                <w:rFonts w:ascii="Calibri" w:hAnsi="Calibri"/>
                <w:color w:val="172B4D"/>
                <w:sz w:val="18"/>
              </w:rPr>
              <w:t>ECR URI</w:t>
            </w:r>
          </w:p>
        </w:tc>
        <w:tc>
          <w:tcPr>
            <w:tcW w:type="dxa" w:w="4824"/>
            <w:tcMar>
              <w:top w:w="100" w:type="dxa"/>
              <w:start w:w="120" w:type="dxa"/>
              <w:bottom w:w="100" w:type="dxa"/>
              <w:end w:w="120" w:type="dxa"/>
            </w:tcMar>
            <w:vAlign w:val="center"/>
          </w:tcPr>
          <w:p>
            <w:r>
              <w:t>666127452756.dkr.ecr.eu-west-2.amazonaws.com/dev-dsmay-stock-agent-repo</w:t>
            </w:r>
          </w:p>
        </w:tc>
      </w:tr>
      <w:tr>
        <w:tc>
          <w:tcPr>
            <w:tcW w:type="dxa" w:w="4824"/>
            <w:tcMar>
              <w:top w:w="100" w:type="dxa"/>
              <w:start w:w="120" w:type="dxa"/>
              <w:bottom w:w="100" w:type="dxa"/>
              <w:end w:w="120" w:type="dxa"/>
            </w:tcMar>
            <w:vAlign w:val="center"/>
          </w:tcPr>
          <w:p>
            <w:r>
              <w:rPr>
                <w:rFonts w:ascii="Calibri" w:hAnsi="Calibri"/>
                <w:color w:val="172B4D"/>
                <w:sz w:val="18"/>
              </w:rPr>
              <w:t>ECS cluster</w:t>
            </w:r>
          </w:p>
        </w:tc>
        <w:tc>
          <w:tcPr>
            <w:tcW w:type="dxa" w:w="4824"/>
            <w:tcMar>
              <w:top w:w="100" w:type="dxa"/>
              <w:start w:w="120" w:type="dxa"/>
              <w:bottom w:w="100" w:type="dxa"/>
              <w:end w:w="120" w:type="dxa"/>
            </w:tcMar>
            <w:vAlign w:val="center"/>
          </w:tcPr>
          <w:p>
            <w:r>
              <w:t>dev-dsmay-stock-agent-cluster</w:t>
            </w:r>
          </w:p>
        </w:tc>
      </w:tr>
      <w:tr>
        <w:tc>
          <w:tcPr>
            <w:tcW w:type="dxa" w:w="4824"/>
            <w:tcMar>
              <w:top w:w="100" w:type="dxa"/>
              <w:start w:w="120" w:type="dxa"/>
              <w:bottom w:w="100" w:type="dxa"/>
              <w:end w:w="120" w:type="dxa"/>
            </w:tcMar>
            <w:vAlign w:val="center"/>
          </w:tcPr>
          <w:p>
            <w:r>
              <w:rPr>
                <w:rFonts w:ascii="Calibri" w:hAnsi="Calibri"/>
                <w:color w:val="172B4D"/>
                <w:sz w:val="18"/>
              </w:rPr>
              <w:t>ECS service</w:t>
            </w:r>
          </w:p>
        </w:tc>
        <w:tc>
          <w:tcPr>
            <w:tcW w:type="dxa" w:w="4824"/>
            <w:tcMar>
              <w:top w:w="100" w:type="dxa"/>
              <w:start w:w="120" w:type="dxa"/>
              <w:bottom w:w="100" w:type="dxa"/>
              <w:end w:w="120" w:type="dxa"/>
            </w:tcMar>
            <w:vAlign w:val="center"/>
          </w:tcPr>
          <w:p>
            <w:r>
              <w:t>dev-dsmay-stock-agent-ecs</w:t>
            </w:r>
          </w:p>
        </w:tc>
      </w:tr>
      <w:tr>
        <w:tc>
          <w:tcPr>
            <w:tcW w:type="dxa" w:w="4824"/>
            <w:tcMar>
              <w:top w:w="100" w:type="dxa"/>
              <w:start w:w="120" w:type="dxa"/>
              <w:bottom w:w="100" w:type="dxa"/>
              <w:end w:w="120" w:type="dxa"/>
            </w:tcMar>
            <w:vAlign w:val="center"/>
          </w:tcPr>
          <w:p>
            <w:r>
              <w:rPr>
                <w:rFonts w:ascii="Calibri" w:hAnsi="Calibri"/>
                <w:color w:val="172B4D"/>
                <w:sz w:val="18"/>
              </w:rPr>
              <w:t>Current task definition</w:t>
            </w:r>
          </w:p>
        </w:tc>
        <w:tc>
          <w:tcPr>
            <w:tcW w:type="dxa" w:w="4824"/>
            <w:tcMar>
              <w:top w:w="100" w:type="dxa"/>
              <w:start w:w="120" w:type="dxa"/>
              <w:bottom w:w="100" w:type="dxa"/>
              <w:end w:w="120" w:type="dxa"/>
            </w:tcMar>
            <w:vAlign w:val="center"/>
          </w:tcPr>
          <w:p>
            <w:r>
              <w:t>stock-agent:8</w:t>
            </w:r>
          </w:p>
        </w:tc>
      </w:tr>
      <w:tr>
        <w:tc>
          <w:tcPr>
            <w:tcW w:type="dxa" w:w="4824"/>
            <w:tcMar>
              <w:top w:w="100" w:type="dxa"/>
              <w:start w:w="120" w:type="dxa"/>
              <w:bottom w:w="100" w:type="dxa"/>
              <w:end w:w="120" w:type="dxa"/>
            </w:tcMar>
            <w:vAlign w:val="center"/>
          </w:tcPr>
          <w:p>
            <w:r>
              <w:rPr>
                <w:rFonts w:ascii="Calibri" w:hAnsi="Calibri"/>
                <w:color w:val="172B4D"/>
                <w:sz w:val="18"/>
              </w:rPr>
              <w:t>CloudWatch log group</w:t>
            </w:r>
          </w:p>
        </w:tc>
        <w:tc>
          <w:tcPr>
            <w:tcW w:type="dxa" w:w="4824"/>
            <w:tcMar>
              <w:top w:w="100" w:type="dxa"/>
              <w:start w:w="120" w:type="dxa"/>
              <w:bottom w:w="100" w:type="dxa"/>
              <w:end w:w="120" w:type="dxa"/>
            </w:tcMar>
            <w:vAlign w:val="center"/>
          </w:tcPr>
          <w:p>
            <w:r>
              <w:rPr>
                <w:rFonts w:ascii="Calibri" w:hAnsi="Calibri"/>
                <w:color w:val="172B4D"/>
                <w:sz w:val="18"/>
              </w:rPr>
              <w:t>/ecs/stock-agent</w:t>
            </w:r>
          </w:p>
        </w:tc>
      </w:tr>
      <w:tr>
        <w:tc>
          <w:tcPr>
            <w:tcW w:type="dxa" w:w="4824"/>
            <w:tcMar>
              <w:top w:w="100" w:type="dxa"/>
              <w:start w:w="120" w:type="dxa"/>
              <w:bottom w:w="100" w:type="dxa"/>
              <w:end w:w="120" w:type="dxa"/>
            </w:tcMar>
            <w:vAlign w:val="center"/>
          </w:tcPr>
          <w:p>
            <w:r>
              <w:rPr>
                <w:rFonts w:ascii="Calibri" w:hAnsi="Calibri"/>
                <w:color w:val="172B4D"/>
                <w:sz w:val="18"/>
              </w:rPr>
              <w:t>S3 bucket</w:t>
            </w:r>
          </w:p>
        </w:tc>
        <w:tc>
          <w:tcPr>
            <w:tcW w:type="dxa" w:w="4824"/>
            <w:tcMar>
              <w:top w:w="100" w:type="dxa"/>
              <w:start w:w="120" w:type="dxa"/>
              <w:bottom w:w="100" w:type="dxa"/>
              <w:end w:w="120" w:type="dxa"/>
            </w:tcMar>
            <w:vAlign w:val="center"/>
          </w:tcPr>
          <w:p>
            <w:r>
              <w:t>dev-dsmay-stock-agent-bucket</w:t>
            </w:r>
          </w:p>
        </w:tc>
      </w:tr>
      <w:tr>
        <w:tc>
          <w:tcPr>
            <w:tcW w:type="dxa" w:w="4824"/>
            <w:tcMar>
              <w:top w:w="100" w:type="dxa"/>
              <w:start w:w="120" w:type="dxa"/>
              <w:bottom w:w="100" w:type="dxa"/>
              <w:end w:w="120" w:type="dxa"/>
            </w:tcMar>
            <w:vAlign w:val="center"/>
          </w:tcPr>
          <w:p>
            <w:r>
              <w:rPr>
                <w:rFonts w:ascii="Calibri" w:hAnsi="Calibri"/>
                <w:color w:val="172B4D"/>
                <w:sz w:val="18"/>
              </w:rPr>
              <w:t>S3 prefix</w:t>
            </w:r>
          </w:p>
        </w:tc>
        <w:tc>
          <w:tcPr>
            <w:tcW w:type="dxa" w:w="4824"/>
            <w:tcMar>
              <w:top w:w="100" w:type="dxa"/>
              <w:start w:w="120" w:type="dxa"/>
              <w:bottom w:w="100" w:type="dxa"/>
              <w:end w:w="120" w:type="dxa"/>
            </w:tcMar>
            <w:vAlign w:val="center"/>
          </w:tcPr>
          <w:p>
            <w:r>
              <w:rPr>
                <w:rFonts w:ascii="Calibri" w:hAnsi="Calibri"/>
                <w:color w:val="172B4D"/>
                <w:sz w:val="18"/>
              </w:rPr>
              <w:t>financial-reports/</w:t>
            </w:r>
          </w:p>
        </w:tc>
      </w:tr>
      <w:tr>
        <w:tc>
          <w:tcPr>
            <w:tcW w:type="dxa" w:w="4824"/>
            <w:tcMar>
              <w:top w:w="100" w:type="dxa"/>
              <w:start w:w="120" w:type="dxa"/>
              <w:bottom w:w="100" w:type="dxa"/>
              <w:end w:w="120" w:type="dxa"/>
            </w:tcMar>
            <w:vAlign w:val="center"/>
          </w:tcPr>
          <w:p>
            <w:r>
              <w:rPr>
                <w:rFonts w:ascii="Calibri" w:hAnsi="Calibri"/>
                <w:color w:val="172B4D"/>
                <w:sz w:val="18"/>
              </w:rPr>
              <w:t>Execution role</w:t>
            </w:r>
          </w:p>
        </w:tc>
        <w:tc>
          <w:tcPr>
            <w:tcW w:type="dxa" w:w="4824"/>
            <w:tcMar>
              <w:top w:w="100" w:type="dxa"/>
              <w:start w:w="120" w:type="dxa"/>
              <w:bottom w:w="100" w:type="dxa"/>
              <w:end w:w="120" w:type="dxa"/>
            </w:tcMar>
            <w:vAlign w:val="center"/>
          </w:tcPr>
          <w:p>
            <w:r>
              <w:rPr>
                <w:rFonts w:ascii="Calibri" w:hAnsi="Calibri"/>
                <w:color w:val="172B4D"/>
                <w:sz w:val="18"/>
              </w:rPr>
              <w:t>stock-agent-ecs-execution-role</w:t>
            </w:r>
          </w:p>
        </w:tc>
      </w:tr>
      <w:tr>
        <w:tc>
          <w:tcPr>
            <w:tcW w:type="dxa" w:w="4824"/>
            <w:tcMar>
              <w:top w:w="100" w:type="dxa"/>
              <w:start w:w="120" w:type="dxa"/>
              <w:bottom w:w="100" w:type="dxa"/>
              <w:end w:w="120" w:type="dxa"/>
            </w:tcMar>
            <w:vAlign w:val="center"/>
          </w:tcPr>
          <w:p>
            <w:r>
              <w:rPr>
                <w:rFonts w:ascii="Calibri" w:hAnsi="Calibri"/>
                <w:color w:val="172B4D"/>
                <w:sz w:val="18"/>
              </w:rPr>
              <w:t>Task role</w:t>
            </w:r>
          </w:p>
        </w:tc>
        <w:tc>
          <w:tcPr>
            <w:tcW w:type="dxa" w:w="4824"/>
            <w:tcMar>
              <w:top w:w="100" w:type="dxa"/>
              <w:start w:w="120" w:type="dxa"/>
              <w:bottom w:w="100" w:type="dxa"/>
              <w:end w:w="120" w:type="dxa"/>
            </w:tcMar>
            <w:vAlign w:val="center"/>
          </w:tcPr>
          <w:p>
            <w:r>
              <w:rPr>
                <w:rFonts w:ascii="Calibri" w:hAnsi="Calibri"/>
                <w:color w:val="172B4D"/>
                <w:sz w:val="18"/>
              </w:rPr>
              <w:t>stock-agent-ecs-task-role</w:t>
            </w:r>
          </w:p>
        </w:tc>
      </w:tr>
      <w:tr>
        <w:tc>
          <w:tcPr>
            <w:tcW w:type="dxa" w:w="4824"/>
            <w:tcMar>
              <w:top w:w="100" w:type="dxa"/>
              <w:start w:w="120" w:type="dxa"/>
              <w:bottom w:w="100" w:type="dxa"/>
              <w:end w:w="120" w:type="dxa"/>
            </w:tcMar>
            <w:vAlign w:val="center"/>
          </w:tcPr>
          <w:p>
            <w:r>
              <w:rPr>
                <w:rFonts w:ascii="Calibri" w:hAnsi="Calibri"/>
                <w:color w:val="172B4D"/>
                <w:sz w:val="18"/>
              </w:rPr>
              <w:t>Container port</w:t>
            </w:r>
          </w:p>
        </w:tc>
        <w:tc>
          <w:tcPr>
            <w:tcW w:type="dxa" w:w="4824"/>
            <w:tcMar>
              <w:top w:w="100" w:type="dxa"/>
              <w:start w:w="120" w:type="dxa"/>
              <w:bottom w:w="100" w:type="dxa"/>
              <w:end w:w="120" w:type="dxa"/>
            </w:tcMar>
            <w:vAlign w:val="center"/>
          </w:tcPr>
          <w:p>
            <w:r>
              <w:rPr>
                <w:rFonts w:ascii="Calibri" w:hAnsi="Calibri"/>
                <w:color w:val="172B4D"/>
                <w:sz w:val="18"/>
              </w:rPr>
              <w:t>8501</w:t>
            </w:r>
          </w:p>
        </w:tc>
      </w:tr>
      <w:tr>
        <w:tc>
          <w:tcPr>
            <w:tcW w:type="dxa" w:w="4824"/>
            <w:tcMar>
              <w:top w:w="100" w:type="dxa"/>
              <w:start w:w="120" w:type="dxa"/>
              <w:bottom w:w="100" w:type="dxa"/>
              <w:end w:w="120" w:type="dxa"/>
            </w:tcMar>
            <w:vAlign w:val="center"/>
          </w:tcPr>
          <w:p>
            <w:r>
              <w:rPr>
                <w:rFonts w:ascii="Calibri" w:hAnsi="Calibri"/>
                <w:color w:val="172B4D"/>
                <w:sz w:val="18"/>
              </w:rPr>
              <w:t>Health endpoint</w:t>
            </w:r>
          </w:p>
        </w:tc>
        <w:tc>
          <w:tcPr>
            <w:tcW w:type="dxa" w:w="4824"/>
            <w:tcMar>
              <w:top w:w="100" w:type="dxa"/>
              <w:start w:w="120" w:type="dxa"/>
              <w:bottom w:w="100" w:type="dxa"/>
              <w:end w:w="120" w:type="dxa"/>
            </w:tcMar>
            <w:vAlign w:val="center"/>
          </w:tcPr>
          <w:p>
            <w:r>
              <w:rPr>
                <w:rFonts w:ascii="Calibri" w:hAnsi="Calibri"/>
                <w:color w:val="172B4D"/>
                <w:sz w:val="18"/>
              </w:rPr>
              <w:t>/_stcore/health</w:t>
            </w:r>
          </w:p>
        </w:tc>
      </w:tr>
      <w:tr>
        <w:tc>
          <w:tcPr>
            <w:tcW w:type="dxa" w:w="4824"/>
          </w:tcPr>
          <w:p>
            <w:r>
              <w:t>OpenSearch collection</w:t>
            </w:r>
          </w:p>
        </w:tc>
        <w:tc>
          <w:tcPr>
            <w:tcW w:type="dxa" w:w="4824"/>
          </w:tcPr>
          <w:p>
            <w:r>
              <w:t>stock-agent-vectors / 8sxalipy464p1anut4s6</w:t>
            </w:r>
          </w:p>
        </w:tc>
      </w:tr>
      <w:tr>
        <w:tc>
          <w:tcPr>
            <w:tcW w:type="dxa" w:w="4824"/>
          </w:tcPr>
          <w:p>
            <w:r>
              <w:t>OpenSearch index</w:t>
            </w:r>
          </w:p>
        </w:tc>
        <w:tc>
          <w:tcPr>
            <w:tcW w:type="dxa" w:w="4824"/>
          </w:tcPr>
          <w:p>
            <w:r>
              <w:t>financial-report-chunks</w:t>
            </w:r>
          </w:p>
        </w:tc>
      </w:tr>
      <w:tr>
        <w:tc>
          <w:tcPr>
            <w:tcW w:type="dxa" w:w="4824"/>
          </w:tcPr>
          <w:p>
            <w:r>
              <w:t>Indexed chunks</w:t>
            </w:r>
          </w:p>
        </w:tc>
        <w:tc>
          <w:tcPr>
            <w:tcW w:type="dxa" w:w="4824"/>
          </w:tcPr>
          <w:p>
            <w:r>
              <w:t>712</w:t>
            </w:r>
          </w:p>
        </w:tc>
      </w:tr>
      <w:tr>
        <w:tc>
          <w:tcPr>
            <w:tcW w:type="dxa" w:w="4824"/>
          </w:tcPr>
          <w:p>
            <w:r>
              <w:t>Current demonstration URL</w:t>
            </w:r>
          </w:p>
        </w:tc>
        <w:tc>
          <w:tcPr>
            <w:tcW w:type="dxa" w:w="4824"/>
          </w:tcPr>
          <w:p>
            <w:r>
              <w:t>http://18.171.60.65:8501 (ephemeral public IP)</w:t>
            </w:r>
          </w:p>
        </w:tc>
      </w:tr>
    </w:tbl>
    <w:p>
      <w:pPr>
        <w:spacing w:after="20"/>
      </w:pPr>
    </w:p>
    <w:p>
      <w:pPr>
        <w:pStyle w:val="Heading1"/>
        <w:keepNext/>
      </w:pPr>
      <w:r>
        <w:t>Appendix B - Key source files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960"/>
            <w:shd w:fill="E9F2FF"/>
            <w:tcMar>
              <w:top w:w="100" w:type="dxa"/>
              <w:start w:w="120" w:type="dxa"/>
              <w:bottom w:w="100" w:type="dxa"/>
              <w:end w:w="120" w:type="dxa"/>
            </w:tcMar>
            <w:vAlign w:val="center"/>
          </w:tcPr>
          <w:p>
            <w:pPr>
              <w:jc w:val="left"/>
            </w:pPr>
            <w:r>
              <w:rPr>
                <w:rFonts w:ascii="Calibri" w:hAnsi="Calibri"/>
                <w:b/>
                <w:color w:val="172B4D"/>
                <w:sz w:val="19"/>
              </w:rPr>
              <w:t>File</w:t>
            </w:r>
          </w:p>
        </w:tc>
        <w:tc>
          <w:tcPr>
            <w:tcW w:type="dxa" w:w="5040"/>
            <w:shd w:fill="E9F2FF"/>
            <w:tcMar>
              <w:top w:w="100" w:type="dxa"/>
              <w:start w:w="120" w:type="dxa"/>
              <w:bottom w:w="100" w:type="dxa"/>
              <w:end w:w="120" w:type="dxa"/>
            </w:tcMar>
            <w:vAlign w:val="center"/>
          </w:tcPr>
          <w:p>
            <w:pPr>
              <w:jc w:val="left"/>
            </w:pPr>
            <w:r>
              <w:rPr>
                <w:rFonts w:ascii="Calibri" w:hAnsi="Calibri"/>
                <w:b/>
                <w:color w:val="172B4D"/>
                <w:sz w:val="19"/>
              </w:rPr>
              <w:t>Responsibility</w:t>
            </w:r>
          </w:p>
        </w:tc>
      </w:tr>
      <w:tr>
        <w:tc>
          <w:tcPr>
            <w:tcW w:type="dxa" w:w="4824"/>
            <w:tcMar>
              <w:top w:w="100" w:type="dxa"/>
              <w:start w:w="120" w:type="dxa"/>
              <w:bottom w:w="100" w:type="dxa"/>
              <w:end w:w="120" w:type="dxa"/>
            </w:tcMar>
            <w:vAlign w:val="center"/>
          </w:tcPr>
          <w:p>
            <w:r>
              <w:rPr>
                <w:rFonts w:ascii="Calibri" w:hAnsi="Calibri"/>
                <w:color w:val="172B4D"/>
                <w:sz w:val="18"/>
              </w:rPr>
              <w:t>app.py</w:t>
            </w:r>
          </w:p>
        </w:tc>
        <w:tc>
          <w:tcPr>
            <w:tcW w:type="dxa" w:w="4824"/>
            <w:tcMar>
              <w:top w:w="100" w:type="dxa"/>
              <w:start w:w="120" w:type="dxa"/>
              <w:bottom w:w="100" w:type="dxa"/>
              <w:end w:w="120" w:type="dxa"/>
            </w:tcMar>
            <w:vAlign w:val="center"/>
          </w:tcPr>
          <w:p>
            <w:r>
              <w:rPr>
                <w:rFonts w:ascii="Calibri" w:hAnsi="Calibri"/>
                <w:color w:val="172B4D"/>
                <w:sz w:val="18"/>
              </w:rPr>
              <w:t>Streamlit UI and dashboard.</w:t>
            </w:r>
          </w:p>
        </w:tc>
      </w:tr>
      <w:tr>
        <w:tc>
          <w:tcPr>
            <w:tcW w:type="dxa" w:w="4824"/>
            <w:tcMar>
              <w:top w:w="100" w:type="dxa"/>
              <w:start w:w="120" w:type="dxa"/>
              <w:bottom w:w="100" w:type="dxa"/>
              <w:end w:w="120" w:type="dxa"/>
            </w:tcMar>
            <w:vAlign w:val="center"/>
          </w:tcPr>
          <w:p>
            <w:r>
              <w:rPr>
                <w:rFonts w:ascii="Calibri" w:hAnsi="Calibri"/>
                <w:color w:val="172B4D"/>
                <w:sz w:val="18"/>
              </w:rPr>
              <w:t>src/stock_agent/supervisor.py</w:t>
            </w:r>
          </w:p>
        </w:tc>
        <w:tc>
          <w:tcPr>
            <w:tcW w:type="dxa" w:w="4824"/>
            <w:tcMar>
              <w:top w:w="100" w:type="dxa"/>
              <w:start w:w="120" w:type="dxa"/>
              <w:bottom w:w="100" w:type="dxa"/>
              <w:end w:w="120" w:type="dxa"/>
            </w:tcMar>
            <w:vAlign w:val="center"/>
          </w:tcPr>
          <w:p>
            <w:r>
              <w:rPr>
                <w:rFonts w:ascii="Calibri" w:hAnsi="Calibri"/>
                <w:color w:val="172B4D"/>
                <w:sz w:val="18"/>
              </w:rPr>
              <w:t>Routing and response assembly.</w:t>
            </w:r>
          </w:p>
        </w:tc>
      </w:tr>
      <w:tr>
        <w:tc>
          <w:tcPr>
            <w:tcW w:type="dxa" w:w="4824"/>
            <w:tcMar>
              <w:top w:w="100" w:type="dxa"/>
              <w:start w:w="120" w:type="dxa"/>
              <w:bottom w:w="100" w:type="dxa"/>
              <w:end w:w="120" w:type="dxa"/>
            </w:tcMar>
            <w:vAlign w:val="center"/>
          </w:tcPr>
          <w:p>
            <w:r>
              <w:rPr>
                <w:rFonts w:ascii="Calibri" w:hAnsi="Calibri"/>
                <w:color w:val="172B4D"/>
                <w:sz w:val="18"/>
              </w:rPr>
              <w:t>src/stock_agent/agents/rag_agent.py</w:t>
            </w:r>
          </w:p>
        </w:tc>
        <w:tc>
          <w:tcPr>
            <w:tcW w:type="dxa" w:w="4824"/>
            <w:tcMar>
              <w:top w:w="100" w:type="dxa"/>
              <w:start w:w="120" w:type="dxa"/>
              <w:bottom w:w="100" w:type="dxa"/>
              <w:end w:w="120" w:type="dxa"/>
            </w:tcMar>
            <w:vAlign w:val="center"/>
          </w:tcPr>
          <w:p>
            <w:r>
              <w:rPr>
                <w:rFonts w:ascii="Calibri" w:hAnsi="Calibri"/>
                <w:color w:val="172B4D"/>
                <w:sz w:val="18"/>
              </w:rPr>
              <w:t>Report retrieval, source isolation, and Bedrock context.</w:t>
            </w:r>
          </w:p>
        </w:tc>
      </w:tr>
      <w:tr>
        <w:tc>
          <w:tcPr>
            <w:tcW w:type="dxa" w:w="4824"/>
            <w:tcMar>
              <w:top w:w="100" w:type="dxa"/>
              <w:start w:w="120" w:type="dxa"/>
              <w:bottom w:w="100" w:type="dxa"/>
              <w:end w:w="120" w:type="dxa"/>
            </w:tcMar>
            <w:vAlign w:val="center"/>
          </w:tcPr>
          <w:p>
            <w:r>
              <w:rPr>
                <w:rFonts w:ascii="Calibri" w:hAnsi="Calibri"/>
                <w:color w:val="172B4D"/>
                <w:sz w:val="18"/>
              </w:rPr>
              <w:t>src/stock_agent/agents/stock_agent.py</w:t>
            </w:r>
          </w:p>
        </w:tc>
        <w:tc>
          <w:tcPr>
            <w:tcW w:type="dxa" w:w="4824"/>
            <w:tcMar>
              <w:top w:w="100" w:type="dxa"/>
              <w:start w:w="120" w:type="dxa"/>
              <w:bottom w:w="100" w:type="dxa"/>
              <w:end w:w="120" w:type="dxa"/>
            </w:tcMar>
            <w:vAlign w:val="center"/>
          </w:tcPr>
          <w:p>
            <w:r>
              <w:rPr>
                <w:rFonts w:ascii="Calibri" w:hAnsi="Calibri"/>
                <w:color w:val="172B4D"/>
                <w:sz w:val="18"/>
              </w:rPr>
              <w:t>Stock response formatting.</w:t>
            </w:r>
          </w:p>
        </w:tc>
      </w:tr>
      <w:tr>
        <w:tc>
          <w:tcPr>
            <w:tcW w:type="dxa" w:w="4824"/>
            <w:tcMar>
              <w:top w:w="100" w:type="dxa"/>
              <w:start w:w="120" w:type="dxa"/>
              <w:bottom w:w="100" w:type="dxa"/>
              <w:end w:w="120" w:type="dxa"/>
            </w:tcMar>
            <w:vAlign w:val="center"/>
          </w:tcPr>
          <w:p>
            <w:r>
              <w:rPr>
                <w:rFonts w:ascii="Calibri" w:hAnsi="Calibri"/>
                <w:color w:val="172B4D"/>
                <w:sz w:val="18"/>
              </w:rPr>
              <w:t>src/stock_agent/tools/stock_data.py</w:t>
            </w:r>
          </w:p>
        </w:tc>
        <w:tc>
          <w:tcPr>
            <w:tcW w:type="dxa" w:w="4824"/>
            <w:tcMar>
              <w:top w:w="100" w:type="dxa"/>
              <w:start w:w="120" w:type="dxa"/>
              <w:bottom w:w="100" w:type="dxa"/>
              <w:end w:w="120" w:type="dxa"/>
            </w:tcMar>
            <w:vAlign w:val="center"/>
          </w:tcPr>
          <w:p>
            <w:r>
              <w:rPr>
                <w:rFonts w:ascii="Calibri" w:hAnsi="Calibri"/>
                <w:color w:val="172B4D"/>
                <w:sz w:val="18"/>
              </w:rPr>
              <w:t>Yahoo quote and statement access.</w:t>
            </w:r>
          </w:p>
        </w:tc>
      </w:tr>
      <w:tr>
        <w:tc>
          <w:tcPr>
            <w:tcW w:type="dxa" w:w="4824"/>
            <w:tcMar>
              <w:top w:w="100" w:type="dxa"/>
              <w:start w:w="120" w:type="dxa"/>
              <w:bottom w:w="100" w:type="dxa"/>
              <w:end w:w="120" w:type="dxa"/>
            </w:tcMar>
            <w:vAlign w:val="center"/>
          </w:tcPr>
          <w:p>
            <w:r>
              <w:rPr>
                <w:rFonts w:ascii="Calibri" w:hAnsi="Calibri"/>
                <w:color w:val="172B4D"/>
                <w:sz w:val="18"/>
              </w:rPr>
              <w:t>src/stock_agent/services/document_service.py</w:t>
            </w:r>
          </w:p>
        </w:tc>
        <w:tc>
          <w:tcPr>
            <w:tcW w:type="dxa" w:w="4824"/>
            <w:tcMar>
              <w:top w:w="100" w:type="dxa"/>
              <w:start w:w="120" w:type="dxa"/>
              <w:bottom w:w="100" w:type="dxa"/>
              <w:end w:w="120" w:type="dxa"/>
            </w:tcMar>
            <w:vAlign w:val="center"/>
          </w:tcPr>
          <w:p>
            <w:r>
              <w:rPr>
                <w:rFonts w:ascii="Calibri" w:hAnsi="Calibri"/>
                <w:color w:val="172B4D"/>
                <w:sz w:val="18"/>
              </w:rPr>
              <w:t>PDF/HTML/text extraction and chunking.</w:t>
            </w:r>
          </w:p>
        </w:tc>
      </w:tr>
      <w:tr>
        <w:tc>
          <w:tcPr>
            <w:tcW w:type="dxa" w:w="4824"/>
            <w:tcMar>
              <w:top w:w="100" w:type="dxa"/>
              <w:start w:w="120" w:type="dxa"/>
              <w:bottom w:w="100" w:type="dxa"/>
              <w:end w:w="120" w:type="dxa"/>
            </w:tcMar>
            <w:vAlign w:val="center"/>
          </w:tcPr>
          <w:p>
            <w:r>
              <w:rPr>
                <w:rFonts w:ascii="Calibri" w:hAnsi="Calibri"/>
                <w:color w:val="172B4D"/>
                <w:sz w:val="18"/>
              </w:rPr>
              <w:t>src/stock_agent/services/s3_reports.py</w:t>
            </w:r>
          </w:p>
        </w:tc>
        <w:tc>
          <w:tcPr>
            <w:tcW w:type="dxa" w:w="4824"/>
            <w:tcMar>
              <w:top w:w="100" w:type="dxa"/>
              <w:start w:w="120" w:type="dxa"/>
              <w:bottom w:w="100" w:type="dxa"/>
              <w:end w:w="120" w:type="dxa"/>
            </w:tcMar>
            <w:vAlign w:val="center"/>
          </w:tcPr>
          <w:p>
            <w:r>
              <w:rPr>
                <w:rFonts w:ascii="Calibri" w:hAnsi="Calibri"/>
                <w:color w:val="172B4D"/>
                <w:sz w:val="18"/>
              </w:rPr>
              <w:t>S3 report repository.</w:t>
            </w:r>
          </w:p>
        </w:tc>
      </w:tr>
      <w:tr>
        <w:tc>
          <w:tcPr>
            <w:tcW w:type="dxa" w:w="4824"/>
            <w:tcMar>
              <w:top w:w="100" w:type="dxa"/>
              <w:start w:w="120" w:type="dxa"/>
              <w:bottom w:w="100" w:type="dxa"/>
              <w:end w:w="120" w:type="dxa"/>
            </w:tcMar>
            <w:vAlign w:val="center"/>
          </w:tcPr>
          <w:p>
            <w:r>
              <w:rPr>
                <w:rFonts w:ascii="Calibri" w:hAnsi="Calibri"/>
                <w:color w:val="172B4D"/>
                <w:sz w:val="18"/>
              </w:rPr>
              <w:t>src/stock_agent/services/bedrock_service.py</w:t>
            </w:r>
          </w:p>
        </w:tc>
        <w:tc>
          <w:tcPr>
            <w:tcW w:type="dxa" w:w="4824"/>
            <w:tcMar>
              <w:top w:w="100" w:type="dxa"/>
              <w:start w:w="120" w:type="dxa"/>
              <w:bottom w:w="100" w:type="dxa"/>
              <w:end w:w="120" w:type="dxa"/>
            </w:tcMar>
            <w:vAlign w:val="center"/>
          </w:tcPr>
          <w:p>
            <w:r>
              <w:rPr>
                <w:rFonts w:ascii="Calibri" w:hAnsi="Calibri"/>
                <w:color w:val="172B4D"/>
                <w:sz w:val="18"/>
              </w:rPr>
              <w:t>Bedrock Converse and embedding calls.</w:t>
            </w:r>
          </w:p>
        </w:tc>
      </w:tr>
      <w:tr>
        <w:tc>
          <w:tcPr>
            <w:tcW w:type="dxa" w:w="4824"/>
            <w:tcMar>
              <w:top w:w="100" w:type="dxa"/>
              <w:start w:w="120" w:type="dxa"/>
              <w:bottom w:w="100" w:type="dxa"/>
              <w:end w:w="120" w:type="dxa"/>
            </w:tcMar>
            <w:vAlign w:val="center"/>
          </w:tcPr>
          <w:p>
            <w:r>
              <w:rPr>
                <w:rFonts w:ascii="Calibri" w:hAnsi="Calibri"/>
                <w:color w:val="172B4D"/>
                <w:sz w:val="18"/>
              </w:rPr>
              <w:t>scripts/sync_yahoo_reports.py</w:t>
            </w:r>
          </w:p>
        </w:tc>
        <w:tc>
          <w:tcPr>
            <w:tcW w:type="dxa" w:w="4824"/>
            <w:tcMar>
              <w:top w:w="100" w:type="dxa"/>
              <w:start w:w="120" w:type="dxa"/>
              <w:bottom w:w="100" w:type="dxa"/>
              <w:end w:w="120" w:type="dxa"/>
            </w:tcMar>
            <w:vAlign w:val="center"/>
          </w:tcPr>
          <w:p>
            <w:r>
              <w:rPr>
                <w:rFonts w:ascii="Calibri" w:hAnsi="Calibri"/>
                <w:color w:val="172B4D"/>
                <w:sz w:val="18"/>
              </w:rPr>
              <w:t>Thirty-report S3 population pipeline.</w:t>
            </w:r>
          </w:p>
        </w:tc>
      </w:tr>
      <w:tr>
        <w:tc>
          <w:tcPr>
            <w:tcW w:type="dxa" w:w="4824"/>
            <w:tcMar>
              <w:top w:w="100" w:type="dxa"/>
              <w:start w:w="120" w:type="dxa"/>
              <w:bottom w:w="100" w:type="dxa"/>
              <w:end w:w="120" w:type="dxa"/>
            </w:tcMar>
            <w:vAlign w:val="center"/>
          </w:tcPr>
          <w:p>
            <w:r>
              <w:rPr>
                <w:rFonts w:ascii="Calibri" w:hAnsi="Calibri"/>
                <w:color w:val="172B4D"/>
                <w:sz w:val="18"/>
              </w:rPr>
              <w:t>scripts/sync_sec_reports.py</w:t>
            </w:r>
          </w:p>
        </w:tc>
        <w:tc>
          <w:tcPr>
            <w:tcW w:type="dxa" w:w="4824"/>
            <w:tcMar>
              <w:top w:w="100" w:type="dxa"/>
              <w:start w:w="120" w:type="dxa"/>
              <w:bottom w:w="100" w:type="dxa"/>
              <w:end w:w="120" w:type="dxa"/>
            </w:tcMar>
            <w:vAlign w:val="center"/>
          </w:tcPr>
          <w:p>
            <w:r>
              <w:rPr>
                <w:rFonts w:ascii="Calibri" w:hAnsi="Calibri"/>
                <w:color w:val="172B4D"/>
                <w:sz w:val="18"/>
              </w:rPr>
              <w:t>Official SEC filing ingestion path.</w:t>
            </w:r>
          </w:p>
        </w:tc>
      </w:tr>
      <w:tr>
        <w:tc>
          <w:tcPr>
            <w:tcW w:type="dxa" w:w="4824"/>
            <w:tcMar>
              <w:top w:w="100" w:type="dxa"/>
              <w:start w:w="120" w:type="dxa"/>
              <w:bottom w:w="100" w:type="dxa"/>
              <w:end w:w="120" w:type="dxa"/>
            </w:tcMar>
            <w:vAlign w:val="center"/>
          </w:tcPr>
          <w:p>
            <w:r>
              <w:rPr>
                <w:rFonts w:ascii="Calibri" w:hAnsi="Calibri"/>
                <w:color w:val="172B4D"/>
                <w:sz w:val="18"/>
              </w:rPr>
              <w:t>infra/ecs-task-definition.json</w:t>
            </w:r>
          </w:p>
        </w:tc>
        <w:tc>
          <w:tcPr>
            <w:tcW w:type="dxa" w:w="4824"/>
            <w:tcMar>
              <w:top w:w="100" w:type="dxa"/>
              <w:start w:w="120" w:type="dxa"/>
              <w:bottom w:w="100" w:type="dxa"/>
              <w:end w:w="120" w:type="dxa"/>
            </w:tcMar>
            <w:vAlign w:val="center"/>
          </w:tcPr>
          <w:p>
            <w:r>
              <w:rPr>
                <w:rFonts w:ascii="Calibri" w:hAnsi="Calibri"/>
                <w:color w:val="172B4D"/>
                <w:sz w:val="18"/>
              </w:rPr>
              <w:t>Fargate runtime definition.</w:t>
            </w:r>
          </w:p>
        </w:tc>
      </w:tr>
      <w:tr>
        <w:tc>
          <w:tcPr>
            <w:tcW w:type="dxa" w:w="4824"/>
            <w:tcMar>
              <w:top w:w="100" w:type="dxa"/>
              <w:start w:w="120" w:type="dxa"/>
              <w:bottom w:w="100" w:type="dxa"/>
              <w:end w:w="120" w:type="dxa"/>
            </w:tcMar>
            <w:vAlign w:val="center"/>
          </w:tcPr>
          <w:p>
            <w:r>
              <w:rPr>
                <w:rFonts w:ascii="Calibri" w:hAnsi="Calibri"/>
                <w:color w:val="172B4D"/>
                <w:sz w:val="18"/>
              </w:rPr>
              <w:t>.github/workflows/ci-cd.yml</w:t>
            </w:r>
          </w:p>
        </w:tc>
        <w:tc>
          <w:tcPr>
            <w:tcW w:type="dxa" w:w="4824"/>
            <w:tcMar>
              <w:top w:w="100" w:type="dxa"/>
              <w:start w:w="120" w:type="dxa"/>
              <w:bottom w:w="100" w:type="dxa"/>
              <w:end w:w="120" w:type="dxa"/>
            </w:tcMar>
            <w:vAlign w:val="center"/>
          </w:tcPr>
          <w:p>
            <w:r>
              <w:rPr>
                <w:rFonts w:ascii="Calibri" w:hAnsi="Calibri"/>
                <w:color w:val="172B4D"/>
                <w:sz w:val="18"/>
              </w:rPr>
              <w:t>CI/CD workflow.</w:t>
            </w:r>
          </w:p>
        </w:tc>
      </w:tr>
      <w:tr>
        <w:tc>
          <w:tcPr>
            <w:tcW w:type="dxa" w:w="4824"/>
          </w:tcPr>
          <w:p>
            <w:r>
              <w:t>src/stock_agent/services/vector_store.py</w:t>
            </w:r>
          </w:p>
        </w:tc>
        <w:tc>
          <w:tcPr>
            <w:tcW w:type="dxa" w:w="4824"/>
          </w:tcPr>
          <w:p>
            <w:r>
              <w:t>OpenSearch client, vector mapping, bulk indexing, and ticker-filtered k-NN search.</w:t>
            </w:r>
          </w:p>
        </w:tc>
      </w:tr>
      <w:tr>
        <w:tc>
          <w:tcPr>
            <w:tcW w:type="dxa" w:w="4824"/>
          </w:tcPr>
          <w:p>
            <w:r>
              <w:t>scripts/index_reports_opensearch.py</w:t>
            </w:r>
          </w:p>
        </w:tc>
        <w:tc>
          <w:tcPr>
            <w:tcW w:type="dxa" w:w="4824"/>
          </w:tcPr>
          <w:p>
            <w:r>
              <w:t>Reads S3 reports, chunks text, creates Titan embeddings, and indexes OpenSearch.</w:t>
            </w:r>
          </w:p>
        </w:tc>
      </w:tr>
      <w:tr>
        <w:tc>
          <w:tcPr>
            <w:tcW w:type="dxa" w:w="4824"/>
          </w:tcPr>
          <w:p>
            <w:r>
              <w:t>infra/aoss-*.json</w:t>
            </w:r>
          </w:p>
        </w:tc>
        <w:tc>
          <w:tcPr>
            <w:tcW w:type="dxa" w:w="4824"/>
          </w:tcPr>
          <w:p>
            <w:r>
              <w:t>OpenSearch encryption, network, and data-access policies.</w:t>
            </w:r>
          </w:p>
        </w:tc>
      </w:tr>
    </w:tbl>
    <w:p>
      <w:pPr>
        <w:spacing w:after="20"/>
      </w:pPr>
    </w:p>
    <w:p>
      <w:pPr>
        <w:pStyle w:val="Heading1"/>
        <w:keepNext/>
      </w:pPr>
      <w:r>
        <w:t>Appendix C - Glossary</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015"/>
            <w:shd w:fill="E9F2FF"/>
            <w:tcMar>
              <w:top w:w="100" w:type="dxa"/>
              <w:start w:w="120" w:type="dxa"/>
              <w:bottom w:w="100" w:type="dxa"/>
              <w:end w:w="120" w:type="dxa"/>
            </w:tcMar>
            <w:vAlign w:val="center"/>
          </w:tcPr>
          <w:p>
            <w:pPr>
              <w:jc w:val="left"/>
            </w:pPr>
            <w:r>
              <w:rPr>
                <w:rFonts w:ascii="Calibri" w:hAnsi="Calibri"/>
                <w:b/>
                <w:color w:val="172B4D"/>
                <w:sz w:val="19"/>
              </w:rPr>
              <w:t>Term</w:t>
            </w:r>
          </w:p>
        </w:tc>
        <w:tc>
          <w:tcPr>
            <w:tcW w:type="dxa" w:w="6983"/>
            <w:shd w:fill="E9F2FF"/>
            <w:tcMar>
              <w:top w:w="100" w:type="dxa"/>
              <w:start w:w="120" w:type="dxa"/>
              <w:bottom w:w="100" w:type="dxa"/>
              <w:end w:w="120" w:type="dxa"/>
            </w:tcMar>
            <w:vAlign w:val="center"/>
          </w:tcPr>
          <w:p>
            <w:pPr>
              <w:jc w:val="left"/>
            </w:pPr>
            <w:r>
              <w:rPr>
                <w:rFonts w:ascii="Calibri" w:hAnsi="Calibri"/>
                <w:b/>
                <w:color w:val="172B4D"/>
                <w:sz w:val="19"/>
              </w:rPr>
              <w:t>Plain-language definition</w:t>
            </w:r>
          </w:p>
        </w:tc>
      </w:tr>
      <w:tr>
        <w:tc>
          <w:tcPr>
            <w:tcW w:type="dxa" w:w="4824"/>
            <w:tcMar>
              <w:top w:w="100" w:type="dxa"/>
              <w:start w:w="120" w:type="dxa"/>
              <w:bottom w:w="100" w:type="dxa"/>
              <w:end w:w="120" w:type="dxa"/>
            </w:tcMar>
            <w:vAlign w:val="center"/>
          </w:tcPr>
          <w:p>
            <w:r>
              <w:rPr>
                <w:rFonts w:ascii="Calibri" w:hAnsi="Calibri"/>
                <w:color w:val="172B4D"/>
                <w:sz w:val="18"/>
              </w:rPr>
              <w:t>Agent</w:t>
            </w:r>
          </w:p>
        </w:tc>
        <w:tc>
          <w:tcPr>
            <w:tcW w:type="dxa" w:w="4824"/>
            <w:tcMar>
              <w:top w:w="100" w:type="dxa"/>
              <w:start w:w="120" w:type="dxa"/>
              <w:bottom w:w="100" w:type="dxa"/>
              <w:end w:w="120" w:type="dxa"/>
            </w:tcMar>
            <w:vAlign w:val="center"/>
          </w:tcPr>
          <w:p>
            <w:r>
              <w:rPr>
                <w:rFonts w:ascii="Calibri" w:hAnsi="Calibri"/>
                <w:color w:val="172B4D"/>
                <w:sz w:val="18"/>
              </w:rPr>
              <w:t>A focused software component responsible for one category of work.</w:t>
            </w:r>
          </w:p>
        </w:tc>
      </w:tr>
      <w:tr>
        <w:tc>
          <w:tcPr>
            <w:tcW w:type="dxa" w:w="4824"/>
            <w:tcMar>
              <w:top w:w="100" w:type="dxa"/>
              <w:start w:w="120" w:type="dxa"/>
              <w:bottom w:w="100" w:type="dxa"/>
              <w:end w:w="120" w:type="dxa"/>
            </w:tcMar>
            <w:vAlign w:val="center"/>
          </w:tcPr>
          <w:p>
            <w:r>
              <w:rPr>
                <w:rFonts w:ascii="Calibri" w:hAnsi="Calibri"/>
                <w:color w:val="172B4D"/>
                <w:sz w:val="18"/>
              </w:rPr>
              <w:t>RAG</w:t>
            </w:r>
          </w:p>
        </w:tc>
        <w:tc>
          <w:tcPr>
            <w:tcW w:type="dxa" w:w="4824"/>
            <w:tcMar>
              <w:top w:w="100" w:type="dxa"/>
              <w:start w:w="120" w:type="dxa"/>
              <w:bottom w:w="100" w:type="dxa"/>
              <w:end w:w="120" w:type="dxa"/>
            </w:tcMar>
            <w:vAlign w:val="center"/>
          </w:tcPr>
          <w:p>
            <w:r>
              <w:rPr>
                <w:rFonts w:ascii="Calibri" w:hAnsi="Calibri"/>
                <w:color w:val="172B4D"/>
                <w:sz w:val="18"/>
              </w:rPr>
              <w:t>Retrieval-augmented generation: retrieve trusted text first, then ask the model to answer from it.</w:t>
            </w:r>
          </w:p>
        </w:tc>
      </w:tr>
      <w:tr>
        <w:tc>
          <w:tcPr>
            <w:tcW w:type="dxa" w:w="4824"/>
            <w:tcMar>
              <w:top w:w="100" w:type="dxa"/>
              <w:start w:w="120" w:type="dxa"/>
              <w:bottom w:w="100" w:type="dxa"/>
              <w:end w:w="120" w:type="dxa"/>
            </w:tcMar>
            <w:vAlign w:val="center"/>
          </w:tcPr>
          <w:p>
            <w:r>
              <w:rPr>
                <w:rFonts w:ascii="Calibri" w:hAnsi="Calibri"/>
                <w:color w:val="172B4D"/>
                <w:sz w:val="18"/>
              </w:rPr>
              <w:t>Chunk</w:t>
            </w:r>
          </w:p>
        </w:tc>
        <w:tc>
          <w:tcPr>
            <w:tcW w:type="dxa" w:w="4824"/>
            <w:tcMar>
              <w:top w:w="100" w:type="dxa"/>
              <w:start w:w="120" w:type="dxa"/>
              <w:bottom w:w="100" w:type="dxa"/>
              <w:end w:w="120" w:type="dxa"/>
            </w:tcMar>
            <w:vAlign w:val="center"/>
          </w:tcPr>
          <w:p>
            <w:r>
              <w:rPr>
                <w:rFonts w:ascii="Calibri" w:hAnsi="Calibri"/>
                <w:color w:val="172B4D"/>
                <w:sz w:val="18"/>
              </w:rPr>
              <w:t>A smaller section of document text used for retrieval.</w:t>
            </w:r>
          </w:p>
        </w:tc>
      </w:tr>
      <w:tr>
        <w:tc>
          <w:tcPr>
            <w:tcW w:type="dxa" w:w="4824"/>
            <w:tcMar>
              <w:top w:w="100" w:type="dxa"/>
              <w:start w:w="120" w:type="dxa"/>
              <w:bottom w:w="100" w:type="dxa"/>
              <w:end w:w="120" w:type="dxa"/>
            </w:tcMar>
            <w:vAlign w:val="center"/>
          </w:tcPr>
          <w:p>
            <w:r>
              <w:rPr>
                <w:rFonts w:ascii="Calibri" w:hAnsi="Calibri"/>
                <w:color w:val="172B4D"/>
                <w:sz w:val="18"/>
              </w:rPr>
              <w:t>Bedrock</w:t>
            </w:r>
          </w:p>
        </w:tc>
        <w:tc>
          <w:tcPr>
            <w:tcW w:type="dxa" w:w="4824"/>
            <w:tcMar>
              <w:top w:w="100" w:type="dxa"/>
              <w:start w:w="120" w:type="dxa"/>
              <w:bottom w:w="100" w:type="dxa"/>
              <w:end w:w="120" w:type="dxa"/>
            </w:tcMar>
            <w:vAlign w:val="center"/>
          </w:tcPr>
          <w:p>
            <w:r>
              <w:rPr>
                <w:rFonts w:ascii="Calibri" w:hAnsi="Calibri"/>
                <w:color w:val="172B4D"/>
                <w:sz w:val="18"/>
              </w:rPr>
              <w:t>AWS managed service that provides access to foundation models.</w:t>
            </w:r>
          </w:p>
        </w:tc>
      </w:tr>
      <w:tr>
        <w:tc>
          <w:tcPr>
            <w:tcW w:type="dxa" w:w="4824"/>
            <w:tcMar>
              <w:top w:w="100" w:type="dxa"/>
              <w:start w:w="120" w:type="dxa"/>
              <w:bottom w:w="100" w:type="dxa"/>
              <w:end w:w="120" w:type="dxa"/>
            </w:tcMar>
            <w:vAlign w:val="center"/>
          </w:tcPr>
          <w:p>
            <w:r>
              <w:rPr>
                <w:rFonts w:ascii="Calibri" w:hAnsi="Calibri"/>
                <w:color w:val="172B4D"/>
                <w:sz w:val="18"/>
              </w:rPr>
              <w:t>S3</w:t>
            </w:r>
          </w:p>
        </w:tc>
        <w:tc>
          <w:tcPr>
            <w:tcW w:type="dxa" w:w="4824"/>
            <w:tcMar>
              <w:top w:w="100" w:type="dxa"/>
              <w:start w:w="120" w:type="dxa"/>
              <w:bottom w:w="100" w:type="dxa"/>
              <w:end w:w="120" w:type="dxa"/>
            </w:tcMar>
            <w:vAlign w:val="center"/>
          </w:tcPr>
          <w:p>
            <w:r>
              <w:rPr>
                <w:rFonts w:ascii="Calibri" w:hAnsi="Calibri"/>
                <w:color w:val="172B4D"/>
                <w:sz w:val="18"/>
              </w:rPr>
              <w:t>AWS object storage used here for financial reports.</w:t>
            </w:r>
          </w:p>
        </w:tc>
      </w:tr>
      <w:tr>
        <w:tc>
          <w:tcPr>
            <w:tcW w:type="dxa" w:w="4824"/>
            <w:tcMar>
              <w:top w:w="100" w:type="dxa"/>
              <w:start w:w="120" w:type="dxa"/>
              <w:bottom w:w="100" w:type="dxa"/>
              <w:end w:w="120" w:type="dxa"/>
            </w:tcMar>
            <w:vAlign w:val="center"/>
          </w:tcPr>
          <w:p>
            <w:r>
              <w:rPr>
                <w:rFonts w:ascii="Calibri" w:hAnsi="Calibri"/>
                <w:color w:val="172B4D"/>
                <w:sz w:val="18"/>
              </w:rPr>
              <w:t>ECR</w:t>
            </w:r>
          </w:p>
        </w:tc>
        <w:tc>
          <w:tcPr>
            <w:tcW w:type="dxa" w:w="4824"/>
            <w:tcMar>
              <w:top w:w="100" w:type="dxa"/>
              <w:start w:w="120" w:type="dxa"/>
              <w:bottom w:w="100" w:type="dxa"/>
              <w:end w:w="120" w:type="dxa"/>
            </w:tcMar>
            <w:vAlign w:val="center"/>
          </w:tcPr>
          <w:p>
            <w:r>
              <w:rPr>
                <w:rFonts w:ascii="Calibri" w:hAnsi="Calibri"/>
                <w:color w:val="172B4D"/>
                <w:sz w:val="18"/>
              </w:rPr>
              <w:t>AWS registry for Docker container images.</w:t>
            </w:r>
          </w:p>
        </w:tc>
      </w:tr>
      <w:tr>
        <w:tc>
          <w:tcPr>
            <w:tcW w:type="dxa" w:w="4824"/>
            <w:tcMar>
              <w:top w:w="100" w:type="dxa"/>
              <w:start w:w="120" w:type="dxa"/>
              <w:bottom w:w="100" w:type="dxa"/>
              <w:end w:w="120" w:type="dxa"/>
            </w:tcMar>
            <w:vAlign w:val="center"/>
          </w:tcPr>
          <w:p>
            <w:r>
              <w:rPr>
                <w:rFonts w:ascii="Calibri" w:hAnsi="Calibri"/>
                <w:color w:val="172B4D"/>
                <w:sz w:val="18"/>
              </w:rPr>
              <w:t>ECS Fargate</w:t>
            </w:r>
          </w:p>
        </w:tc>
        <w:tc>
          <w:tcPr>
            <w:tcW w:type="dxa" w:w="4824"/>
            <w:tcMar>
              <w:top w:w="100" w:type="dxa"/>
              <w:start w:w="120" w:type="dxa"/>
              <w:bottom w:w="100" w:type="dxa"/>
              <w:end w:w="120" w:type="dxa"/>
            </w:tcMar>
            <w:vAlign w:val="center"/>
          </w:tcPr>
          <w:p>
            <w:r>
              <w:rPr>
                <w:rFonts w:ascii="Calibri" w:hAnsi="Calibri"/>
                <w:color w:val="172B4D"/>
                <w:sz w:val="18"/>
              </w:rPr>
              <w:t>AWS service that runs containers without managing virtual machines.</w:t>
            </w:r>
          </w:p>
        </w:tc>
      </w:tr>
      <w:tr>
        <w:tc>
          <w:tcPr>
            <w:tcW w:type="dxa" w:w="4824"/>
            <w:tcMar>
              <w:top w:w="100" w:type="dxa"/>
              <w:start w:w="120" w:type="dxa"/>
              <w:bottom w:w="100" w:type="dxa"/>
              <w:end w:w="120" w:type="dxa"/>
            </w:tcMar>
            <w:vAlign w:val="center"/>
          </w:tcPr>
          <w:p>
            <w:r>
              <w:rPr>
                <w:rFonts w:ascii="Calibri" w:hAnsi="Calibri"/>
                <w:color w:val="172B4D"/>
                <w:sz w:val="18"/>
              </w:rPr>
              <w:t>Task definition</w:t>
            </w:r>
          </w:p>
        </w:tc>
        <w:tc>
          <w:tcPr>
            <w:tcW w:type="dxa" w:w="4824"/>
            <w:tcMar>
              <w:top w:w="100" w:type="dxa"/>
              <w:start w:w="120" w:type="dxa"/>
              <w:bottom w:w="100" w:type="dxa"/>
              <w:end w:w="120" w:type="dxa"/>
            </w:tcMar>
            <w:vAlign w:val="center"/>
          </w:tcPr>
          <w:p>
            <w:r>
              <w:rPr>
                <w:rFonts w:ascii="Calibri" w:hAnsi="Calibri"/>
                <w:color w:val="172B4D"/>
                <w:sz w:val="18"/>
              </w:rPr>
              <w:t>Versioned configuration describing the ECS container and its resources.</w:t>
            </w:r>
          </w:p>
        </w:tc>
      </w:tr>
      <w:tr>
        <w:tc>
          <w:tcPr>
            <w:tcW w:type="dxa" w:w="4824"/>
            <w:tcMar>
              <w:top w:w="100" w:type="dxa"/>
              <w:start w:w="120" w:type="dxa"/>
              <w:bottom w:w="100" w:type="dxa"/>
              <w:end w:w="120" w:type="dxa"/>
            </w:tcMar>
            <w:vAlign w:val="center"/>
          </w:tcPr>
          <w:p>
            <w:r>
              <w:rPr>
                <w:rFonts w:ascii="Calibri" w:hAnsi="Calibri"/>
                <w:color w:val="172B4D"/>
                <w:sz w:val="18"/>
              </w:rPr>
              <w:t>Task role</w:t>
            </w:r>
          </w:p>
        </w:tc>
        <w:tc>
          <w:tcPr>
            <w:tcW w:type="dxa" w:w="4824"/>
            <w:tcMar>
              <w:top w:w="100" w:type="dxa"/>
              <w:start w:w="120" w:type="dxa"/>
              <w:bottom w:w="100" w:type="dxa"/>
              <w:end w:w="120" w:type="dxa"/>
            </w:tcMar>
            <w:vAlign w:val="center"/>
          </w:tcPr>
          <w:p>
            <w:r>
              <w:rPr>
                <w:rFonts w:ascii="Calibri" w:hAnsi="Calibri"/>
                <w:color w:val="172B4D"/>
                <w:sz w:val="18"/>
              </w:rPr>
              <w:t>AWS permissions available to application code inside an ECS task.</w:t>
            </w:r>
          </w:p>
        </w:tc>
      </w:tr>
      <w:tr>
        <w:tc>
          <w:tcPr>
            <w:tcW w:type="dxa" w:w="4824"/>
            <w:tcMar>
              <w:top w:w="100" w:type="dxa"/>
              <w:start w:w="120" w:type="dxa"/>
              <w:bottom w:w="100" w:type="dxa"/>
              <w:end w:w="120" w:type="dxa"/>
            </w:tcMar>
            <w:vAlign w:val="center"/>
          </w:tcPr>
          <w:p>
            <w:r>
              <w:rPr>
                <w:rFonts w:ascii="Calibri" w:hAnsi="Calibri"/>
                <w:color w:val="172B4D"/>
                <w:sz w:val="18"/>
              </w:rPr>
              <w:t>Execution role</w:t>
            </w:r>
          </w:p>
        </w:tc>
        <w:tc>
          <w:tcPr>
            <w:tcW w:type="dxa" w:w="4824"/>
            <w:tcMar>
              <w:top w:w="100" w:type="dxa"/>
              <w:start w:w="120" w:type="dxa"/>
              <w:bottom w:w="100" w:type="dxa"/>
              <w:end w:w="120" w:type="dxa"/>
            </w:tcMar>
            <w:vAlign w:val="center"/>
          </w:tcPr>
          <w:p>
            <w:r>
              <w:rPr>
                <w:rFonts w:ascii="Calibri" w:hAnsi="Calibri"/>
                <w:color w:val="172B4D"/>
                <w:sz w:val="18"/>
              </w:rPr>
              <w:t>AWS permissions used by ECS to start the task.</w:t>
            </w:r>
          </w:p>
        </w:tc>
      </w:tr>
      <w:tr>
        <w:tc>
          <w:tcPr>
            <w:tcW w:type="dxa" w:w="4824"/>
            <w:tcMar>
              <w:top w:w="100" w:type="dxa"/>
              <w:start w:w="120" w:type="dxa"/>
              <w:bottom w:w="100" w:type="dxa"/>
              <w:end w:w="120" w:type="dxa"/>
            </w:tcMar>
            <w:vAlign w:val="center"/>
          </w:tcPr>
          <w:p>
            <w:r>
              <w:rPr>
                <w:rFonts w:ascii="Calibri" w:hAnsi="Calibri"/>
                <w:color w:val="172B4D"/>
                <w:sz w:val="18"/>
              </w:rPr>
              <w:t>OIDC</w:t>
            </w:r>
          </w:p>
        </w:tc>
        <w:tc>
          <w:tcPr>
            <w:tcW w:type="dxa" w:w="4824"/>
            <w:tcMar>
              <w:top w:w="100" w:type="dxa"/>
              <w:start w:w="120" w:type="dxa"/>
              <w:bottom w:w="100" w:type="dxa"/>
              <w:end w:w="120" w:type="dxa"/>
            </w:tcMar>
            <w:vAlign w:val="center"/>
          </w:tcPr>
          <w:p>
            <w:r>
              <w:rPr>
                <w:rFonts w:ascii="Calibri" w:hAnsi="Calibri"/>
                <w:color w:val="172B4D"/>
                <w:sz w:val="18"/>
              </w:rPr>
              <w:t>Short-lived identity exchange used by GitHub Actions to access AWS securely.</w:t>
            </w:r>
          </w:p>
        </w:tc>
      </w:tr>
      <w:tr>
        <w:tc>
          <w:tcPr>
            <w:tcW w:type="dxa" w:w="4824"/>
            <w:tcMar>
              <w:top w:w="100" w:type="dxa"/>
              <w:start w:w="120" w:type="dxa"/>
              <w:bottom w:w="100" w:type="dxa"/>
              <w:end w:w="120" w:type="dxa"/>
            </w:tcMar>
            <w:vAlign w:val="center"/>
          </w:tcPr>
          <w:p>
            <w:r>
              <w:rPr>
                <w:rFonts w:ascii="Calibri" w:hAnsi="Calibri"/>
                <w:color w:val="172B4D"/>
                <w:sz w:val="18"/>
              </w:rPr>
              <w:t>CI/CD</w:t>
            </w:r>
          </w:p>
        </w:tc>
        <w:tc>
          <w:tcPr>
            <w:tcW w:type="dxa" w:w="4824"/>
            <w:tcMar>
              <w:top w:w="100" w:type="dxa"/>
              <w:start w:w="120" w:type="dxa"/>
              <w:bottom w:w="100" w:type="dxa"/>
              <w:end w:w="120" w:type="dxa"/>
            </w:tcMar>
            <w:vAlign w:val="center"/>
          </w:tcPr>
          <w:p>
            <w:r>
              <w:rPr>
                <w:rFonts w:ascii="Calibri" w:hAnsi="Calibri"/>
                <w:color w:val="172B4D"/>
                <w:sz w:val="18"/>
              </w:rPr>
              <w:t>Automated validation and deployment process.</w:t>
            </w:r>
          </w:p>
        </w:tc>
      </w:tr>
      <w:tr>
        <w:tc>
          <w:tcPr>
            <w:tcW w:type="dxa" w:w="4824"/>
          </w:tcPr>
          <w:p>
            <w:r>
              <w:t>Embedding</w:t>
            </w:r>
          </w:p>
        </w:tc>
        <w:tc>
          <w:tcPr>
            <w:tcW w:type="dxa" w:w="4824"/>
          </w:tcPr>
          <w:p>
            <w:r>
              <w:t>A numeric vector representing the semantic meaning of text.</w:t>
            </w:r>
          </w:p>
        </w:tc>
      </w:tr>
      <w:tr>
        <w:tc>
          <w:tcPr>
            <w:tcW w:type="dxa" w:w="4824"/>
          </w:tcPr>
          <w:p>
            <w:r>
              <w:t>Vector database</w:t>
            </w:r>
          </w:p>
        </w:tc>
        <w:tc>
          <w:tcPr>
            <w:tcW w:type="dxa" w:w="4824"/>
          </w:tcPr>
          <w:p>
            <w:r>
              <w:t>A system optimized to store embeddings and find semantically similar content.</w:t>
            </w:r>
          </w:p>
        </w:tc>
      </w:tr>
      <w:tr>
        <w:tc>
          <w:tcPr>
            <w:tcW w:type="dxa" w:w="4824"/>
          </w:tcPr>
          <w:p>
            <w:r>
              <w:t>k-NN</w:t>
            </w:r>
          </w:p>
        </w:tc>
        <w:tc>
          <w:tcPr>
            <w:tcW w:type="dxa" w:w="4824"/>
          </w:tcPr>
          <w:p>
            <w:r>
              <w:t>k-nearest-neighbor search used to retrieve the most similar report chunks.</w:t>
            </w:r>
          </w:p>
        </w:tc>
      </w:tr>
      <w:tr>
        <w:tc>
          <w:tcPr>
            <w:tcW w:type="dxa" w:w="4824"/>
          </w:tcPr>
          <w:p>
            <w:r>
              <w:t>OpenSearch Serverless</w:t>
            </w:r>
          </w:p>
        </w:tc>
        <w:tc>
          <w:tcPr>
            <w:tcW w:type="dxa" w:w="4824"/>
          </w:tcPr>
          <w:p>
            <w:r>
              <w:t>AWS-managed vector search without managing clusters.</w:t>
            </w:r>
          </w:p>
        </w:tc>
      </w:tr>
      <w:tr>
        <w:tc>
          <w:tcPr>
            <w:tcW w:type="dxa" w:w="4824"/>
          </w:tcPr>
          <w:p>
            <w:r>
              <w:t>YAML</w:t>
            </w:r>
          </w:p>
        </w:tc>
        <w:tc>
          <w:tcPr>
            <w:tcW w:type="dxa" w:w="4824"/>
          </w:tcPr>
          <w:p>
            <w:r>
              <w:t>Human-readable configuration language used to define GitHub Actions.</w:t>
            </w:r>
          </w:p>
        </w:tc>
      </w:tr>
    </w:tbl>
    <w:p>
      <w:pPr>
        <w:spacing w:after="20"/>
      </w:pPr>
    </w:p>
    <w:p>
      <w:pPr>
        <w:pStyle w:val="Heading1"/>
        <w:keepNext/>
      </w:pPr>
      <w:r>
        <w:t>Appendix D - Human acceptance checklist</w:t>
      </w:r>
    </w:p>
    <w:p>
      <w:pPr>
        <w:pStyle w:val="ListBullet"/>
      </w:pPr>
      <w:r>
        <w:rPr>
          <w:rFonts w:ascii="Calibri" w:hAnsi="Calibri"/>
          <w:color w:val="172B4D"/>
          <w:sz w:val="22"/>
        </w:rPr>
        <w:t>A user can open the Streamlit application.</w:t>
      </w:r>
    </w:p>
    <w:p>
      <w:pPr>
        <w:pStyle w:val="ListBullet"/>
      </w:pPr>
      <w:r>
        <w:rPr>
          <w:rFonts w:ascii="Calibri" w:hAnsi="Calibri"/>
          <w:color w:val="172B4D"/>
          <w:sz w:val="22"/>
        </w:rPr>
        <w:t>Dashboard refresh shows prices, previous close, market capitalization, and currency.</w:t>
      </w:r>
    </w:p>
    <w:p>
      <w:pPr>
        <w:pStyle w:val="ListBullet"/>
      </w:pPr>
      <w:r>
        <w:rPr>
          <w:rFonts w:ascii="Calibri" w:hAnsi="Calibri"/>
          <w:color w:val="172B4D"/>
          <w:sz w:val="22"/>
        </w:rPr>
        <w:t>Uploading an AAPL report and asking for a summary returns only AAPL information.</w:t>
      </w:r>
    </w:p>
    <w:p>
      <w:pPr>
        <w:pStyle w:val="ListBullet"/>
      </w:pPr>
      <w:r>
        <w:rPr>
          <w:rFonts w:ascii="Calibri" w:hAnsi="Calibri"/>
          <w:color w:val="172B4D"/>
          <w:sz w:val="22"/>
        </w:rPr>
        <w:t>A report-only question without an upload retrieves the selected ticker's S3 report.</w:t>
      </w:r>
    </w:p>
    <w:p>
      <w:pPr>
        <w:pStyle w:val="ListBullet"/>
      </w:pPr>
      <w:r>
        <w:rPr>
          <w:rFonts w:ascii="Calibri" w:hAnsi="Calibri"/>
          <w:color w:val="172B4D"/>
          <w:sz w:val="22"/>
        </w:rPr>
        <w:t>The Sources section identifies Uploaded document or the matching S3 object.</w:t>
      </w:r>
    </w:p>
    <w:p>
      <w:pPr>
        <w:pStyle w:val="ListBullet"/>
      </w:pPr>
      <w:r>
        <w:rPr>
          <w:rFonts w:ascii="Calibri" w:hAnsi="Calibri"/>
          <w:color w:val="172B4D"/>
          <w:sz w:val="22"/>
        </w:rPr>
        <w:t>No News Agent option or NewsAPI error appears in the current version.</w:t>
      </w:r>
    </w:p>
    <w:p>
      <w:pPr>
        <w:pStyle w:val="ListBullet"/>
      </w:pPr>
      <w:r>
        <w:rPr>
          <w:rFonts w:ascii="Calibri" w:hAnsi="Calibri"/>
          <w:color w:val="172B4D"/>
          <w:sz w:val="22"/>
        </w:rPr>
        <w:t>ECS shows one healthy running task.</w:t>
      </w:r>
    </w:p>
    <w:p>
      <w:pPr>
        <w:pStyle w:val="ListBullet"/>
      </w:pPr>
      <w:r>
        <w:rPr>
          <w:rFonts w:ascii="Calibri" w:hAnsi="Calibri"/>
          <w:color w:val="172B4D"/>
          <w:sz w:val="22"/>
        </w:rPr>
        <w:t>The health endpoint returns HTTP 200.</w:t>
      </w:r>
    </w:p>
    <w:p>
      <w:pPr>
        <w:pStyle w:val="ListBullet"/>
      </w:pPr>
      <w:r>
        <w:rPr>
          <w:rFonts w:ascii="Calibri" w:hAnsi="Calibri"/>
          <w:color w:val="172B4D"/>
          <w:sz w:val="22"/>
        </w:rPr>
        <w:t>CloudWatch contains current application logs.</w:t>
      </w:r>
    </w:p>
    <w:p>
      <w:pPr>
        <w:pStyle w:val="ListBullet"/>
      </w:pPr>
      <w:r>
        <w:rPr>
          <w:rFonts w:ascii="Calibri" w:hAnsi="Calibri"/>
          <w:color w:val="172B4D"/>
          <w:sz w:val="22"/>
        </w:rPr>
        <w:t>Tests and lint pass before release.</w:t>
      </w:r>
    </w:p>
    <w:tbl>
      <w:tblPr>
        <w:tblW w:type="auto" w:w="0"/>
        <w:jc w:val="center"/>
        <w:tblLayout w:type="fixed"/>
        <w:tblLook w:firstColumn="1" w:firstRow="1" w:lastColumn="0" w:lastRow="0" w:noHBand="0" w:noVBand="1" w:val="04A0"/>
      </w:tblPr>
      <w:tblGrid>
        <w:gridCol w:w="9648"/>
      </w:tblGrid>
      <w:tr>
        <w:tc>
          <w:tcPr>
            <w:tcW w:type="dxa" w:w="9000"/>
            <w:shd w:fill="F3F0FF"/>
            <w:tcMar>
              <w:top w:w="150" w:type="dxa"/>
              <w:start w:w="170" w:type="dxa"/>
              <w:bottom w:w="150" w:type="dxa"/>
              <w:end w:w="170" w:type="dxa"/>
            </w:tcMar>
          </w:tcPr>
          <w:p>
            <w:pPr>
              <w:spacing w:after="80"/>
            </w:pPr>
            <w:r>
              <w:rPr>
                <w:rFonts w:ascii="Calibri" w:hAnsi="Calibri"/>
                <w:b/>
                <w:color w:val="6E5DC6"/>
                <w:sz w:val="22"/>
              </w:rPr>
              <w:t>Final perspective</w:t>
            </w:r>
          </w:p>
          <w:p>
            <w:pPr>
              <w:spacing w:after="0"/>
            </w:pPr>
            <w:r>
              <w:rPr>
                <w:rFonts w:ascii="Calibri" w:hAnsi="Calibri"/>
                <w:color w:val="172B4D"/>
                <w:sz w:val="20"/>
              </w:rPr>
              <w:t>The project is a working cloud-hosted foundation for financial research. Its strongest design choices are source-grounded report analysis, strict uploaded-document isolation, modular agents, reproducible container deployment, and purpose-separated AWS permissions. The next major step is production hardening rather than adding more surface features.</w:t>
            </w:r>
          </w:p>
        </w:tc>
      </w:tr>
    </w:tbl>
    <w:p>
      <w:pPr>
        <w:spacing w:after="20"/>
      </w:pPr>
    </w:p>
    <w:sectPr w:rsidR="00FC693F" w:rsidRPr="0006063C" w:rsidSect="00034616">
      <w:headerReference w:type="default" r:id="rId10"/>
      <w:footerReference w:type="default" r:id="rId11"/>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E6C84"/>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E6C84"/>
        <w:sz w:val="17"/>
      </w:rPr>
      <w:t>NASDAQ-10 Stock AI Agent | Project and AWS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C66E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C66E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NASDAQ-10 Stock AI Agent Project Handbook - Updated</dc:title>
  <dc:subject>Architecture, OpenSearch RAG, AWS deployment, CI/CD, testing, and operations</dc:subject>
  <dc:creator>python-docx</dc:creator>
  <cp:keywords/>
  <dc:description>Updated 22 June 2026 for commit 84fdd90.</dc:description>
  <cp:lastModifiedBy/>
  <cp:revision>1</cp:revision>
  <dcterms:created xsi:type="dcterms:W3CDTF">2013-12-23T23:15:00Z</dcterms:created>
  <dcterms:modified xsi:type="dcterms:W3CDTF">2013-12-23T23:15:00Z</dcterms:modified>
  <cp:category/>
</cp:coreProperties>
</file>