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Design – Creating the Look &amp; Feel*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make Test Hub both functional and visually appealing, we carefully planned its UI and UX design.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*Sketching the Layout*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started by wireframing the website using Figma and pen &amp; paper to plan: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Landing Page: Features, testimonials, FAQ, and a call-to-action button.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Dashboard: User profile, upcoming tests, and a vertical menu.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Test Page: Guideline prompt, timers, and a submit button.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## *Color Palette &amp; Fonts*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*Colors:*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Blue for trust and reliability.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- White for a clean and professional feel.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*Font Choice:*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- "Roboto" or "Open Sans" for readability and a modern look.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 *Organizing Files Properly*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structured our project neatly: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/TestHub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│── index.html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│── dashboard.html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│── test.html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│── styles/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│── scripts/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│── images/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│── assets/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This keeps everything organized and manageable.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