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80" w:line="288" w:lineRule="auto"/>
      </w:pPr>
      <w:r>
        <w:rPr>
          <w:rFonts w:ascii="Arial" w:hAnsi="Arial"/>
          <w:b/>
          <w:i w:val="0"/>
          <w:color w:val="24B6D9"/>
          <w:sz w:val="24"/>
        </w:rPr>
        <w:t>INVARA LABS</w:t>
      </w:r>
    </w:p>
    <w:p>
      <w:pPr>
        <w:spacing w:before="0" w:after="140" w:line="288" w:lineRule="auto"/>
      </w:pPr>
      <w:r>
        <w:rPr>
          <w:rFonts w:ascii="Arial" w:hAnsi="Arial"/>
          <w:b/>
          <w:i w:val="0"/>
          <w:color w:val="1769E0"/>
          <w:sz w:val="22"/>
        </w:rPr>
        <w:t>PROPOSAL</w:t>
      </w:r>
    </w:p>
    <w:p>
      <w:pPr>
        <w:spacing w:before="0" w:after="160" w:line="288" w:lineRule="auto"/>
      </w:pPr>
      <w:r>
        <w:rPr>
          <w:rFonts w:ascii="Arial" w:hAnsi="Arial"/>
          <w:b/>
          <w:i w:val="0"/>
          <w:color w:val="0B172A"/>
          <w:sz w:val="58"/>
        </w:rPr>
        <w:t>[ENGAGEMENT TITLE]</w:t>
      </w:r>
    </w:p>
    <w:p>
      <w:pPr>
        <w:spacing w:before="0" w:after="680" w:line="288" w:lineRule="auto"/>
      </w:pPr>
      <w:r>
        <w:rPr>
          <w:rFonts w:ascii="Arial" w:hAnsi="Arial"/>
          <w:b w:val="0"/>
          <w:i w:val="0"/>
          <w:color w:val="5B6678"/>
          <w:sz w:val="30"/>
        </w:rPr>
        <w:t>Prepared for [CLIENT ORGANISATION]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Prepared for</w:t>
            </w:r>
          </w:p>
        </w:tc>
        <w:tc>
          <w:tcPr>
            <w:tcW w:type="dxa" w:w="70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9"/>
              </w:rPr>
              <w:t>[Client sponsor and organisation]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Prepared by</w:t>
            </w:r>
          </w:p>
        </w:tc>
        <w:tc>
          <w:tcPr>
            <w:tcW w:type="dxa" w:w="70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9"/>
              </w:rPr>
              <w:t>Madhukumar Rajanala, Founder | Invara Labs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Proposal date</w:t>
            </w:r>
          </w:p>
        </w:tc>
        <w:tc>
          <w:tcPr>
            <w:tcW w:type="dxa" w:w="70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9"/>
              </w:rPr>
              <w:t>[DD Month YYYY]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Valid until</w:t>
            </w:r>
          </w:p>
        </w:tc>
        <w:tc>
          <w:tcPr>
            <w:tcW w:type="dxa" w:w="70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9"/>
              </w:rPr>
              <w:t>[DD Month YYYY]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Proposal ID</w:t>
            </w:r>
          </w:p>
        </w:tc>
        <w:tc>
          <w:tcPr>
            <w:tcW w:type="dxa" w:w="70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9"/>
              </w:rPr>
              <w:t>[IL-PROP-YYYY-NNN]</w:t>
            </w:r>
          </w:p>
        </w:tc>
      </w:tr>
    </w:tbl>
    <w:p>
      <w:pPr>
        <w:spacing w:before="840" w:after="200" w:line="288" w:lineRule="auto"/>
      </w:pPr>
      <w:r>
        <w:rPr>
          <w:rFonts w:ascii="Arial" w:hAnsi="Arial"/>
          <w:b/>
          <w:i w:val="0"/>
          <w:color w:val="0B172A"/>
          <w:sz w:val="22"/>
        </w:rPr>
        <w:t>Engineering First. AI Enabled. Business Focused.</w:t>
      </w:r>
    </w:p>
    <w:p>
      <w:pPr>
        <w:spacing w:before="0" w:after="120" w:line="288" w:lineRule="auto"/>
      </w:pPr>
      <w:r>
        <w:rPr>
          <w:rFonts w:ascii="Arial" w:hAnsi="Arial"/>
          <w:b w:val="0"/>
          <w:i/>
          <w:color w:val="5B6678"/>
          <w:sz w:val="17"/>
        </w:rPr>
        <w:t>This proposal is confidential and intended only for the named recipient. Scope, timing, and fees remain subject to written agreement.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769E0"/>
          <w:sz w:val="32"/>
        </w:rPr>
        <w:t>1. Executive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69E0"/>
                <w:sz w:val="18"/>
              </w:rPr>
              <w:t xml:space="preserve">CLIENT DECISION  </w:t>
            </w:r>
            <w:r>
              <w:rPr>
                <w:rFonts w:ascii="Arial" w:hAnsi="Arial"/>
                <w:b w:val="0"/>
                <w:i/>
                <w:color w:val="5B6678"/>
                <w:sz w:val="18"/>
              </w:rPr>
              <w:t>Describe the decision or business outcome this engagement must enable.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Arial" w:hAnsi="Arial"/>
          <w:b w:val="0"/>
          <w:i/>
          <w:color w:val="5B6678"/>
          <w:sz w:val="21"/>
        </w:rPr>
        <w:t>[Summarise the client situation, why it matters now, the proposed engagement, and the outcome the client should expect. Keep this to 150-200 words and avoid repeating the entire proposal.]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Proposed engagement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69E0"/>
                <w:sz w:val="18"/>
              </w:rPr>
              <w:t xml:space="preserve">SELECT ONE  </w:t>
            </w:r>
            <w:r>
              <w:rPr>
                <w:rFonts w:ascii="Arial" w:hAnsi="Arial"/>
                <w:b w:val="0"/>
                <w:i/>
                <w:color w:val="5B6678"/>
                <w:sz w:val="18"/>
              </w:rPr>
              <w:t>Engineering Excellence Assessment / Modernisation Accelerator / AI Engineering Adoption Sprint / Custom approved engagement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Primary outcome</w:t>
            </w:r>
          </w:p>
        </w:tc>
        <w:tc>
          <w:tcPr>
            <w:tcW w:type="dxa" w:w="66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9"/>
              </w:rPr>
              <w:t>[Decision, evidence, or capability the client will receive]</w:t>
            </w:r>
          </w:p>
        </w:tc>
      </w:tr>
      <w:tr>
        <w:tc>
          <w:tcPr>
            <w:tcW w:type="dxa" w:w="27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Duration</w:t>
            </w:r>
          </w:p>
        </w:tc>
        <w:tc>
          <w:tcPr>
            <w:tcW w:type="dxa" w:w="66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9"/>
              </w:rPr>
              <w:t>[Start date] to [End date] / [N weeks]</w:t>
            </w:r>
          </w:p>
        </w:tc>
      </w:tr>
      <w:tr>
        <w:tc>
          <w:tcPr>
            <w:tcW w:type="dxa" w:w="27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Fixed fee</w:t>
            </w:r>
          </w:p>
        </w:tc>
        <w:tc>
          <w:tcPr>
            <w:tcW w:type="dxa" w:w="66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9"/>
              </w:rPr>
              <w:t>[Currency] [Amount], excluding applicable taxes</w:t>
            </w:r>
          </w:p>
        </w:tc>
      </w:tr>
      <w:tr>
        <w:tc>
          <w:tcPr>
            <w:tcW w:type="dxa" w:w="27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Client sponsor</w:t>
            </w:r>
          </w:p>
        </w:tc>
        <w:tc>
          <w:tcPr>
            <w:tcW w:type="dxa" w:w="66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9"/>
              </w:rPr>
              <w:t>[Name and title]</w:t>
            </w:r>
          </w:p>
        </w:tc>
      </w:tr>
      <w:tr>
        <w:tc>
          <w:tcPr>
            <w:tcW w:type="dxa" w:w="27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Invara lead</w:t>
            </w:r>
          </w:p>
        </w:tc>
        <w:tc>
          <w:tcPr>
            <w:tcW w:type="dxa" w:w="66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9"/>
              </w:rPr>
              <w:t>Madhukumar Rajanala, Founder</w:t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i w:val="0"/>
          <w:color w:val="1769E0"/>
          <w:sz w:val="32"/>
        </w:rPr>
        <w:t>2. Client Context and Success Measures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Current situation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69E0"/>
                <w:sz w:val="18"/>
              </w:rPr>
              <w:t xml:space="preserve">TAILOR  </w:t>
            </w:r>
            <w:r>
              <w:rPr>
                <w:rFonts w:ascii="Arial" w:hAnsi="Arial"/>
                <w:b w:val="0"/>
                <w:i/>
                <w:color w:val="5B6678"/>
                <w:sz w:val="18"/>
              </w:rPr>
              <w:t>State observed facts, known constraints, urgency, and relevant prior decisions. Separate evidence from assumptions.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Objectives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[Objective 1: decision or outcome, not an activity]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[Objective 2]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[Objective 3]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Success measures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100"/>
        <w:gridCol w:w="2100"/>
        <w:gridCol w:w="2260"/>
      </w:tblGrid>
      <w:tr>
        <w:trPr>
          <w:tblHeader w:val="true"/>
        </w:trPr>
        <w:tc>
          <w:tcPr>
            <w:tcW w:type="dxa" w:w="2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Baseline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Target / evidence</w:t>
            </w:r>
          </w:p>
        </w:tc>
        <w:tc>
          <w:tcPr>
            <w:tcW w:type="dxa" w:w="22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[Measure 1]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[Current]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[Expected evidence]</w:t>
            </w:r>
          </w:p>
        </w:tc>
        <w:tc>
          <w:tcPr>
            <w:tcW w:type="dxa" w:w="22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[Owner]</w:t>
            </w:r>
          </w:p>
        </w:tc>
      </w:tr>
      <w:tr>
        <w:tc>
          <w:tcPr>
            <w:tcW w:type="dxa" w:w="2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[Measure 2]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[Current]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[Expected evidence]</w:t>
            </w:r>
          </w:p>
        </w:tc>
        <w:tc>
          <w:tcPr>
            <w:tcW w:type="dxa" w:w="22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[Owner]</w:t>
            </w:r>
          </w:p>
        </w:tc>
      </w:tr>
      <w:tr>
        <w:tc>
          <w:tcPr>
            <w:tcW w:type="dxa" w:w="2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[Measure 3]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[Current]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[Expected evidence]</w:t>
            </w:r>
          </w:p>
        </w:tc>
        <w:tc>
          <w:tcPr>
            <w:tcW w:type="dxa" w:w="22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[Owner]</w:t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i w:val="0"/>
          <w:color w:val="1769E0"/>
          <w:sz w:val="32"/>
        </w:rPr>
        <w:t>3. Scope and Approach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In scope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[System, product, team, repository, or process boundary]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[Assessment lens or workstream]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[Stakeholder group and agreed evidence]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Out of scope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[Explicit exclusion]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[Explicit exclusion]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Any work not listed in this proposal unless approved through change control.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Delivery approach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5960"/>
      </w:tblGrid>
      <w:tr>
        <w:trPr>
          <w:tblHeader w:val="true"/>
        </w:trPr>
        <w:tc>
          <w:tcPr>
            <w:tcW w:type="dxa" w:w="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5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69E0"/>
                <w:sz w:val="18"/>
              </w:rPr>
              <w:t>1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Qualify</w:t>
            </w:r>
          </w:p>
        </w:tc>
        <w:tc>
          <w:tcPr>
            <w:tcW w:type="dxa" w:w="5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Confirm the decision, scope, stakeholders, access, and evidence.</w:t>
            </w:r>
          </w:p>
        </w:tc>
      </w:tr>
      <w:tr>
        <w:tc>
          <w:tcPr>
            <w:tcW w:type="dxa" w:w="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69E0"/>
                <w:sz w:val="18"/>
              </w:rPr>
              <w:t>2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Discover</w:t>
            </w:r>
          </w:p>
        </w:tc>
        <w:tc>
          <w:tcPr>
            <w:tcW w:type="dxa" w:w="5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Review context, systems, artefacts, and constraints.</w:t>
            </w:r>
          </w:p>
        </w:tc>
      </w:tr>
      <w:tr>
        <w:tc>
          <w:tcPr>
            <w:tcW w:type="dxa" w:w="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69E0"/>
                <w:sz w:val="18"/>
              </w:rPr>
              <w:t>3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Analyse</w:t>
            </w:r>
          </w:p>
        </w:tc>
        <w:tc>
          <w:tcPr>
            <w:tcW w:type="dxa" w:w="5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Test assumptions and identify material findings or options.</w:t>
            </w:r>
          </w:p>
        </w:tc>
      </w:tr>
      <w:tr>
        <w:tc>
          <w:tcPr>
            <w:tcW w:type="dxa" w:w="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69E0"/>
                <w:sz w:val="18"/>
              </w:rPr>
              <w:t>4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Decide</w:t>
            </w:r>
          </w:p>
        </w:tc>
        <w:tc>
          <w:tcPr>
            <w:tcW w:type="dxa" w:w="5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Present trade-offs and a sequenced recommendation.</w:t>
            </w:r>
          </w:p>
        </w:tc>
      </w:tr>
      <w:tr>
        <w:tc>
          <w:tcPr>
            <w:tcW w:type="dxa" w:w="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69E0"/>
                <w:sz w:val="18"/>
              </w:rPr>
              <w:t>5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Enable</w:t>
            </w:r>
          </w:p>
        </w:tc>
        <w:tc>
          <w:tcPr>
            <w:tcW w:type="dxa" w:w="5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Transfer agreed artefacts, decisions, and knowledge.</w:t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i w:val="0"/>
          <w:color w:val="1769E0"/>
          <w:sz w:val="32"/>
        </w:rPr>
        <w:t>4. Deliverables and Acceptance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260"/>
        <w:gridCol w:w="1800"/>
        <w:gridCol w:w="1800"/>
      </w:tblGrid>
      <w:tr>
        <w:trPr>
          <w:tblHeader w:val="true"/>
        </w:trPr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Deliverable</w:t>
            </w:r>
          </w:p>
        </w:tc>
        <w:tc>
          <w:tcPr>
            <w:tcW w:type="dxa" w:w="32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Contents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Acceptance evidence</w:t>
            </w:r>
          </w:p>
        </w:tc>
      </w:tr>
      <w:tr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[Deliverable 1]</w:t>
            </w:r>
          </w:p>
        </w:tc>
        <w:tc>
          <w:tcPr>
            <w:tcW w:type="dxa" w:w="32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[Included content and boundary]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[PDF / workshop / repository]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[Review criterion]</w:t>
            </w:r>
          </w:p>
        </w:tc>
      </w:tr>
      <w:tr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[Deliverable 2]</w:t>
            </w:r>
          </w:p>
        </w:tc>
        <w:tc>
          <w:tcPr>
            <w:tcW w:type="dxa" w:w="32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[Included content and boundary]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[PDF / workshop / repository]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[Review criterion]</w:t>
            </w:r>
          </w:p>
        </w:tc>
      </w:tr>
      <w:tr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[Deliverable 3]</w:t>
            </w:r>
          </w:p>
        </w:tc>
        <w:tc>
          <w:tcPr>
            <w:tcW w:type="dxa" w:w="32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[Included content and boundary]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[PDF / workshop / repository]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[Review criterion]</w:t>
            </w:r>
          </w:p>
        </w:tc>
      </w:tr>
      <w:tr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[Deliverable 4]</w:t>
            </w:r>
          </w:p>
        </w:tc>
        <w:tc>
          <w:tcPr>
            <w:tcW w:type="dxa" w:w="32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[Included content and boundary]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[PDF / workshop / repository]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[Review criterion]</w:t>
            </w:r>
          </w:p>
        </w:tc>
      </w:tr>
    </w:tbl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Acceptance process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172033"/>
          <w:sz w:val="21"/>
        </w:rPr>
        <w:t>The client will review each deliverable against the acceptance evidence above within [five] business days. Consolidated factual corrections will be addressed within scope. A deliverable is accepted when the client confirms acceptance in writing or the review period expires without a documented material non-conformance.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1769E0"/>
          <w:sz w:val="32"/>
        </w:rPr>
        <w:t>5. Schedule and Governance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460"/>
        <w:gridCol w:w="2100"/>
      </w:tblGrid>
      <w:tr>
        <w:trPr>
          <w:tblHeader w:val="true"/>
        </w:trPr>
        <w:tc>
          <w:tcPr>
            <w:tcW w:type="dxa" w:w="17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Week / date</w:t>
            </w:r>
          </w:p>
        </w:tc>
        <w:tc>
          <w:tcPr>
            <w:tcW w:type="dxa" w:w="3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Activity</w:t>
            </w:r>
          </w:p>
        </w:tc>
        <w:tc>
          <w:tcPr>
            <w:tcW w:type="dxa" w:w="24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 / decision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Participants</w:t>
            </w:r>
          </w:p>
        </w:tc>
      </w:tr>
      <w:tr>
        <w:tc>
          <w:tcPr>
            <w:tcW w:type="dxa" w:w="17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[Week 1]</w:t>
            </w:r>
          </w:p>
        </w:tc>
        <w:tc>
          <w:tcPr>
            <w:tcW w:type="dxa" w:w="3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[Activity]</w:t>
            </w:r>
          </w:p>
        </w:tc>
        <w:tc>
          <w:tcPr>
            <w:tcW w:type="dxa" w:w="24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[Output or gate]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[Roles]</w:t>
            </w:r>
          </w:p>
        </w:tc>
      </w:tr>
      <w:tr>
        <w:tc>
          <w:tcPr>
            <w:tcW w:type="dxa" w:w="17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[Week 2]</w:t>
            </w:r>
          </w:p>
        </w:tc>
        <w:tc>
          <w:tcPr>
            <w:tcW w:type="dxa" w:w="3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[Activity]</w:t>
            </w:r>
          </w:p>
        </w:tc>
        <w:tc>
          <w:tcPr>
            <w:tcW w:type="dxa" w:w="24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[Output or gate]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[Roles]</w:t>
            </w:r>
          </w:p>
        </w:tc>
      </w:tr>
      <w:tr>
        <w:tc>
          <w:tcPr>
            <w:tcW w:type="dxa" w:w="17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[Week 3]</w:t>
            </w:r>
          </w:p>
        </w:tc>
        <w:tc>
          <w:tcPr>
            <w:tcW w:type="dxa" w:w="3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[Activity]</w:t>
            </w:r>
          </w:p>
        </w:tc>
        <w:tc>
          <w:tcPr>
            <w:tcW w:type="dxa" w:w="24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[Output or gate]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[Roles]</w:t>
            </w:r>
          </w:p>
        </w:tc>
      </w:tr>
      <w:tr>
        <w:tc>
          <w:tcPr>
            <w:tcW w:type="dxa" w:w="17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[Week 4]</w:t>
            </w:r>
          </w:p>
        </w:tc>
        <w:tc>
          <w:tcPr>
            <w:tcW w:type="dxa" w:w="3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[Activity]</w:t>
            </w:r>
          </w:p>
        </w:tc>
        <w:tc>
          <w:tcPr>
            <w:tcW w:type="dxa" w:w="24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[Output or gate]</w:t>
            </w:r>
          </w:p>
        </w:tc>
        <w:tc>
          <w:tcPr>
            <w:tcW w:type="dxa" w:w="2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[Roles]</w:t>
            </w:r>
          </w:p>
        </w:tc>
      </w:tr>
    </w:tbl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Governance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Working cadence: [e.g., two 30-minute checkpoints per week].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Decision authority: [Client sponsor] for scope, access, and acceptance.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Escalation: material blockers or risks are raised within one business day.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Status: concise written update covering progress, decisions, risks, and next actions.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1769E0"/>
          <w:sz w:val="32"/>
        </w:rPr>
        <w:t>6. Roles and Responsibilities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30"/>
        <w:gridCol w:w="3530"/>
      </w:tblGrid>
      <w:tr>
        <w:trPr>
          <w:tblHeader w:val="true"/>
        </w:trP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Invara Labs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7"/>
              </w:rPr>
              <w:t>Engagement lead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Lead delivery, analysis, recommendations, and reporting.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Provide sponsor and timely decisions.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7"/>
              </w:rPr>
              <w:t>Subject-matter access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Identify evidence required and facilitate focused review.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Provide agreed people, systems, artefacts, and constraints.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7"/>
              </w:rPr>
              <w:t>Quality and accuracy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Distinguish findings, assumptions, and professional judgement.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Review factual accuracy without controlling independent conclusions.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7"/>
              </w:rPr>
              <w:t>Security and confidentiality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Use approved access and protect client information.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Define policies, restrictions, and authorised access.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7"/>
              </w:rPr>
              <w:t>Adoption and ownership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Deliver handover and knowledge transfer.</w:t>
            </w:r>
          </w:p>
        </w:tc>
        <w:tc>
          <w:tcPr>
            <w:tcW w:type="dxa" w:w="353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7"/>
              </w:rPr>
              <w:t>Assign owners and decide whether to act on recommendations.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769E0"/>
          <w:sz w:val="32"/>
        </w:rPr>
        <w:t>7. Fees and Payment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1800"/>
        <w:gridCol w:w="1880"/>
        <w:gridCol w:w="1880"/>
      </w:tblGrid>
      <w:tr>
        <w:trPr>
          <w:tblHeader w:val="true"/>
        </w:trPr>
        <w:tc>
          <w:tcPr>
            <w:tcW w:type="dxa" w:w="3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Fee</w:t>
            </w:r>
          </w:p>
        </w:tc>
        <w:tc>
          <w:tcPr>
            <w:tcW w:type="dxa" w:w="1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Invoice point</w:t>
            </w:r>
          </w:p>
        </w:tc>
        <w:tc>
          <w:tcPr>
            <w:tcW w:type="dxa" w:w="1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B172A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Payment due</w:t>
            </w:r>
          </w:p>
        </w:tc>
      </w:tr>
      <w:tr>
        <w:tc>
          <w:tcPr>
            <w:tcW w:type="dxa" w:w="3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[Engagement / phase]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[Currency] [Amount]</w:t>
            </w:r>
          </w:p>
        </w:tc>
        <w:tc>
          <w:tcPr>
            <w:tcW w:type="dxa" w:w="1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[On signature / milestone]</w:t>
            </w:r>
          </w:p>
        </w:tc>
        <w:tc>
          <w:tcPr>
            <w:tcW w:type="dxa" w:w="1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[N days]</w:t>
            </w:r>
          </w:p>
        </w:tc>
      </w:tr>
      <w:tr>
        <w:tc>
          <w:tcPr>
            <w:tcW w:type="dxa" w:w="3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[Optional item]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[Amount]</w:t>
            </w:r>
          </w:p>
        </w:tc>
        <w:tc>
          <w:tcPr>
            <w:tcW w:type="dxa" w:w="1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[If approved]</w:t>
            </w:r>
          </w:p>
        </w:tc>
        <w:tc>
          <w:tcPr>
            <w:tcW w:type="dxa" w:w="1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[N days]</w:t>
            </w:r>
          </w:p>
        </w:tc>
      </w:tr>
      <w:tr>
        <w:tc>
          <w:tcPr>
            <w:tcW w:type="dxa" w:w="3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Total professional fees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[Amount]</w:t>
            </w:r>
          </w:p>
        </w:tc>
        <w:tc>
          <w:tcPr>
            <w:tcW w:type="dxa" w:w="1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</w:r>
          </w:p>
        </w:tc>
        <w:tc>
          <w:tcPr>
            <w:tcW w:type="dxa" w:w="1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</w:r>
          </w:p>
        </w:tc>
      </w:tr>
      <w:tr>
        <w:tc>
          <w:tcPr>
            <w:tcW w:type="dxa" w:w="3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5B6678"/>
                <w:sz w:val="17"/>
              </w:rPr>
              <w:t>Taxes / expenses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5B6678"/>
                <w:sz w:val="17"/>
              </w:rPr>
              <w:t>[State treatment: taxes additional; pre-approved travel billed at cost; or not applicable]</w:t>
            </w:r>
          </w:p>
        </w:tc>
        <w:tc>
          <w:tcPr>
            <w:tcW w:type="dxa" w:w="1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5B6678"/>
                <w:sz w:val="17"/>
              </w:rPr>
            </w:r>
          </w:p>
        </w:tc>
        <w:tc>
          <w:tcPr>
            <w:tcW w:type="dxa" w:w="1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5B6678"/>
                <w:sz w:val="17"/>
              </w:rPr>
            </w:r>
          </w:p>
        </w:tc>
      </w:tr>
    </w:tbl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5B6678"/>
          <w:sz w:val="19"/>
        </w:rPr>
        <w:t>Invoices are payable according to the schedule above. Work may pause when an undisputed invoice is materially overdue. Any pricing change requires written approval.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769E0"/>
          <w:sz w:val="32"/>
        </w:rPr>
        <w:t>8. Assumptions, Dependencies, and Change Control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Assumptions and dependencies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The client provides timely access to agreed stakeholders, systems, repositories, and documentation.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The client identifies security, privacy, legal, procurement, and policy constraints before access is granted.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Dates depend on stakeholder availability and the quality and completeness of supplied evidence.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Recommendations are based on the agreed scope and evidence available during the engagement.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Change control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172033"/>
          <w:sz w:val="21"/>
        </w:rPr>
        <w:t>Either party may request a scope change. Invara Labs will document the requested change, reason, effect on fees and schedule, and approval required. No changed work begins until both parties approve it in writing.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769E0"/>
          <w:sz w:val="26"/>
        </w:rPr>
        <w:t>Key exclusions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Legal, regulatory, privacy, compliance, or security certification unless explicitly contracted.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Production implementation, remediation, or operational support not listed in scope.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Guaranteed savings, delivery acceleration, risk elimination, or business outcomes.</w:t>
      </w:r>
    </w:p>
    <w:p>
      <w:pPr>
        <w:pStyle w:val="ListBullet"/>
        <w:spacing w:after="80" w:line="290" w:lineRule="auto"/>
        <w:ind w:left="547" w:hanging="274"/>
      </w:pPr>
      <w:r>
        <w:rPr>
          <w:rFonts w:ascii="Arial" w:hAnsi="Arial"/>
          <w:b w:val="0"/>
          <w:i w:val="0"/>
          <w:color w:val="172033"/>
          <w:sz w:val="21"/>
        </w:rPr>
        <w:t>Third-party licences, tools, cloud usage, and vendor fees unless expressly included.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1769E0"/>
          <w:sz w:val="32"/>
        </w:rPr>
        <w:t>9. Commercial Terms</w:t>
      </w:r>
    </w:p>
    <w:p>
      <w:pPr>
        <w:pStyle w:val="Heading3"/>
        <w:keepNext/>
      </w:pPr>
      <w:r>
        <w:rPr>
          <w:rFonts w:ascii="Arial" w:hAnsi="Arial"/>
          <w:b/>
          <w:i w:val="0"/>
          <w:color w:val="0B172A"/>
          <w:sz w:val="23"/>
        </w:rPr>
        <w:t>Confidentiality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172033"/>
          <w:sz w:val="21"/>
        </w:rPr>
        <w:t>Each party will protect confidential information under the applicable NDA or services agreement.</w:t>
      </w:r>
    </w:p>
    <w:p>
      <w:pPr>
        <w:pStyle w:val="Heading3"/>
        <w:keepNext/>
      </w:pPr>
      <w:r>
        <w:rPr>
          <w:rFonts w:ascii="Arial" w:hAnsi="Arial"/>
          <w:b/>
          <w:i w:val="0"/>
          <w:color w:val="0B172A"/>
          <w:sz w:val="23"/>
        </w:rPr>
        <w:t>Intellectual property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172033"/>
          <w:sz w:val="21"/>
        </w:rPr>
        <w:t>Client-specific deliverables and pre-existing Invara Labs materials will be treated as defined in the governing agreement. Reusable methods, templates, and know-how remain subject to agreed licence terms.</w:t>
      </w:r>
    </w:p>
    <w:p>
      <w:pPr>
        <w:pStyle w:val="Heading3"/>
        <w:keepNext/>
      </w:pPr>
      <w:r>
        <w:rPr>
          <w:rFonts w:ascii="Arial" w:hAnsi="Arial"/>
          <w:b/>
          <w:i w:val="0"/>
          <w:color w:val="0B172A"/>
          <w:sz w:val="23"/>
        </w:rPr>
        <w:t>Use of AI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172033"/>
          <w:sz w:val="21"/>
        </w:rPr>
        <w:t>AI-assisted work, if used, follows agreed data-handling restrictions and human verification. Client confidential information will not be submitted to unapproved tools.</w:t>
      </w:r>
    </w:p>
    <w:p>
      <w:pPr>
        <w:pStyle w:val="Heading3"/>
        <w:keepNext/>
      </w:pPr>
      <w:r>
        <w:rPr>
          <w:rFonts w:ascii="Arial" w:hAnsi="Arial"/>
          <w:b/>
          <w:i w:val="0"/>
          <w:color w:val="0B172A"/>
          <w:sz w:val="23"/>
        </w:rPr>
        <w:t>Warranty and liability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172033"/>
          <w:sz w:val="21"/>
        </w:rPr>
        <w:t>The governing agreement controls warranties, liability, indemnities, and remedies. This template does not replace legal review.</w:t>
      </w:r>
    </w:p>
    <w:p>
      <w:pPr>
        <w:pStyle w:val="Heading3"/>
        <w:keepNext/>
      </w:pPr>
      <w:r>
        <w:rPr>
          <w:rFonts w:ascii="Arial" w:hAnsi="Arial"/>
          <w:b/>
          <w:i w:val="0"/>
          <w:color w:val="0B172A"/>
          <w:sz w:val="23"/>
        </w:rPr>
        <w:t>Termination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172033"/>
          <w:sz w:val="21"/>
        </w:rPr>
        <w:t>Either party may terminate according to the governing agreement. The client pays for approved work completed and committed non-cancellable costs through termination.</w:t>
      </w:r>
    </w:p>
    <w:p>
      <w:pPr>
        <w:pStyle w:val="Heading3"/>
        <w:keepNext/>
      </w:pPr>
      <w:r>
        <w:rPr>
          <w:rFonts w:ascii="Arial" w:hAnsi="Arial"/>
          <w:b/>
          <w:i w:val="0"/>
          <w:color w:val="0B172A"/>
          <w:sz w:val="23"/>
        </w:rPr>
        <w:t>Order of precedence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172033"/>
          <w:sz w:val="21"/>
        </w:rPr>
        <w:t>The signed services agreement and statement of work control over this proposal if terms conflict.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69E0"/>
                <w:sz w:val="18"/>
              </w:rPr>
              <w:t xml:space="preserve">LEGAL REVIEW  </w:t>
            </w:r>
            <w:r>
              <w:rPr>
                <w:rFonts w:ascii="Arial" w:hAnsi="Arial"/>
                <w:b w:val="0"/>
                <w:i/>
                <w:color w:val="5B6678"/>
                <w:sz w:val="18"/>
              </w:rPr>
              <w:t>Replace this section with counsel-approved terms or reference the executed MSA/SOW before sending.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b/>
          <w:i w:val="0"/>
          <w:color w:val="1769E0"/>
          <w:sz w:val="32"/>
        </w:rPr>
        <w:t>10. Approval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172033"/>
          <w:sz w:val="21"/>
        </w:rPr>
        <w:t>By signing below, the parties confirm the engagement scope, deliverables, responsibilities, schedule, fees, and referenced commercial terms. This proposal becomes effective only when signed by authorised representatives of both parties.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FOR [CLIENT ORGANISATION]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EF4FA"/>
          </w:tcPr>
          <w:p>
            <w:r>
              <w:rPr>
                <w:rFonts w:ascii="Arial" w:hAnsi="Arial"/>
                <w:b/>
                <w:i w:val="0"/>
                <w:color w:val="0B172A"/>
                <w:sz w:val="18"/>
              </w:rPr>
              <w:t>FOR INVARA LABS</w:t>
            </w:r>
          </w:p>
        </w:tc>
      </w:tr>
      <w:tr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Authorised signature: ____________________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Authorised signature: ____________________</w:t>
            </w:r>
          </w:p>
        </w:tc>
      </w:tr>
      <w:tr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Name: _________________________________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Name: _________________________________</w:t>
            </w:r>
          </w:p>
        </w:tc>
      </w:tr>
      <w:tr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Title: __________________________________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Title: __________________________________</w:t>
            </w:r>
          </w:p>
        </w:tc>
      </w:tr>
      <w:tr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Date: __________________________________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Date: __________________________________</w:t>
            </w:r>
          </w:p>
        </w:tc>
      </w:tr>
    </w:tbl>
    <w:p>
      <w:pPr>
        <w:spacing w:before="320" w:after="120" w:line="288" w:lineRule="auto"/>
      </w:pPr>
      <w:r>
        <w:rPr>
          <w:rFonts w:ascii="Arial" w:hAnsi="Arial"/>
          <w:b/>
          <w:i w:val="0"/>
          <w:color w:val="1769E0"/>
          <w:sz w:val="21"/>
        </w:rPr>
        <w:t>Next step: return the signed proposal and confirm the engagement start date, client sponsor, and access coordinator.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tblInd w:w="120" w:type="dxa"/>
    </w:tblPr>
    <w:tblGrid>
      <w:gridCol w:w="7600"/>
      <w:gridCol w:w="1760"/>
    </w:tblGrid>
    <w:tr>
      <w:tc>
        <w:tcPr>
          <w:tcW w:type="dxa" w:w="7600"/>
          <w:tcMar>
            <w:top w:w="120" w:type="dxa"/>
            <w:start w:w="140" w:type="dxa"/>
            <w:bottom w:w="120" w:type="dxa"/>
            <w:end w:w="140" w:type="dxa"/>
          </w:tcMar>
          <w:vAlign w:val="center"/>
        </w:tcPr>
        <w:p>
          <w:r>
            <w:rPr>
              <w:rFonts w:ascii="Arial" w:hAnsi="Arial"/>
              <w:b w:val="0"/>
              <w:i w:val="0"/>
              <w:color w:val="5B6678"/>
              <w:sz w:val="16"/>
            </w:rPr>
            <w:t>CONFIDENTIAL  |  [CLIENT NAME]</w:t>
          </w:r>
        </w:p>
      </w:tc>
      <w:tc>
        <w:tcPr>
          <w:tcW w:type="dxa" w:w="1760"/>
          <w:tcMar>
            <w:top w:w="120" w:type="dxa"/>
            <w:start w:w="140" w:type="dxa"/>
            <w:bottom w:w="120" w:type="dxa"/>
            <w:end w:w="140" w:type="dxa"/>
          </w:tcMar>
          <w:vAlign w:val="center"/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5B6678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5B6678"/>
        <w:sz w:val="16"/>
      </w:rPr>
      <w:t>INVARA LABS  |  CLIENT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Arial" w:hAnsi="Arial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1769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B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Invara Labs Client Proposal Template</dc:title>
  <dc:subject>Reusable consulting proposal template</dc:subject>
  <dc:creator>Invara Labs</dc:creator>
  <cp:keywords>proposal, consulting, engineering, Invara Labs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