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39B" w:rsidRPr="00B6639B" w:rsidRDefault="00B6639B" w:rsidP="00B6639B">
      <w:pPr>
        <w:spacing w:before="100" w:beforeAutospacing="1" w:after="100" w:afterAutospacing="1" w:line="36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B6639B">
        <w:rPr>
          <w:rFonts w:ascii="fkGrotesk Fallback" w:eastAsia="Times New Roman" w:hAnsi="fkGrotesk Fallback" w:cs="Times New Roman"/>
          <w:b/>
          <w:bCs/>
          <w:sz w:val="36"/>
          <w:szCs w:val="36"/>
        </w:rPr>
        <w:t>Materials and Methods Summary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b/>
          <w:bCs/>
          <w:sz w:val="20"/>
        </w:rPr>
        <w:t>Experimental Material: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41 genotypes, including 5 check varieties</w:t>
      </w:r>
      <w:r>
        <w:rPr>
          <w:rFonts w:ascii="Segoe UI" w:eastAsia="Times New Roman" w:hAnsi="Segoe UI" w:cs="Segoe UI"/>
          <w:sz w:val="20"/>
          <w:szCs w:val="20"/>
        </w:rPr>
        <w:t>.</w:t>
      </w:r>
      <w:r w:rsidRPr="00B6639B">
        <w:rPr>
          <w:rFonts w:ascii="Segoe UI" w:eastAsia="Times New Roman" w:hAnsi="Segoe UI" w:cs="Segoe UI"/>
          <w:sz w:val="20"/>
          <w:szCs w:val="20"/>
        </w:rPr>
        <w:t xml:space="preserve"> Genotypes listed with codes.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b/>
          <w:bCs/>
          <w:sz w:val="20"/>
        </w:rPr>
        <w:t>Experimental Design: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B6639B">
        <w:rPr>
          <w:rFonts w:ascii="Segoe UI" w:eastAsia="Times New Roman" w:hAnsi="Segoe UI" w:cs="Segoe UI"/>
          <w:sz w:val="20"/>
          <w:szCs w:val="20"/>
        </w:rPr>
        <w:t>Randomized Block Design (RBD) with three replications per year (three environments).</w:t>
      </w:r>
      <w:proofErr w:type="gramEnd"/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Standard NPK fertilizer applied (50:30:30 kg/ha).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Plant spacing: 10 cm × 30 cm, thinning at 25 days after sowing.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Standard agronomic practices followed.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b/>
          <w:bCs/>
          <w:sz w:val="20"/>
        </w:rPr>
        <w:t>Traits Measured: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Days to maturity</w:t>
      </w:r>
      <w:r>
        <w:rPr>
          <w:rFonts w:ascii="Segoe UI" w:eastAsia="Times New Roman" w:hAnsi="Segoe UI" w:cs="Segoe UI"/>
          <w:sz w:val="20"/>
          <w:szCs w:val="20"/>
        </w:rPr>
        <w:t xml:space="preserve">, </w:t>
      </w:r>
      <w:r w:rsidRPr="00B6639B">
        <w:rPr>
          <w:rFonts w:ascii="Segoe UI" w:eastAsia="Times New Roman" w:hAnsi="Segoe UI" w:cs="Segoe UI"/>
          <w:sz w:val="20"/>
          <w:szCs w:val="20"/>
        </w:rPr>
        <w:t>Plant height (cm)</w:t>
      </w:r>
      <w:r>
        <w:rPr>
          <w:rFonts w:ascii="Segoe UI" w:eastAsia="Times New Roman" w:hAnsi="Segoe UI" w:cs="Segoe UI"/>
          <w:sz w:val="20"/>
          <w:szCs w:val="20"/>
        </w:rPr>
        <w:t xml:space="preserve">, </w:t>
      </w:r>
      <w:r w:rsidRPr="00B6639B">
        <w:rPr>
          <w:rFonts w:ascii="Segoe UI" w:eastAsia="Times New Roman" w:hAnsi="Segoe UI" w:cs="Segoe UI"/>
          <w:sz w:val="20"/>
          <w:szCs w:val="20"/>
        </w:rPr>
        <w:t>Main raceme length (cm)</w:t>
      </w:r>
      <w:r>
        <w:rPr>
          <w:rFonts w:ascii="Segoe UI" w:eastAsia="Times New Roman" w:hAnsi="Segoe UI" w:cs="Segoe UI"/>
          <w:sz w:val="20"/>
          <w:szCs w:val="20"/>
        </w:rPr>
        <w:t xml:space="preserve">, </w:t>
      </w:r>
      <w:r w:rsidRPr="00B6639B">
        <w:rPr>
          <w:rFonts w:ascii="Segoe UI" w:eastAsia="Times New Roman" w:hAnsi="Segoe UI" w:cs="Segoe UI"/>
          <w:sz w:val="20"/>
          <w:szCs w:val="20"/>
        </w:rPr>
        <w:t xml:space="preserve">Number of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siliquae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on main raceme</w:t>
      </w:r>
      <w:r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Siliqua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density</w:t>
      </w:r>
      <w:r>
        <w:rPr>
          <w:rFonts w:ascii="Segoe UI" w:eastAsia="Times New Roman" w:hAnsi="Segoe UI" w:cs="Segoe UI"/>
          <w:sz w:val="20"/>
          <w:szCs w:val="20"/>
        </w:rPr>
        <w:t xml:space="preserve">, </w:t>
      </w:r>
      <w:r w:rsidRPr="00B6639B">
        <w:rPr>
          <w:rFonts w:ascii="Segoe UI" w:eastAsia="Times New Roman" w:hAnsi="Segoe UI" w:cs="Segoe UI"/>
          <w:sz w:val="20"/>
          <w:szCs w:val="20"/>
        </w:rPr>
        <w:t>Number of primary branches per plant</w:t>
      </w:r>
      <w:r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Siliqua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length (cm)</w:t>
      </w:r>
      <w:r>
        <w:rPr>
          <w:rFonts w:ascii="Segoe UI" w:eastAsia="Times New Roman" w:hAnsi="Segoe UI" w:cs="Segoe UI"/>
          <w:sz w:val="20"/>
          <w:szCs w:val="20"/>
        </w:rPr>
        <w:t>,</w:t>
      </w:r>
      <w:r w:rsidRPr="00B6639B">
        <w:rPr>
          <w:rFonts w:ascii="Segoe UI" w:eastAsia="Times New Roman" w:hAnsi="Segoe UI" w:cs="Segoe UI"/>
          <w:sz w:val="20"/>
          <w:szCs w:val="20"/>
        </w:rPr>
        <w:t xml:space="preserve">Number of seeds per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siliqua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, </w:t>
      </w:r>
      <w:r w:rsidRPr="00B6639B">
        <w:rPr>
          <w:rFonts w:ascii="Segoe UI" w:eastAsia="Times New Roman" w:hAnsi="Segoe UI" w:cs="Segoe UI"/>
          <w:sz w:val="20"/>
          <w:szCs w:val="20"/>
        </w:rPr>
        <w:t>Oil content (%)</w:t>
      </w:r>
      <w:r>
        <w:rPr>
          <w:rFonts w:ascii="Segoe UI" w:eastAsia="Times New Roman" w:hAnsi="Segoe UI" w:cs="Segoe UI"/>
          <w:sz w:val="20"/>
          <w:szCs w:val="20"/>
        </w:rPr>
        <w:t xml:space="preserve">, </w:t>
      </w:r>
      <w:r w:rsidRPr="00B6639B">
        <w:rPr>
          <w:rFonts w:ascii="Segoe UI" w:eastAsia="Times New Roman" w:hAnsi="Segoe UI" w:cs="Segoe UI"/>
          <w:sz w:val="20"/>
          <w:szCs w:val="20"/>
        </w:rPr>
        <w:t>1000-seed weight (g)</w:t>
      </w:r>
      <w:r>
        <w:rPr>
          <w:rFonts w:ascii="Segoe UI" w:eastAsia="Times New Roman" w:hAnsi="Segoe UI" w:cs="Segoe UI"/>
          <w:sz w:val="20"/>
          <w:szCs w:val="20"/>
        </w:rPr>
        <w:t xml:space="preserve">, </w:t>
      </w:r>
      <w:r w:rsidRPr="00B6639B">
        <w:rPr>
          <w:rFonts w:ascii="Segoe UI" w:eastAsia="Times New Roman" w:hAnsi="Segoe UI" w:cs="Segoe UI"/>
          <w:sz w:val="20"/>
          <w:szCs w:val="20"/>
        </w:rPr>
        <w:t>Seed yield (kg/ha)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b/>
          <w:bCs/>
          <w:sz w:val="20"/>
        </w:rPr>
        <w:t>Statistical Analyses: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B6639B">
        <w:rPr>
          <w:rFonts w:ascii="Segoe UI" w:eastAsia="Times New Roman" w:hAnsi="Segoe UI" w:cs="Segoe UI"/>
          <w:sz w:val="20"/>
          <w:szCs w:val="20"/>
        </w:rPr>
        <w:t>Performed using R Studio (Variability 0.1.0 and Stability packages).</w:t>
      </w:r>
      <w:proofErr w:type="gramEnd"/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Procedures included: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Analysis of Variance (ANOVA) for genotype effects under RBD.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Estimation of variability parameters: PCV, GCV, ECV, heritability (broad sense), genetic advance.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 xml:space="preserve">Correlation coefficients: phenotypic, genotypic, </w:t>
      </w:r>
      <w:proofErr w:type="gramStart"/>
      <w:r w:rsidRPr="00B6639B">
        <w:rPr>
          <w:rFonts w:ascii="Segoe UI" w:eastAsia="Times New Roman" w:hAnsi="Segoe UI" w:cs="Segoe UI"/>
          <w:sz w:val="20"/>
          <w:szCs w:val="20"/>
        </w:rPr>
        <w:t>environmental</w:t>
      </w:r>
      <w:proofErr w:type="gramEnd"/>
      <w:r w:rsidRPr="00B6639B">
        <w:rPr>
          <w:rFonts w:ascii="Segoe UI" w:eastAsia="Times New Roman" w:hAnsi="Segoe UI" w:cs="Segoe UI"/>
          <w:sz w:val="20"/>
          <w:szCs w:val="20"/>
        </w:rPr>
        <w:t>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B6639B">
        <w:rPr>
          <w:rFonts w:ascii="Segoe UI" w:eastAsia="Times New Roman" w:hAnsi="Segoe UI" w:cs="Segoe UI"/>
          <w:sz w:val="20"/>
          <w:szCs w:val="20"/>
        </w:rPr>
        <w:t>Path coefficient analysis to partition direct and indirect effects on seed yield.</w:t>
      </w:r>
      <w:proofErr w:type="gramEnd"/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 xml:space="preserve">Genetic divergence using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Mahalanobis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D² and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Tocher’s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clustering metho</w:t>
      </w:r>
      <w:r>
        <w:rPr>
          <w:rFonts w:ascii="Segoe UI" w:eastAsia="Times New Roman" w:hAnsi="Segoe UI" w:cs="Segoe UI"/>
          <w:sz w:val="20"/>
          <w:szCs w:val="20"/>
        </w:rPr>
        <w:t xml:space="preserve">d with estimation of inter-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and</w:t>
      </w:r>
      <w:r w:rsidRPr="00B6639B">
        <w:rPr>
          <w:rFonts w:ascii="Segoe UI" w:eastAsia="Times New Roman" w:hAnsi="Segoe UI" w:cs="Segoe UI"/>
          <w:sz w:val="20"/>
          <w:szCs w:val="20"/>
        </w:rPr>
        <w:t>intra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>-cluster distances and contribution of traits to divergence.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Stability analysis through: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Eberhart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and Russell model (mean, regression coefficient, deviation from regression).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B6639B">
        <w:rPr>
          <w:rFonts w:ascii="Segoe UI" w:eastAsia="Times New Roman" w:hAnsi="Segoe UI" w:cs="Segoe UI"/>
          <w:sz w:val="20"/>
          <w:szCs w:val="20"/>
        </w:rPr>
        <w:t xml:space="preserve">AMMI (Additive Main Effects and Multiplicative Interaction) model combining ANOVA and PCA, with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biplot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visualization and classification of genotypes by mean and interaction principal components.</w:t>
      </w:r>
      <w:proofErr w:type="gramEnd"/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 xml:space="preserve">GGE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biplot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analysis focusing on genotype and G×E interaction effects, enabling visualization of "which won where," mean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vs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stability, and environment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discriminativeness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>/representativeness.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t>Multi-Trait Stability Index (MTSI) using weighted absolute scores from singular value decomposition of BLUPs for overall stability across multiple traits.</w:t>
      </w:r>
    </w:p>
    <w:p w:rsidR="00B6639B" w:rsidRPr="00B6639B" w:rsidRDefault="00B6639B" w:rsidP="00B6639B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B6639B">
        <w:rPr>
          <w:rFonts w:ascii="Segoe UI" w:eastAsia="Times New Roman" w:hAnsi="Segoe UI" w:cs="Segoe UI"/>
          <w:sz w:val="20"/>
          <w:szCs w:val="20"/>
        </w:rPr>
        <w:lastRenderedPageBreak/>
        <w:t xml:space="preserve">This methodical approach combines classical and multivariate statistical tools to robustly measure genetic variability, divergence, and stability in yellow </w:t>
      </w:r>
      <w:proofErr w:type="spellStart"/>
      <w:r w:rsidRPr="00B6639B">
        <w:rPr>
          <w:rFonts w:ascii="Segoe UI" w:eastAsia="Times New Roman" w:hAnsi="Segoe UI" w:cs="Segoe UI"/>
          <w:sz w:val="20"/>
          <w:szCs w:val="20"/>
        </w:rPr>
        <w:t>sarson</w:t>
      </w:r>
      <w:proofErr w:type="spellEnd"/>
      <w:r w:rsidRPr="00B6639B">
        <w:rPr>
          <w:rFonts w:ascii="Segoe UI" w:eastAsia="Times New Roman" w:hAnsi="Segoe UI" w:cs="Segoe UI"/>
          <w:sz w:val="20"/>
          <w:szCs w:val="20"/>
        </w:rPr>
        <w:t xml:space="preserve"> genotypes across diverse environments.</w:t>
      </w:r>
    </w:p>
    <w:p w:rsidR="00864879" w:rsidRDefault="00864879" w:rsidP="00B6639B">
      <w:pPr>
        <w:spacing w:line="360" w:lineRule="auto"/>
      </w:pPr>
    </w:p>
    <w:sectPr w:rsidR="00864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37C9"/>
    <w:multiLevelType w:val="multilevel"/>
    <w:tmpl w:val="D846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A444EF"/>
    <w:multiLevelType w:val="multilevel"/>
    <w:tmpl w:val="ADF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E77E87"/>
    <w:multiLevelType w:val="multilevel"/>
    <w:tmpl w:val="5FC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ED385F"/>
    <w:multiLevelType w:val="multilevel"/>
    <w:tmpl w:val="9764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E32925"/>
    <w:multiLevelType w:val="multilevel"/>
    <w:tmpl w:val="34C8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6639B"/>
    <w:rsid w:val="00864879"/>
    <w:rsid w:val="00B6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6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3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y-0">
    <w:name w:val="my-0"/>
    <w:basedOn w:val="Normal"/>
    <w:rsid w:val="00B66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3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1788</Characters>
  <Application>Microsoft Office Word</Application>
  <DocSecurity>0</DocSecurity>
  <Lines>14</Lines>
  <Paragraphs>4</Paragraphs>
  <ScaleCrop>false</ScaleCrop>
  <Company>Grizli777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KNS-CCF</dc:creator>
  <cp:keywords/>
  <dc:description/>
  <cp:lastModifiedBy>KNS-CCF</cp:lastModifiedBy>
  <cp:revision>3</cp:revision>
  <dcterms:created xsi:type="dcterms:W3CDTF">2025-08-05T06:22:00Z</dcterms:created>
  <dcterms:modified xsi:type="dcterms:W3CDTF">2025-08-05T06:25:00Z</dcterms:modified>
</cp:coreProperties>
</file>