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06D" w:rsidRPr="0010706D" w:rsidRDefault="0010706D" w:rsidP="0010706D">
      <w:pP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sz w:val="36"/>
          <w:szCs w:val="36"/>
        </w:rPr>
      </w:pPr>
      <w:r w:rsidRPr="0010706D">
        <w:rPr>
          <w:rFonts w:ascii="fkGrotesk Fallback" w:eastAsia="Times New Roman" w:hAnsi="fkGrotesk Fallback" w:cs="Times New Roman"/>
          <w:b/>
          <w:bCs/>
          <w:sz w:val="36"/>
          <w:szCs w:val="36"/>
        </w:rPr>
        <w:t>Concise Summary of Literature</w:t>
      </w:r>
    </w:p>
    <w:p w:rsidR="0010706D" w:rsidRPr="0010706D" w:rsidRDefault="0010706D" w:rsidP="0010706D">
      <w:pP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sz w:val="36"/>
          <w:szCs w:val="36"/>
        </w:rPr>
      </w:pPr>
      <w:r w:rsidRPr="0010706D">
        <w:rPr>
          <w:rFonts w:ascii="fkGrotesk Fallback" w:eastAsia="Times New Roman" w:hAnsi="fkGrotesk Fallback" w:cs="Times New Roman"/>
          <w:b/>
          <w:bCs/>
          <w:sz w:val="36"/>
          <w:szCs w:val="36"/>
        </w:rPr>
        <w:t>Study Material and Scope</w:t>
      </w:r>
    </w:p>
    <w:p w:rsidR="0010706D" w:rsidRPr="0010706D" w:rsidRDefault="0010706D" w:rsidP="0010706D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10706D">
        <w:rPr>
          <w:rFonts w:ascii="Segoe UI" w:eastAsia="Times New Roman" w:hAnsi="Segoe UI" w:cs="Segoe UI"/>
          <w:sz w:val="20"/>
          <w:szCs w:val="20"/>
        </w:rPr>
        <w:t xml:space="preserve">Analysis of </w:t>
      </w:r>
      <w:r>
        <w:rPr>
          <w:rFonts w:ascii="Segoe UI" w:eastAsia="Times New Roman" w:hAnsi="Segoe UI" w:cs="Segoe UI"/>
          <w:sz w:val="20"/>
          <w:szCs w:val="20"/>
        </w:rPr>
        <w:t>38 to 41</w:t>
      </w:r>
      <w:r w:rsidRPr="0010706D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10706D">
        <w:rPr>
          <w:rFonts w:ascii="Segoe UI" w:eastAsia="Times New Roman" w:hAnsi="Segoe UI" w:cs="Segoe UI"/>
          <w:sz w:val="20"/>
          <w:szCs w:val="20"/>
        </w:rPr>
        <w:t>Brassica</w:t>
      </w:r>
      <w:proofErr w:type="spellEnd"/>
      <w:r w:rsidRPr="0010706D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proofErr w:type="gramStart"/>
      <w:r w:rsidRPr="0010706D">
        <w:rPr>
          <w:rFonts w:ascii="Segoe UI" w:eastAsia="Times New Roman" w:hAnsi="Segoe UI" w:cs="Segoe UI"/>
          <w:sz w:val="20"/>
          <w:szCs w:val="20"/>
        </w:rPr>
        <w:t>rapa</w:t>
      </w:r>
      <w:proofErr w:type="spellEnd"/>
      <w:proofErr w:type="gramEnd"/>
      <w:r w:rsidRPr="0010706D">
        <w:rPr>
          <w:rFonts w:ascii="Segoe UI" w:eastAsia="Times New Roman" w:hAnsi="Segoe UI" w:cs="Segoe UI"/>
          <w:sz w:val="20"/>
          <w:szCs w:val="20"/>
        </w:rPr>
        <w:t xml:space="preserve"> var. yellow </w:t>
      </w:r>
      <w:proofErr w:type="spellStart"/>
      <w:r w:rsidRPr="0010706D">
        <w:rPr>
          <w:rFonts w:ascii="Segoe UI" w:eastAsia="Times New Roman" w:hAnsi="Segoe UI" w:cs="Segoe UI"/>
          <w:sz w:val="20"/>
          <w:szCs w:val="20"/>
        </w:rPr>
        <w:t>sarson</w:t>
      </w:r>
      <w:proofErr w:type="spellEnd"/>
      <w:r w:rsidRPr="0010706D">
        <w:rPr>
          <w:rFonts w:ascii="Segoe UI" w:eastAsia="Times New Roman" w:hAnsi="Segoe UI" w:cs="Segoe UI"/>
          <w:sz w:val="20"/>
          <w:szCs w:val="20"/>
        </w:rPr>
        <w:t xml:space="preserve"> accessions.</w:t>
      </w:r>
    </w:p>
    <w:p w:rsidR="0010706D" w:rsidRPr="0010706D" w:rsidRDefault="0010706D" w:rsidP="0010706D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10706D">
        <w:rPr>
          <w:rFonts w:ascii="Segoe UI" w:eastAsia="Times New Roman" w:hAnsi="Segoe UI" w:cs="Segoe UI"/>
          <w:sz w:val="20"/>
          <w:szCs w:val="20"/>
        </w:rPr>
        <w:t>Eleven yield and related traits studied across three environments.</w:t>
      </w:r>
    </w:p>
    <w:p w:rsidR="0010706D" w:rsidRPr="0010706D" w:rsidRDefault="0010706D" w:rsidP="0010706D">
      <w:pP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sz w:val="36"/>
          <w:szCs w:val="36"/>
        </w:rPr>
      </w:pPr>
      <w:r w:rsidRPr="0010706D">
        <w:rPr>
          <w:rFonts w:ascii="fkGrotesk Fallback" w:eastAsia="Times New Roman" w:hAnsi="fkGrotesk Fallback" w:cs="Times New Roman"/>
          <w:b/>
          <w:bCs/>
          <w:sz w:val="36"/>
          <w:szCs w:val="36"/>
        </w:rPr>
        <w:t>Determination of Selection Parameters</w:t>
      </w:r>
    </w:p>
    <w:p w:rsidR="0010706D" w:rsidRPr="0010706D" w:rsidRDefault="0010706D" w:rsidP="0010706D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10706D">
        <w:rPr>
          <w:rFonts w:ascii="Segoe UI" w:eastAsia="Times New Roman" w:hAnsi="Segoe UI" w:cs="Segoe UI"/>
          <w:b/>
          <w:bCs/>
          <w:sz w:val="20"/>
        </w:rPr>
        <w:t>Genetic Variability:</w:t>
      </w:r>
      <w:r w:rsidRPr="0010706D">
        <w:rPr>
          <w:rFonts w:ascii="Segoe UI" w:eastAsia="Times New Roman" w:hAnsi="Segoe UI" w:cs="Segoe UI"/>
          <w:sz w:val="20"/>
          <w:szCs w:val="20"/>
        </w:rPr>
        <w:t xml:space="preserve"> Significant variability exists among </w:t>
      </w:r>
      <w:proofErr w:type="spellStart"/>
      <w:r w:rsidRPr="0010706D">
        <w:rPr>
          <w:rFonts w:ascii="Segoe UI" w:eastAsia="Times New Roman" w:hAnsi="Segoe UI" w:cs="Segoe UI"/>
          <w:sz w:val="20"/>
          <w:szCs w:val="20"/>
        </w:rPr>
        <w:t>Brassica</w:t>
      </w:r>
      <w:proofErr w:type="spellEnd"/>
      <w:r w:rsidRPr="0010706D">
        <w:rPr>
          <w:rFonts w:ascii="Segoe UI" w:eastAsia="Times New Roman" w:hAnsi="Segoe UI" w:cs="Segoe UI"/>
          <w:sz w:val="20"/>
          <w:szCs w:val="20"/>
        </w:rPr>
        <w:t xml:space="preserve"> genotypes for yield traits like number of branches, </w:t>
      </w:r>
      <w:proofErr w:type="spellStart"/>
      <w:r w:rsidRPr="0010706D">
        <w:rPr>
          <w:rFonts w:ascii="Segoe UI" w:eastAsia="Times New Roman" w:hAnsi="Segoe UI" w:cs="Segoe UI"/>
          <w:sz w:val="20"/>
          <w:szCs w:val="20"/>
        </w:rPr>
        <w:t>siliquae</w:t>
      </w:r>
      <w:proofErr w:type="spellEnd"/>
      <w:r w:rsidRPr="0010706D">
        <w:rPr>
          <w:rFonts w:ascii="Segoe UI" w:eastAsia="Times New Roman" w:hAnsi="Segoe UI" w:cs="Segoe UI"/>
          <w:sz w:val="20"/>
          <w:szCs w:val="20"/>
        </w:rPr>
        <w:t xml:space="preserve"> per plant, seed yield, 1000-seed weight, etc., supported by high phenotypic and genotypic coefficients of variation (PCV, GCV) across many studies.</w:t>
      </w:r>
    </w:p>
    <w:p w:rsidR="0010706D" w:rsidRDefault="0010706D" w:rsidP="0010706D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10706D">
        <w:rPr>
          <w:rFonts w:ascii="Segoe UI" w:eastAsia="Times New Roman" w:hAnsi="Segoe UI" w:cs="Segoe UI"/>
          <w:b/>
          <w:bCs/>
          <w:sz w:val="20"/>
        </w:rPr>
        <w:t>Heritability and Genetic Advance:</w:t>
      </w:r>
      <w:r w:rsidRPr="0010706D">
        <w:rPr>
          <w:rFonts w:ascii="Segoe UI" w:eastAsia="Times New Roman" w:hAnsi="Segoe UI" w:cs="Segoe UI"/>
          <w:sz w:val="20"/>
          <w:szCs w:val="20"/>
        </w:rPr>
        <w:t xml:space="preserve"> Many traits demonstrate high heritability combined with high genetic advance, indicating additive gene effects and effectiveness of selection for traits such as seed yield, </w:t>
      </w:r>
      <w:proofErr w:type="spellStart"/>
      <w:r w:rsidRPr="0010706D">
        <w:rPr>
          <w:rFonts w:ascii="Segoe UI" w:eastAsia="Times New Roman" w:hAnsi="Segoe UI" w:cs="Segoe UI"/>
          <w:sz w:val="20"/>
          <w:szCs w:val="20"/>
        </w:rPr>
        <w:t>siliquae</w:t>
      </w:r>
      <w:proofErr w:type="spellEnd"/>
      <w:r w:rsidRPr="0010706D">
        <w:rPr>
          <w:rFonts w:ascii="Segoe UI" w:eastAsia="Times New Roman" w:hAnsi="Segoe UI" w:cs="Segoe UI"/>
          <w:sz w:val="20"/>
          <w:szCs w:val="20"/>
        </w:rPr>
        <w:t xml:space="preserve"> per plant, secondary branches, and 1000-seed weight.</w:t>
      </w:r>
    </w:p>
    <w:p w:rsidR="0010706D" w:rsidRDefault="0010706D" w:rsidP="0010706D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10706D" w:rsidRPr="0010706D" w:rsidRDefault="0010706D" w:rsidP="0010706D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10706D">
        <w:rPr>
          <w:rFonts w:ascii="fkGrotesk Fallback" w:eastAsia="Times New Roman" w:hAnsi="fkGrotesk Fallback" w:cs="Times New Roman"/>
          <w:b/>
          <w:bCs/>
          <w:sz w:val="36"/>
          <w:szCs w:val="36"/>
        </w:rPr>
        <w:t>Correlation Studies</w:t>
      </w:r>
    </w:p>
    <w:p w:rsidR="0010706D" w:rsidRPr="0010706D" w:rsidRDefault="0010706D" w:rsidP="0010706D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10706D">
        <w:rPr>
          <w:rFonts w:ascii="Segoe UI" w:eastAsia="Times New Roman" w:hAnsi="Segoe UI" w:cs="Segoe UI"/>
          <w:sz w:val="20"/>
          <w:szCs w:val="20"/>
        </w:rPr>
        <w:t xml:space="preserve">Seed yield positively correlates with traits like primary and secondary branches, </w:t>
      </w:r>
      <w:proofErr w:type="spellStart"/>
      <w:r w:rsidRPr="0010706D">
        <w:rPr>
          <w:rFonts w:ascii="Segoe UI" w:eastAsia="Times New Roman" w:hAnsi="Segoe UI" w:cs="Segoe UI"/>
          <w:sz w:val="20"/>
          <w:szCs w:val="20"/>
        </w:rPr>
        <w:t>siliquae</w:t>
      </w:r>
      <w:proofErr w:type="spellEnd"/>
      <w:r w:rsidRPr="0010706D">
        <w:rPr>
          <w:rFonts w:ascii="Segoe UI" w:eastAsia="Times New Roman" w:hAnsi="Segoe UI" w:cs="Segoe UI"/>
          <w:sz w:val="20"/>
          <w:szCs w:val="20"/>
        </w:rPr>
        <w:t xml:space="preserve"> per plant, seeds per </w:t>
      </w:r>
      <w:proofErr w:type="spellStart"/>
      <w:r w:rsidRPr="0010706D">
        <w:rPr>
          <w:rFonts w:ascii="Segoe UI" w:eastAsia="Times New Roman" w:hAnsi="Segoe UI" w:cs="Segoe UI"/>
          <w:sz w:val="20"/>
          <w:szCs w:val="20"/>
        </w:rPr>
        <w:t>siliqua</w:t>
      </w:r>
      <w:proofErr w:type="spellEnd"/>
      <w:r w:rsidRPr="0010706D">
        <w:rPr>
          <w:rFonts w:ascii="Segoe UI" w:eastAsia="Times New Roman" w:hAnsi="Segoe UI" w:cs="Segoe UI"/>
          <w:sz w:val="20"/>
          <w:szCs w:val="20"/>
        </w:rPr>
        <w:t>, plant height, and harvest index.</w:t>
      </w:r>
    </w:p>
    <w:p w:rsidR="0010706D" w:rsidRPr="0010706D" w:rsidRDefault="0010706D" w:rsidP="0010706D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10706D">
        <w:rPr>
          <w:rFonts w:ascii="Segoe UI" w:eastAsia="Times New Roman" w:hAnsi="Segoe UI" w:cs="Segoe UI"/>
          <w:sz w:val="20"/>
          <w:szCs w:val="20"/>
        </w:rPr>
        <w:t>Negative or no correlation was found between some traits like seed yield and 1000-seed weight in certain studies.</w:t>
      </w:r>
    </w:p>
    <w:p w:rsidR="0010706D" w:rsidRPr="0010706D" w:rsidRDefault="0010706D" w:rsidP="0010706D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10706D">
        <w:rPr>
          <w:rFonts w:ascii="Segoe UI" w:eastAsia="Times New Roman" w:hAnsi="Segoe UI" w:cs="Segoe UI"/>
          <w:sz w:val="20"/>
          <w:szCs w:val="20"/>
        </w:rPr>
        <w:t>Correlation analysis helps indirect selection and identifies traits with the highest influence on yield.</w:t>
      </w:r>
    </w:p>
    <w:p w:rsidR="0010706D" w:rsidRPr="0010706D" w:rsidRDefault="0010706D" w:rsidP="0010706D">
      <w:pP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sz w:val="36"/>
          <w:szCs w:val="36"/>
        </w:rPr>
      </w:pPr>
      <w:r w:rsidRPr="0010706D">
        <w:rPr>
          <w:rFonts w:ascii="fkGrotesk Fallback" w:eastAsia="Times New Roman" w:hAnsi="fkGrotesk Fallback" w:cs="Times New Roman"/>
          <w:b/>
          <w:bCs/>
          <w:sz w:val="36"/>
          <w:szCs w:val="36"/>
        </w:rPr>
        <w:t>Path Coefficient Analysis</w:t>
      </w:r>
    </w:p>
    <w:p w:rsidR="0010706D" w:rsidRPr="0010706D" w:rsidRDefault="0010706D" w:rsidP="0010706D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10706D">
        <w:rPr>
          <w:rFonts w:ascii="Segoe UI" w:eastAsia="Times New Roman" w:hAnsi="Segoe UI" w:cs="Segoe UI"/>
          <w:sz w:val="20"/>
          <w:szCs w:val="20"/>
        </w:rPr>
        <w:t>This analysis decomposes correlations into </w:t>
      </w:r>
      <w:r w:rsidRPr="0010706D">
        <w:rPr>
          <w:rFonts w:ascii="Segoe UI" w:eastAsia="Times New Roman" w:hAnsi="Segoe UI" w:cs="Segoe UI"/>
          <w:bCs/>
          <w:sz w:val="20"/>
        </w:rPr>
        <w:t>direct</w:t>
      </w:r>
      <w:r w:rsidRPr="0010706D">
        <w:rPr>
          <w:rFonts w:ascii="Segoe UI" w:eastAsia="Times New Roman" w:hAnsi="Segoe UI" w:cs="Segoe UI"/>
          <w:sz w:val="20"/>
          <w:szCs w:val="20"/>
        </w:rPr>
        <w:t> and </w:t>
      </w:r>
      <w:r w:rsidRPr="0010706D">
        <w:rPr>
          <w:rFonts w:ascii="Segoe UI" w:eastAsia="Times New Roman" w:hAnsi="Segoe UI" w:cs="Segoe UI"/>
          <w:bCs/>
          <w:sz w:val="20"/>
        </w:rPr>
        <w:t>indirect effects</w:t>
      </w:r>
      <w:r w:rsidRPr="0010706D">
        <w:rPr>
          <w:rFonts w:ascii="Segoe UI" w:eastAsia="Times New Roman" w:hAnsi="Segoe UI" w:cs="Segoe UI"/>
          <w:sz w:val="20"/>
          <w:szCs w:val="20"/>
        </w:rPr>
        <w:t> on seed yield.</w:t>
      </w:r>
    </w:p>
    <w:p w:rsidR="0010706D" w:rsidRPr="0010706D" w:rsidRDefault="0010706D" w:rsidP="0010706D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10706D">
        <w:rPr>
          <w:rFonts w:ascii="Segoe UI" w:eastAsia="Times New Roman" w:hAnsi="Segoe UI" w:cs="Segoe UI"/>
          <w:sz w:val="20"/>
          <w:szCs w:val="20"/>
        </w:rPr>
        <w:t xml:space="preserve">Traits like number of </w:t>
      </w:r>
      <w:proofErr w:type="spellStart"/>
      <w:r w:rsidRPr="0010706D">
        <w:rPr>
          <w:rFonts w:ascii="Segoe UI" w:eastAsia="Times New Roman" w:hAnsi="Segoe UI" w:cs="Segoe UI"/>
          <w:sz w:val="20"/>
          <w:szCs w:val="20"/>
        </w:rPr>
        <w:t>siliquae</w:t>
      </w:r>
      <w:proofErr w:type="spellEnd"/>
      <w:r w:rsidRPr="0010706D">
        <w:rPr>
          <w:rFonts w:ascii="Segoe UI" w:eastAsia="Times New Roman" w:hAnsi="Segoe UI" w:cs="Segoe UI"/>
          <w:sz w:val="20"/>
          <w:szCs w:val="20"/>
        </w:rPr>
        <w:t xml:space="preserve"> per plant, 1000-seed weight, plant height, and branches have significant direct positive effects on seed yield and are recommended for selection.</w:t>
      </w:r>
    </w:p>
    <w:p w:rsidR="0010706D" w:rsidRPr="0010706D" w:rsidRDefault="0010706D" w:rsidP="0010706D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10706D">
        <w:rPr>
          <w:rFonts w:ascii="Segoe UI" w:eastAsia="Times New Roman" w:hAnsi="Segoe UI" w:cs="Segoe UI"/>
          <w:sz w:val="20"/>
          <w:szCs w:val="20"/>
        </w:rPr>
        <w:t>Some traits may have negative direct effects but positive indirect associations.</w:t>
      </w:r>
    </w:p>
    <w:p w:rsidR="0010706D" w:rsidRPr="0010706D" w:rsidRDefault="0010706D" w:rsidP="0010706D">
      <w:pP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sz w:val="36"/>
          <w:szCs w:val="36"/>
        </w:rPr>
      </w:pPr>
      <w:r w:rsidRPr="0010706D">
        <w:rPr>
          <w:rFonts w:ascii="fkGrotesk Fallback" w:eastAsia="Times New Roman" w:hAnsi="fkGrotesk Fallback" w:cs="Times New Roman"/>
          <w:b/>
          <w:bCs/>
          <w:sz w:val="36"/>
          <w:szCs w:val="36"/>
        </w:rPr>
        <w:t xml:space="preserve">Genetic Divergence Using </w:t>
      </w:r>
      <w:proofErr w:type="spellStart"/>
      <w:r w:rsidRPr="0010706D">
        <w:rPr>
          <w:rFonts w:ascii="fkGrotesk Fallback" w:eastAsia="Times New Roman" w:hAnsi="fkGrotesk Fallback" w:cs="Times New Roman"/>
          <w:b/>
          <w:bCs/>
          <w:sz w:val="36"/>
          <w:szCs w:val="36"/>
        </w:rPr>
        <w:t>Mahalanobis</w:t>
      </w:r>
      <w:proofErr w:type="spellEnd"/>
      <w:r w:rsidRPr="0010706D">
        <w:rPr>
          <w:rFonts w:ascii="fkGrotesk Fallback" w:eastAsia="Times New Roman" w:hAnsi="fkGrotesk Fallback" w:cs="Times New Roman"/>
          <w:b/>
          <w:bCs/>
          <w:sz w:val="36"/>
          <w:szCs w:val="36"/>
        </w:rPr>
        <w:t xml:space="preserve"> D²</w:t>
      </w:r>
    </w:p>
    <w:p w:rsidR="0010706D" w:rsidRPr="0010706D" w:rsidRDefault="0010706D" w:rsidP="0010706D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proofErr w:type="spellStart"/>
      <w:r w:rsidRPr="0010706D">
        <w:rPr>
          <w:rFonts w:ascii="Segoe UI" w:eastAsia="Times New Roman" w:hAnsi="Segoe UI" w:cs="Segoe UI"/>
          <w:sz w:val="20"/>
          <w:szCs w:val="20"/>
        </w:rPr>
        <w:t>Mahalanobis</w:t>
      </w:r>
      <w:proofErr w:type="spellEnd"/>
      <w:r w:rsidRPr="0010706D">
        <w:rPr>
          <w:rFonts w:ascii="Segoe UI" w:eastAsia="Times New Roman" w:hAnsi="Segoe UI" w:cs="Segoe UI"/>
          <w:sz w:val="20"/>
          <w:szCs w:val="20"/>
        </w:rPr>
        <w:t xml:space="preserve"> D² statistics classify genotypes into clusters based on genetic distance.</w:t>
      </w:r>
    </w:p>
    <w:p w:rsidR="0010706D" w:rsidRPr="0010706D" w:rsidRDefault="0010706D" w:rsidP="0010706D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10706D">
        <w:rPr>
          <w:rFonts w:ascii="Segoe UI" w:eastAsia="Times New Roman" w:hAnsi="Segoe UI" w:cs="Segoe UI"/>
          <w:sz w:val="20"/>
          <w:szCs w:val="20"/>
        </w:rPr>
        <w:t>Geographical origin is often not correlated with genetic divergence.</w:t>
      </w:r>
    </w:p>
    <w:p w:rsidR="0010706D" w:rsidRPr="0010706D" w:rsidRDefault="0010706D" w:rsidP="0010706D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10706D">
        <w:rPr>
          <w:rFonts w:ascii="Segoe UI" w:eastAsia="Times New Roman" w:hAnsi="Segoe UI" w:cs="Segoe UI"/>
          <w:sz w:val="20"/>
          <w:szCs w:val="20"/>
        </w:rPr>
        <w:t xml:space="preserve">Genetic divergence helps select genetically diverse parents, enhancing </w:t>
      </w:r>
      <w:proofErr w:type="spellStart"/>
      <w:r w:rsidRPr="0010706D">
        <w:rPr>
          <w:rFonts w:ascii="Segoe UI" w:eastAsia="Times New Roman" w:hAnsi="Segoe UI" w:cs="Segoe UI"/>
          <w:sz w:val="20"/>
          <w:szCs w:val="20"/>
        </w:rPr>
        <w:t>heterosis</w:t>
      </w:r>
      <w:proofErr w:type="spellEnd"/>
      <w:r w:rsidRPr="0010706D">
        <w:rPr>
          <w:rFonts w:ascii="Segoe UI" w:eastAsia="Times New Roman" w:hAnsi="Segoe UI" w:cs="Segoe UI"/>
          <w:sz w:val="20"/>
          <w:szCs w:val="20"/>
        </w:rPr>
        <w:t xml:space="preserve"> in breeding programs.</w:t>
      </w:r>
    </w:p>
    <w:p w:rsidR="0010706D" w:rsidRDefault="0010706D" w:rsidP="0010706D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10706D">
        <w:rPr>
          <w:rFonts w:ascii="Segoe UI" w:eastAsia="Times New Roman" w:hAnsi="Segoe UI" w:cs="Segoe UI"/>
          <w:sz w:val="20"/>
          <w:szCs w:val="20"/>
        </w:rPr>
        <w:t xml:space="preserve">Contributing traits to divergence include days to flowering, plant height, </w:t>
      </w:r>
      <w:proofErr w:type="spellStart"/>
      <w:proofErr w:type="gramStart"/>
      <w:r w:rsidRPr="0010706D">
        <w:rPr>
          <w:rFonts w:ascii="Segoe UI" w:eastAsia="Times New Roman" w:hAnsi="Segoe UI" w:cs="Segoe UI"/>
          <w:sz w:val="20"/>
          <w:szCs w:val="20"/>
        </w:rPr>
        <w:t>siliquae</w:t>
      </w:r>
      <w:proofErr w:type="spellEnd"/>
      <w:proofErr w:type="gramEnd"/>
      <w:r w:rsidRPr="0010706D">
        <w:rPr>
          <w:rFonts w:ascii="Segoe UI" w:eastAsia="Times New Roman" w:hAnsi="Segoe UI" w:cs="Segoe UI"/>
          <w:sz w:val="20"/>
          <w:szCs w:val="20"/>
        </w:rPr>
        <w:t xml:space="preserve"> per plant, seed weight, and protein content.</w:t>
      </w:r>
    </w:p>
    <w:p w:rsidR="0010706D" w:rsidRPr="0010706D" w:rsidRDefault="0010706D" w:rsidP="0010706D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10706D">
        <w:rPr>
          <w:rFonts w:ascii="fkGrotesk Fallback" w:eastAsia="Times New Roman" w:hAnsi="fkGrotesk Fallback" w:cs="Times New Roman"/>
          <w:b/>
          <w:bCs/>
          <w:sz w:val="36"/>
          <w:szCs w:val="36"/>
        </w:rPr>
        <w:t>Stability Analysis</w:t>
      </w:r>
    </w:p>
    <w:p w:rsidR="0010706D" w:rsidRPr="0010706D" w:rsidRDefault="0010706D" w:rsidP="0010706D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10706D">
        <w:rPr>
          <w:rFonts w:ascii="Segoe UI" w:eastAsia="Times New Roman" w:hAnsi="Segoe UI" w:cs="Segoe UI"/>
          <w:sz w:val="20"/>
          <w:szCs w:val="20"/>
        </w:rPr>
        <w:t>Genotype × Environment (G×E) interactions significantly affect trait expression.</w:t>
      </w:r>
    </w:p>
    <w:p w:rsidR="0010706D" w:rsidRPr="0010706D" w:rsidRDefault="0010706D" w:rsidP="0010706D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10706D">
        <w:rPr>
          <w:rFonts w:ascii="Segoe UI" w:eastAsia="Times New Roman" w:hAnsi="Segoe UI" w:cs="Segoe UI"/>
          <w:sz w:val="20"/>
          <w:szCs w:val="20"/>
        </w:rPr>
        <w:t>Various statistical models evaluate stability:</w:t>
      </w:r>
    </w:p>
    <w:p w:rsidR="0010706D" w:rsidRPr="0010706D" w:rsidRDefault="0010706D" w:rsidP="0010706D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proofErr w:type="spellStart"/>
      <w:r w:rsidRPr="0010706D">
        <w:rPr>
          <w:rFonts w:ascii="Segoe UI" w:eastAsia="Times New Roman" w:hAnsi="Segoe UI" w:cs="Segoe UI"/>
          <w:b/>
          <w:bCs/>
          <w:sz w:val="20"/>
        </w:rPr>
        <w:t>Eberhart</w:t>
      </w:r>
      <w:proofErr w:type="spellEnd"/>
      <w:r w:rsidRPr="0010706D">
        <w:rPr>
          <w:rFonts w:ascii="Segoe UI" w:eastAsia="Times New Roman" w:hAnsi="Segoe UI" w:cs="Segoe UI"/>
          <w:b/>
          <w:bCs/>
          <w:sz w:val="20"/>
        </w:rPr>
        <w:t xml:space="preserve"> and Russell’s model</w:t>
      </w:r>
      <w:r w:rsidRPr="0010706D">
        <w:rPr>
          <w:rFonts w:ascii="Segoe UI" w:eastAsia="Times New Roman" w:hAnsi="Segoe UI" w:cs="Segoe UI"/>
          <w:sz w:val="20"/>
          <w:szCs w:val="20"/>
        </w:rPr>
        <w:t>: Uses regression parameters to assess stability.</w:t>
      </w:r>
    </w:p>
    <w:p w:rsidR="0010706D" w:rsidRPr="0010706D" w:rsidRDefault="0010706D" w:rsidP="0010706D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10706D">
        <w:rPr>
          <w:rFonts w:ascii="Segoe UI" w:eastAsia="Times New Roman" w:hAnsi="Segoe UI" w:cs="Segoe UI"/>
          <w:b/>
          <w:bCs/>
          <w:sz w:val="20"/>
        </w:rPr>
        <w:t>AMMI (Additive Main Effects and Multiplicative Interaction) analysis</w:t>
      </w:r>
      <w:r w:rsidRPr="0010706D">
        <w:rPr>
          <w:rFonts w:ascii="Segoe UI" w:eastAsia="Times New Roman" w:hAnsi="Segoe UI" w:cs="Segoe UI"/>
          <w:sz w:val="20"/>
          <w:szCs w:val="20"/>
        </w:rPr>
        <w:t>: Separates genotype, environment, and interaction effects.</w:t>
      </w:r>
    </w:p>
    <w:p w:rsidR="0010706D" w:rsidRPr="0010706D" w:rsidRDefault="0010706D" w:rsidP="0010706D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10706D">
        <w:rPr>
          <w:rFonts w:ascii="Segoe UI" w:eastAsia="Times New Roman" w:hAnsi="Segoe UI" w:cs="Segoe UI"/>
          <w:b/>
          <w:bCs/>
          <w:sz w:val="20"/>
        </w:rPr>
        <w:t xml:space="preserve">GGE </w:t>
      </w:r>
      <w:proofErr w:type="spellStart"/>
      <w:r w:rsidRPr="0010706D">
        <w:rPr>
          <w:rFonts w:ascii="Segoe UI" w:eastAsia="Times New Roman" w:hAnsi="Segoe UI" w:cs="Segoe UI"/>
          <w:b/>
          <w:bCs/>
          <w:sz w:val="20"/>
        </w:rPr>
        <w:t>biplot</w:t>
      </w:r>
      <w:proofErr w:type="spellEnd"/>
      <w:r w:rsidRPr="0010706D">
        <w:rPr>
          <w:rFonts w:ascii="Segoe UI" w:eastAsia="Times New Roman" w:hAnsi="Segoe UI" w:cs="Segoe UI"/>
          <w:b/>
          <w:bCs/>
          <w:sz w:val="20"/>
        </w:rPr>
        <w:t xml:space="preserve"> analysis</w:t>
      </w:r>
      <w:r w:rsidRPr="0010706D">
        <w:rPr>
          <w:rFonts w:ascii="Segoe UI" w:eastAsia="Times New Roman" w:hAnsi="Segoe UI" w:cs="Segoe UI"/>
          <w:sz w:val="20"/>
          <w:szCs w:val="20"/>
        </w:rPr>
        <w:t>: Visualizes genotype-environment patterns and identifies ideal genotypes.</w:t>
      </w:r>
    </w:p>
    <w:p w:rsidR="0010706D" w:rsidRPr="0010706D" w:rsidRDefault="0010706D" w:rsidP="0010706D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10706D">
        <w:rPr>
          <w:rFonts w:ascii="Segoe UI" w:eastAsia="Times New Roman" w:hAnsi="Segoe UI" w:cs="Segoe UI"/>
          <w:b/>
          <w:bCs/>
          <w:sz w:val="20"/>
        </w:rPr>
        <w:lastRenderedPageBreak/>
        <w:t>Multi-Trait Stability Index (MTSI)</w:t>
      </w:r>
      <w:r w:rsidRPr="0010706D">
        <w:rPr>
          <w:rFonts w:ascii="Segoe UI" w:eastAsia="Times New Roman" w:hAnsi="Segoe UI" w:cs="Segoe UI"/>
          <w:sz w:val="20"/>
          <w:szCs w:val="20"/>
        </w:rPr>
        <w:t>: Combines stability and mean performance across multiple traits, identifying superior genotypes more realistically.</w:t>
      </w:r>
    </w:p>
    <w:p w:rsidR="0010706D" w:rsidRPr="0010706D" w:rsidRDefault="0010706D" w:rsidP="0010706D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10706D">
        <w:rPr>
          <w:rFonts w:ascii="Segoe UI" w:eastAsia="Times New Roman" w:hAnsi="Segoe UI" w:cs="Segoe UI"/>
          <w:sz w:val="20"/>
          <w:szCs w:val="20"/>
        </w:rPr>
        <w:t>Stability studies recommend genotypes with consistent high yield across environments for breeding.</w:t>
      </w:r>
    </w:p>
    <w:p w:rsidR="0010706D" w:rsidRPr="0010706D" w:rsidRDefault="0010706D" w:rsidP="0010706D">
      <w:pP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sz w:val="36"/>
          <w:szCs w:val="36"/>
        </w:rPr>
      </w:pPr>
      <w:r w:rsidRPr="0010706D">
        <w:rPr>
          <w:rFonts w:ascii="fkGrotesk Fallback" w:eastAsia="Times New Roman" w:hAnsi="fkGrotesk Fallback" w:cs="Times New Roman"/>
          <w:b/>
          <w:bCs/>
          <w:sz w:val="36"/>
          <w:szCs w:val="36"/>
        </w:rPr>
        <w:t>Overall Implications</w:t>
      </w:r>
    </w:p>
    <w:p w:rsidR="0010706D" w:rsidRPr="0010706D" w:rsidRDefault="0010706D" w:rsidP="0010706D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10706D">
        <w:rPr>
          <w:rFonts w:ascii="Segoe UI" w:eastAsia="Times New Roman" w:hAnsi="Segoe UI" w:cs="Segoe UI"/>
          <w:sz w:val="20"/>
          <w:szCs w:val="20"/>
        </w:rPr>
        <w:t>The literature emphasizes the importance of </w:t>
      </w:r>
      <w:r w:rsidRPr="0010706D">
        <w:rPr>
          <w:rFonts w:ascii="Segoe UI" w:eastAsia="Times New Roman" w:hAnsi="Segoe UI" w:cs="Segoe UI"/>
          <w:b/>
          <w:bCs/>
          <w:sz w:val="20"/>
        </w:rPr>
        <w:t>genetic variability</w:t>
      </w:r>
      <w:r w:rsidRPr="0010706D">
        <w:rPr>
          <w:rFonts w:ascii="Segoe UI" w:eastAsia="Times New Roman" w:hAnsi="Segoe UI" w:cs="Segoe UI"/>
          <w:sz w:val="20"/>
          <w:szCs w:val="20"/>
        </w:rPr>
        <w:t>, robust </w:t>
      </w:r>
      <w:r w:rsidRPr="0010706D">
        <w:rPr>
          <w:rFonts w:ascii="Segoe UI" w:eastAsia="Times New Roman" w:hAnsi="Segoe UI" w:cs="Segoe UI"/>
          <w:b/>
          <w:bCs/>
          <w:sz w:val="20"/>
        </w:rPr>
        <w:t>correlation and path analyses</w:t>
      </w:r>
      <w:r w:rsidRPr="0010706D">
        <w:rPr>
          <w:rFonts w:ascii="Segoe UI" w:eastAsia="Times New Roman" w:hAnsi="Segoe UI" w:cs="Segoe UI"/>
          <w:sz w:val="20"/>
          <w:szCs w:val="20"/>
        </w:rPr>
        <w:t>, and </w:t>
      </w:r>
      <w:r w:rsidRPr="0010706D">
        <w:rPr>
          <w:rFonts w:ascii="Segoe UI" w:eastAsia="Times New Roman" w:hAnsi="Segoe UI" w:cs="Segoe UI"/>
          <w:b/>
          <w:bCs/>
          <w:sz w:val="20"/>
        </w:rPr>
        <w:t>advanced stability modeling</w:t>
      </w:r>
      <w:r w:rsidRPr="0010706D">
        <w:rPr>
          <w:rFonts w:ascii="Segoe UI" w:eastAsia="Times New Roman" w:hAnsi="Segoe UI" w:cs="Segoe UI"/>
          <w:sz w:val="20"/>
          <w:szCs w:val="20"/>
        </w:rPr>
        <w:t xml:space="preserve"> for effective breeding of </w:t>
      </w:r>
      <w:proofErr w:type="spellStart"/>
      <w:r w:rsidRPr="0010706D">
        <w:rPr>
          <w:rFonts w:ascii="Segoe UI" w:eastAsia="Times New Roman" w:hAnsi="Segoe UI" w:cs="Segoe UI"/>
          <w:sz w:val="20"/>
          <w:szCs w:val="20"/>
        </w:rPr>
        <w:t>Brassica</w:t>
      </w:r>
      <w:proofErr w:type="spellEnd"/>
      <w:r w:rsidRPr="0010706D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proofErr w:type="gramStart"/>
      <w:r w:rsidRPr="0010706D">
        <w:rPr>
          <w:rFonts w:ascii="Segoe UI" w:eastAsia="Times New Roman" w:hAnsi="Segoe UI" w:cs="Segoe UI"/>
          <w:sz w:val="20"/>
          <w:szCs w:val="20"/>
        </w:rPr>
        <w:t>rapa</w:t>
      </w:r>
      <w:proofErr w:type="spellEnd"/>
      <w:proofErr w:type="gramEnd"/>
      <w:r w:rsidRPr="0010706D">
        <w:rPr>
          <w:rFonts w:ascii="Segoe UI" w:eastAsia="Times New Roman" w:hAnsi="Segoe UI" w:cs="Segoe UI"/>
          <w:sz w:val="20"/>
          <w:szCs w:val="20"/>
        </w:rPr>
        <w:t xml:space="preserve"> var. yellow </w:t>
      </w:r>
      <w:proofErr w:type="spellStart"/>
      <w:r w:rsidRPr="0010706D">
        <w:rPr>
          <w:rFonts w:ascii="Segoe UI" w:eastAsia="Times New Roman" w:hAnsi="Segoe UI" w:cs="Segoe UI"/>
          <w:sz w:val="20"/>
          <w:szCs w:val="20"/>
        </w:rPr>
        <w:t>sarson</w:t>
      </w:r>
      <w:proofErr w:type="spellEnd"/>
      <w:r w:rsidRPr="0010706D">
        <w:rPr>
          <w:rFonts w:ascii="Segoe UI" w:eastAsia="Times New Roman" w:hAnsi="Segoe UI" w:cs="Segoe UI"/>
          <w:sz w:val="20"/>
          <w:szCs w:val="20"/>
        </w:rPr>
        <w:t>.</w:t>
      </w:r>
    </w:p>
    <w:p w:rsidR="0010706D" w:rsidRPr="0010706D" w:rsidRDefault="0010706D" w:rsidP="0010706D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10706D">
        <w:rPr>
          <w:rFonts w:ascii="Segoe UI" w:eastAsia="Times New Roman" w:hAnsi="Segoe UI" w:cs="Segoe UI"/>
          <w:sz w:val="20"/>
          <w:szCs w:val="20"/>
        </w:rPr>
        <w:t xml:space="preserve">Incorporating </w:t>
      </w:r>
      <w:proofErr w:type="spellStart"/>
      <w:r w:rsidRPr="0010706D">
        <w:rPr>
          <w:rFonts w:ascii="Segoe UI" w:eastAsia="Times New Roman" w:hAnsi="Segoe UI" w:cs="Segoe UI"/>
          <w:sz w:val="20"/>
          <w:szCs w:val="20"/>
        </w:rPr>
        <w:t>multienvironment</w:t>
      </w:r>
      <w:proofErr w:type="spellEnd"/>
      <w:r w:rsidRPr="0010706D">
        <w:rPr>
          <w:rFonts w:ascii="Segoe UI" w:eastAsia="Times New Roman" w:hAnsi="Segoe UI" w:cs="Segoe UI"/>
          <w:sz w:val="20"/>
          <w:szCs w:val="20"/>
        </w:rPr>
        <w:t xml:space="preserve"> trials and sophisticated indices like MTSI is essential for developing </w:t>
      </w:r>
      <w:r w:rsidRPr="0010706D">
        <w:rPr>
          <w:rFonts w:ascii="Segoe UI" w:eastAsia="Times New Roman" w:hAnsi="Segoe UI" w:cs="Segoe UI"/>
          <w:b/>
          <w:bCs/>
          <w:sz w:val="20"/>
        </w:rPr>
        <w:t>stable, high-yielding, and adaptable genotypes</w:t>
      </w:r>
      <w:r w:rsidRPr="0010706D">
        <w:rPr>
          <w:rFonts w:ascii="Segoe UI" w:eastAsia="Times New Roman" w:hAnsi="Segoe UI" w:cs="Segoe UI"/>
          <w:sz w:val="20"/>
          <w:szCs w:val="20"/>
        </w:rPr>
        <w:t>.</w:t>
      </w:r>
    </w:p>
    <w:p w:rsidR="0010706D" w:rsidRPr="0010706D" w:rsidRDefault="0010706D" w:rsidP="0010706D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10706D">
        <w:rPr>
          <w:rFonts w:ascii="Segoe UI" w:eastAsia="Times New Roman" w:hAnsi="Segoe UI" w:cs="Segoe UI"/>
          <w:sz w:val="20"/>
          <w:szCs w:val="20"/>
        </w:rPr>
        <w:t xml:space="preserve">This summary captures the core findings and methodologies reviewed in the document, reflecting the knowledge foundation for improving yellow </w:t>
      </w:r>
      <w:proofErr w:type="spellStart"/>
      <w:r w:rsidRPr="0010706D">
        <w:rPr>
          <w:rFonts w:ascii="Segoe UI" w:eastAsia="Times New Roman" w:hAnsi="Segoe UI" w:cs="Segoe UI"/>
          <w:sz w:val="20"/>
          <w:szCs w:val="20"/>
        </w:rPr>
        <w:t>sarson</w:t>
      </w:r>
      <w:proofErr w:type="spellEnd"/>
      <w:r w:rsidRPr="0010706D">
        <w:rPr>
          <w:rFonts w:ascii="Segoe UI" w:eastAsia="Times New Roman" w:hAnsi="Segoe UI" w:cs="Segoe UI"/>
          <w:sz w:val="20"/>
          <w:szCs w:val="20"/>
        </w:rPr>
        <w:t xml:space="preserve"> through genetics and breeding approaches.</w:t>
      </w:r>
    </w:p>
    <w:p w:rsidR="00550A1B" w:rsidRDefault="00550A1B" w:rsidP="0010706D"/>
    <w:sectPr w:rsidR="00550A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kGrotesk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62FDB"/>
    <w:multiLevelType w:val="multilevel"/>
    <w:tmpl w:val="2044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FCB021F"/>
    <w:multiLevelType w:val="multilevel"/>
    <w:tmpl w:val="06AE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4AC4BDB"/>
    <w:multiLevelType w:val="multilevel"/>
    <w:tmpl w:val="C374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BFB7081"/>
    <w:multiLevelType w:val="multilevel"/>
    <w:tmpl w:val="AD7A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E4C42D3"/>
    <w:multiLevelType w:val="multilevel"/>
    <w:tmpl w:val="AB9E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1727D0A"/>
    <w:multiLevelType w:val="multilevel"/>
    <w:tmpl w:val="97B6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2795E83"/>
    <w:multiLevelType w:val="multilevel"/>
    <w:tmpl w:val="4080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0706D"/>
    <w:rsid w:val="0010706D"/>
    <w:rsid w:val="00550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70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706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y-0">
    <w:name w:val="my-0"/>
    <w:basedOn w:val="Normal"/>
    <w:rsid w:val="00107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706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4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480</Words>
  <Characters>2736</Characters>
  <Application>Microsoft Office Word</Application>
  <DocSecurity>0</DocSecurity>
  <Lines>22</Lines>
  <Paragraphs>6</Paragraphs>
  <ScaleCrop>false</ScaleCrop>
  <Company>Grizli777</Company>
  <LinksUpToDate>false</LinksUpToDate>
  <CharactersWithSpaces>3210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KNS-CCF</dc:creator>
  <cp:keywords/>
  <dc:description/>
  <cp:lastModifiedBy>KNS-CCF</cp:lastModifiedBy>
  <cp:revision>3</cp:revision>
  <dcterms:created xsi:type="dcterms:W3CDTF">2025-08-05T06:17:00Z</dcterms:created>
  <dcterms:modified xsi:type="dcterms:W3CDTF">2025-08-05T06:20:00Z</dcterms:modified>
</cp:coreProperties>
</file>