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6B0C7">
      <w:pPr>
        <w:rPr>
          <w:rFonts w:hint="default"/>
          <w:lang w:val="en-US"/>
        </w:rPr>
      </w:pPr>
      <w:r>
        <w:rPr>
          <w:rFonts w:hint="default" w:ascii="Segoe UI Black" w:hAnsi="Segoe UI Black" w:cs="Segoe UI Black"/>
          <w:b/>
          <w:bCs/>
          <w:lang w:val="en-US"/>
        </w:rPr>
        <w:t>Getsafe Finance Data Case Study</w:t>
      </w:r>
    </w:p>
    <w:p w14:paraId="781EEFD7">
      <w:pPr>
        <w:rPr>
          <w:rFonts w:hint="default"/>
          <w:lang w:val="en-US"/>
        </w:rPr>
      </w:pPr>
    </w:p>
    <w:p w14:paraId="4F57D93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Objective :</w:t>
      </w:r>
      <w:r>
        <w:rPr>
          <w:rFonts w:hint="default"/>
          <w:lang w:val="en-US"/>
        </w:rPr>
        <w:t xml:space="preserve"> </w:t>
      </w:r>
    </w:p>
    <w:p w14:paraId="7BCC3EE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The objective of this project is to design a simple and reliable analytics layer for finance reporting.</w:t>
      </w:r>
    </w:p>
    <w:p w14:paraId="2E4517C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This project focuses on:</w:t>
      </w:r>
    </w:p>
    <w:p w14:paraId="3C57DDF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Building a semantic layer for the finance team to report premium metrics consistently.</w:t>
      </w:r>
    </w:p>
    <w:p w14:paraId="4AC4BF8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Identifying differences between finance and accounting data, and creating a repeatable reconciliation process.</w:t>
      </w:r>
    </w:p>
    <w:p w14:paraId="67756A9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Designing reporting marts that can be directly used in BI tools for KPI dashboards.</w:t>
      </w:r>
    </w:p>
    <w:p w14:paraId="0178759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Creating a maintainable dbt structure that can support future reporting, performance and data quality needs.</w:t>
      </w:r>
    </w:p>
    <w:p w14:paraId="6FBEAB77">
      <w:pPr>
        <w:rPr>
          <w:rFonts w:hint="default"/>
          <w:lang w:val="en-US"/>
        </w:rPr>
      </w:pPr>
    </w:p>
    <w:p w14:paraId="61E9861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Assumptions:</w:t>
      </w:r>
    </w:p>
    <w:p w14:paraId="79C769C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Gross Premium Calculation: Defined as the total premium value where the status is marked as "Processed.</w:t>
      </w:r>
    </w:p>
    <w:p w14:paraId="2CF090C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Net Premium Calculation: Calculated by subtracting "Refund" status values from "Processed" status values</w:t>
      </w:r>
    </w:p>
    <w:p w14:paraId="3DD8269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Status Standardization: Inconsistent entries in the status column were standardized to "Processed" to ensure calculation integrity, e,g ‘process’</w:t>
      </w:r>
    </w:p>
    <w:p w14:paraId="0863CA0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Data Latency: Missing data for September in the Accounting dataset is assumed to be a result of the late month-end closing process.</w:t>
      </w:r>
    </w:p>
    <w:p w14:paraId="548CE99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Premium Definition: Accumulated premium in Task 2 is calculated based on contracted premiums rather than actual cash collected.</w:t>
      </w:r>
    </w:p>
    <w:p w14:paraId="2D4FA8A4">
      <w:pPr>
        <w:numPr>
          <w:numId w:val="0"/>
        </w:numPr>
        <w:rPr>
          <w:rFonts w:hint="default"/>
          <w:lang w:val="en-US"/>
        </w:rPr>
      </w:pPr>
    </w:p>
    <w:p w14:paraId="0EA71A9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Analytics:</w:t>
      </w:r>
    </w:p>
    <w:p w14:paraId="7EC3B41B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770" cy="1506855"/>
            <wp:effectExtent l="0" t="0" r="1143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777D">
      <w:pPr>
        <w:rPr>
          <w:rFonts w:hint="default"/>
          <w:lang w:val="en-US"/>
        </w:rPr>
      </w:pPr>
    </w:p>
    <w:p w14:paraId="2D300C9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Root cause</w:t>
      </w:r>
    </w:p>
    <w:p w14:paraId="57A8B037">
      <w:pPr>
        <w:numPr>
          <w:numId w:val="0"/>
        </w:numPr>
        <w:rPr>
          <w:rFonts w:hint="default"/>
          <w:lang w:val="en-US"/>
        </w:rPr>
      </w:pPr>
    </w:p>
    <w:p w14:paraId="3B27D113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Systematic Variance: The 5 identified discrepancies range from €2.46 to €14.90 . A</w:t>
      </w:r>
      <w:bookmarkStart w:id="0" w:name="_GoBack"/>
      <w:bookmarkEnd w:id="0"/>
      <w:r>
        <w:rPr>
          <w:rFonts w:hint="default"/>
          <w:lang w:val="en-US"/>
        </w:rPr>
        <w:t>ccounting values are consistently higher than finance values. This suggests a potential lag in database updates compared to the real-time tracking utilized by stakeholders.</w:t>
      </w:r>
    </w:p>
    <w:p w14:paraId="59884546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Incomplete Data: The 2 missing entries pertain specifically to September records from the Accounting team. As this data has not yet been shared, these cannot be classified as mismatches at this time</w:t>
      </w:r>
    </w:p>
    <w:p w14:paraId="79ACE095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Temporal Factors: While time zone differences impact day-level reporting, they do not significantly alter high-level monthly aggregates</w:t>
      </w:r>
    </w:p>
    <w:p w14:paraId="19311528">
      <w:pPr>
        <w:numPr>
          <w:numId w:val="0"/>
        </w:numPr>
        <w:rPr>
          <w:rFonts w:hint="default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44F81EDA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Recommendations </w:t>
      </w:r>
    </w:p>
    <w:p w14:paraId="0ED877B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lang w:val="en-US"/>
        </w:rPr>
        <w:t>1.Standardize Metric Definitions: Align both teams on a unified definition of "Premium." It is critical to determine if Accounting utilizes Gross or Net values to resolve the current variance.</w:t>
      </w:r>
    </w:p>
    <w:p w14:paraId="297A6A6C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lang w:val="en-US"/>
        </w:rPr>
        <w:t>2.Establish a Single Source of Truth: Document the rationale for existing metric differences and move toward a standardized reporting framework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0E8904D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3.Automate Data Validation: Implement automated checks to identify and flag discrepancies between finance and accounting systems in real-time.</w:t>
      </w:r>
    </w:p>
    <w:p w14:paraId="081A25D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4.Introduce a Reporting Buffer: Implement a 2-3 day lag for monthly calculations to allow for data synchronization and ensure accurate final figures.</w:t>
      </w:r>
    </w:p>
    <w:p w14:paraId="37C8CFD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5.Fix the source pipeline:Raise a ticket with the payment system team to correct the ‘process’ status typo at source so it does not happen again.</w:t>
      </w:r>
    </w:p>
    <w:p w14:paraId="4FB71F7B">
      <w:pPr>
        <w:numPr>
          <w:ilvl w:val="0"/>
          <w:numId w:val="0"/>
        </w:numPr>
        <w:rPr>
          <w:rFonts w:hint="default"/>
          <w:lang w:val="en-US"/>
        </w:rPr>
      </w:pPr>
    </w:p>
    <w:p w14:paraId="073B0649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Future changes</w:t>
      </w:r>
    </w:p>
    <w:p w14:paraId="14413E1C">
      <w:pPr>
        <w:numPr>
          <w:ilvl w:val="0"/>
          <w:numId w:val="0"/>
        </w:numPr>
        <w:rPr>
          <w:rFonts w:hint="default"/>
          <w:lang w:val="en-US"/>
        </w:rPr>
      </w:pPr>
    </w:p>
    <w:p w14:paraId="0223632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Dimensional Modeling: Establish a dedicated dim_status table to accommodate future status logic and enhance the overall schema scalability.</w:t>
      </w:r>
    </w:p>
    <w:p w14:paraId="2D549CD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Performance &amp; Cost: Transition fact_customers_daily to an incremental model improve query to performance and minimize data warehouse compute costs price.</w:t>
      </w:r>
    </w:p>
    <w:p w14:paraId="60CFCAC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Quality Assurance: Deploy custom, business-level dbt tests to eliminate data quality issues and standardize testing processes</w:t>
      </w:r>
    </w:p>
    <w:p w14:paraId="308364E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Data Governance: Integrate a robust data governance framework(adding the row level security, defining roles etc) tailored to business needs to manage critical data assets.</w:t>
      </w:r>
    </w:p>
    <w:p w14:paraId="0FB31AF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AI-Optimized Schema Architecture: Re-design the schema.yml to define semantic models for AI usage with detailed descriptions, entity aliases, and strict join constraints.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8C1C80"/>
    <w:multiLevelType w:val="singleLevel"/>
    <w:tmpl w:val="CB8C1C8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2CE9345"/>
    <w:multiLevelType w:val="singleLevel"/>
    <w:tmpl w:val="52CE93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3F2F2B"/>
    <w:rsid w:val="019671A5"/>
    <w:rsid w:val="07805F5A"/>
    <w:rsid w:val="09DE4B40"/>
    <w:rsid w:val="147B3C2A"/>
    <w:rsid w:val="1F09049D"/>
    <w:rsid w:val="33DD78A5"/>
    <w:rsid w:val="391D0741"/>
    <w:rsid w:val="3A4D6974"/>
    <w:rsid w:val="3CC86FC9"/>
    <w:rsid w:val="42FD3BF5"/>
    <w:rsid w:val="48852883"/>
    <w:rsid w:val="4B3F2F2B"/>
    <w:rsid w:val="53494264"/>
    <w:rsid w:val="54E33BD1"/>
    <w:rsid w:val="54F916F1"/>
    <w:rsid w:val="61C379F2"/>
    <w:rsid w:val="62E81D53"/>
    <w:rsid w:val="63531402"/>
    <w:rsid w:val="63A159FB"/>
    <w:rsid w:val="72607F5E"/>
    <w:rsid w:val="7F57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2026-05-31T22:00:00Z</dcterms:created>
  <dc:creator>conta</dc:creator>
  <cp:lastModifiedBy>conta</cp:lastModifiedBy>
  <dcterms:modified xsi:type="dcterms:W3CDTF">2026-06-01T08:20:18Z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BD82769ABB4E414B86DEC0E9215470F4_13</vt:lpwstr>
  </property>
</Properties>
</file>