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B6CB0"/>
          <w:sz w:val="22"/>
        </w:rPr>
        <w:t>MDI3003 — ADVANCED PREDICTIVE ANALYTICS</w:t>
        <w:br/>
        <w:t>DEPARTMENT OF ANALYTICS, SCOPE, VIT VELLORE</w:t>
      </w:r>
    </w:p>
    <w:p>
      <w:pPr>
        <w:jc w:val="center"/>
      </w:pPr>
      <w:r>
        <w:rPr>
          <w:rFonts w:ascii="Calibri" w:hAnsi="Calibri"/>
          <w:b/>
          <w:color w:val="1A365D"/>
          <w:sz w:val="32"/>
        </w:rPr>
        <w:t>LABORATORY REPORT — LAB 04</w:t>
        <w:br/>
        <w:t>Probabilistic Customer Segmentation and Segment Prediction Using Demographic, Psychographic, and Behavioral Data with Naive Bayes Classifiers</w:t>
      </w:r>
    </w:p>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5040"/>
        <w:gridCol w:w="5040"/>
      </w:tblGrid>
      <w:tr>
        <w:tc>
          <w:tcPr>
            <w:tcW w:type="dxa" w:w="5040"/>
            <w:shd w:fill="2B6CB0"/>
            <w:tcMar>
              <w:top w:w="140" w:type="dxa"/>
              <w:bottom w:w="140" w:type="dxa"/>
              <w:left w:w="150" w:type="dxa"/>
              <w:right w:w="150" w:type="dxa"/>
            </w:tcMar>
          </w:tcPr>
          <w:p>
            <w:pPr>
              <w:jc w:val="center"/>
            </w:pPr>
            <w:r>
              <w:rPr>
                <w:rFonts w:ascii="Calibri" w:hAnsi="Calibri"/>
                <w:b/>
                <w:color w:val="FFFFFF"/>
                <w:sz w:val="17"/>
              </w:rPr>
              <w:t>Student Name: Madhusudhanan G</w:t>
            </w:r>
          </w:p>
        </w:tc>
        <w:tc>
          <w:tcPr>
            <w:tcW w:type="dxa" w:w="5040"/>
            <w:shd w:fill="2B6CB0"/>
            <w:tcMar>
              <w:top w:w="140" w:type="dxa"/>
              <w:bottom w:w="140" w:type="dxa"/>
              <w:left w:w="150" w:type="dxa"/>
              <w:right w:w="150" w:type="dxa"/>
            </w:tcMar>
          </w:tcPr>
          <w:p>
            <w:pPr>
              <w:jc w:val="center"/>
            </w:pPr>
            <w:r>
              <w:rPr>
                <w:rFonts w:ascii="Calibri" w:hAnsi="Calibri"/>
                <w:b/>
                <w:color w:val="FFFFFF"/>
                <w:sz w:val="17"/>
              </w:rPr>
              <w:t>Registration Number: 23MID0444</w:t>
            </w:r>
          </w:p>
        </w:tc>
      </w:tr>
      <w:tr>
        <w:tc>
          <w:tcPr>
            <w:tcW w:type="dxa" w:w="5040"/>
            <w:shd w:fill="F7FAFC"/>
            <w:tcMar>
              <w:top w:w="100" w:type="dxa"/>
              <w:bottom w:w="100" w:type="dxa"/>
              <w:left w:w="130" w:type="dxa"/>
              <w:right w:w="130" w:type="dxa"/>
            </w:tcMar>
            <w:vAlign w:val="center"/>
          </w:tcPr>
          <w:p>
            <w:r>
              <w:rPr>
                <w:rFonts w:ascii="Calibri" w:hAnsi="Calibri"/>
                <w:color w:val="2D3748"/>
                <w:sz w:val="17"/>
              </w:rPr>
              <w:t>Course: MDI3003 - Advanced Predictive Analytics</w:t>
            </w:r>
          </w:p>
        </w:tc>
        <w:tc>
          <w:tcPr>
            <w:tcW w:type="dxa" w:w="5040"/>
            <w:shd w:fill="F7FAFC"/>
            <w:tcMar>
              <w:top w:w="100" w:type="dxa"/>
              <w:bottom w:w="100" w:type="dxa"/>
              <w:left w:w="130" w:type="dxa"/>
              <w:right w:w="130" w:type="dxa"/>
            </w:tcMar>
            <w:vAlign w:val="center"/>
          </w:tcPr>
          <w:p>
            <w:r>
              <w:rPr>
                <w:rFonts w:ascii="Calibri" w:hAnsi="Calibri"/>
                <w:color w:val="2D3748"/>
                <w:sz w:val="17"/>
              </w:rPr>
              <w:t>Faculty: Dr. Durgesh Kumar</w:t>
            </w:r>
          </w:p>
        </w:tc>
      </w:tr>
      <w:tr>
        <w:tc>
          <w:tcPr>
            <w:tcW w:type="dxa" w:w="5040"/>
            <w:shd w:fill="FFFFFF"/>
            <w:tcMar>
              <w:top w:w="100" w:type="dxa"/>
              <w:bottom w:w="100" w:type="dxa"/>
              <w:left w:w="130" w:type="dxa"/>
              <w:right w:w="130" w:type="dxa"/>
            </w:tcMar>
            <w:vAlign w:val="center"/>
          </w:tcPr>
          <w:p>
            <w:r>
              <w:rPr>
                <w:rFonts w:ascii="Calibri" w:hAnsi="Calibri"/>
                <w:color w:val="2D3748"/>
                <w:sz w:val="17"/>
              </w:rPr>
              <w:t>Institution: SCOPE, VIT Vellore</w:t>
            </w:r>
          </w:p>
        </w:tc>
        <w:tc>
          <w:tcPr>
            <w:tcW w:type="dxa" w:w="5040"/>
            <w:shd w:fill="FFFFFF"/>
            <w:tcMar>
              <w:top w:w="100" w:type="dxa"/>
              <w:bottom w:w="100" w:type="dxa"/>
              <w:left w:w="130" w:type="dxa"/>
              <w:right w:w="130" w:type="dxa"/>
            </w:tcMar>
            <w:vAlign w:val="center"/>
          </w:tcPr>
          <w:p>
            <w:r>
              <w:rPr>
                <w:rFonts w:ascii="Calibri" w:hAnsi="Calibri"/>
                <w:color w:val="2D3748"/>
                <w:sz w:val="17"/>
              </w:rPr>
              <w:t>Evaluation Date: August 18, 2026 | Batch: MDI3003</w:t>
            </w:r>
          </w:p>
        </w:tc>
      </w:tr>
      <w:tr>
        <w:tc>
          <w:tcPr>
            <w:tcW w:type="dxa" w:w="5040"/>
            <w:shd w:fill="F7FAFC"/>
            <w:tcMar>
              <w:top w:w="100" w:type="dxa"/>
              <w:bottom w:w="100" w:type="dxa"/>
              <w:left w:w="130" w:type="dxa"/>
              <w:right w:w="130" w:type="dxa"/>
            </w:tcMar>
            <w:vAlign w:val="center"/>
          </w:tcPr>
          <w:p>
            <w:r>
              <w:rPr>
                <w:rFonts w:ascii="Calibri" w:hAnsi="Calibri"/>
                <w:color w:val="2D3748"/>
                <w:sz w:val="17"/>
              </w:rPr>
              <w:t>Dataset SHA-256 Checksum: af02f12186a4f584dd68fdbde91b105166d43e9e30cc01c857299e02303c6be4</w:t>
            </w:r>
          </w:p>
        </w:tc>
        <w:tc>
          <w:tcPr>
            <w:tcW w:type="dxa" w:w="5040"/>
            <w:shd w:fill="F7FAFC"/>
            <w:tcMar>
              <w:top w:w="100" w:type="dxa"/>
              <w:bottom w:w="100" w:type="dxa"/>
              <w:left w:w="130" w:type="dxa"/>
              <w:right w:w="130" w:type="dxa"/>
            </w:tcMar>
            <w:vAlign w:val="center"/>
          </w:tcPr>
          <w:p>
            <w:r>
              <w:rPr>
                <w:rFonts w:ascii="Calibri" w:hAnsi="Calibri"/>
                <w:color w:val="2D3748"/>
                <w:sz w:val="17"/>
              </w:rPr>
              <w:t>Evaluation Partition: Stratified 80/20 Locked Split</w:t>
            </w:r>
          </w:p>
        </w:tc>
      </w:tr>
      <w:tr>
        <w:tc>
          <w:tcPr>
            <w:tcW w:type="dxa" w:w="5040"/>
            <w:shd w:fill="FFFFFF"/>
            <w:tcMar>
              <w:top w:w="100" w:type="dxa"/>
              <w:bottom w:w="100" w:type="dxa"/>
              <w:left w:w="130" w:type="dxa"/>
              <w:right w:w="130" w:type="dxa"/>
            </w:tcMar>
            <w:vAlign w:val="center"/>
          </w:tcPr>
          <w:p>
            <w:r>
              <w:rPr>
                <w:rFonts w:ascii="Calibri" w:hAnsi="Calibri"/>
                <w:color w:val="2D3748"/>
                <w:sz w:val="17"/>
              </w:rPr>
              <w:t>GitHub Repository: https://github.com/Madhumasa84/Adv_predictive/tree/main/lab4</w:t>
            </w:r>
          </w:p>
        </w:tc>
        <w:tc>
          <w:tcPr>
            <w:tcW w:type="dxa" w:w="5040"/>
            <w:shd w:fill="FFFFFF"/>
            <w:tcMar>
              <w:top w:w="100" w:type="dxa"/>
              <w:bottom w:w="100" w:type="dxa"/>
              <w:left w:w="130" w:type="dxa"/>
              <w:right w:w="130" w:type="dxa"/>
            </w:tcMar>
            <w:vAlign w:val="center"/>
          </w:tcPr>
          <w:p>
            <w:r>
              <w:rPr>
                <w:rFonts w:ascii="Calibri" w:hAnsi="Calibri"/>
                <w:color w:val="2D3748"/>
                <w:sz w:val="17"/>
              </w:rPr>
              <w:t>Reproducibility: 100% Deterministic (Seed=42)</w:t>
            </w:r>
          </w:p>
        </w:tc>
      </w:tr>
    </w:tbl>
    <w:p/>
    <w:p>
      <w:pPr>
        <w:pStyle w:val="Heading1"/>
      </w:pPr>
      <w:r>
        <w:rPr>
          <w:color w:val="1A365D"/>
          <w:sz w:val="26"/>
        </w:rPr>
        <w:t>1. Executive Summary &amp; Problem Framing</w:t>
      </w:r>
    </w:p>
    <w:p>
      <w:pPr>
        <w:spacing w:line="276" w:lineRule="auto"/>
      </w:pPr>
      <w:r>
        <w:t>This laboratory report presents an end-to-end, leak-free, and reproducible customer segment prediction system built on Naive Bayes probabilistic classifiers. In rigorous predictive analytics and international ML pedagogy, a strict distinction must be drawn between unsupervised customer clustering (which discovers latent grouping structures without ground-truth feedback) and supervised segment classification (which learns the decision boundary of predefined, business-approved target segment labels). This project formulates customer segment prediction as a 4-class supervised classification task (Classes A, B, C, D) using a multi-modal feature space spanning Demographic, Psychographic, and Behavioral dimensions.</w:t>
        <w:br/>
        <w:br/>
        <w:t>The complete experimental workflow enforces strict methodological safeguards: (1) an 80/20 stratified holdout split with verified zero ID overlap; (2) leakage-safe pipelines where all imputations, discretization, scaling, and categorical encoders are fitted strictly inside training folds; (3) non-negative transformation proofs guaranteeing mathematical compatibility for CategoricalNB; (4) pre-test model selection conducted exclusively on 5-fold cross-validation evidence; and (5) comprehensive posterior probability calibration, selective review policies, fairness auditing, and temporal drift benchmarking.</w:t>
      </w:r>
    </w:p>
    <w:tbl>
      <w:tblPr>
        <w:tblW w:type="auto" w:w="0"/>
        <w:tblLook w:firstColumn="1" w:firstRow="1" w:lastColumn="0" w:lastRow="0" w:noHBand="0" w:noVBand="1" w:val="04A0"/>
      </w:tblPr>
      <w:tblGrid>
        <w:gridCol w:w="10080"/>
      </w:tblGrid>
      <w:tr>
        <w:tc>
          <w:tcPr>
            <w:tcW w:type="dxa" w:w="10080"/>
            <w:shd w:fill="EBF8FF"/>
            <w:tcMar>
              <w:top w:w="120" w:type="dxa"/>
              <w:bottom w:w="120" w:type="dxa"/>
              <w:left w:w="140" w:type="dxa"/>
              <w:right w:w="140" w:type="dxa"/>
            </w:tcMar>
          </w:tcPr>
          <w:p>
            <w:r>
              <w:rPr>
                <w:b/>
                <w:color w:val="1A365D"/>
                <w:sz w:val="18"/>
              </w:rPr>
              <w:t>Core Performance Summary: Selected Model: CategoricalNB (Mixed-Feature) | 5-Fold CV Macro F1: 0.9992 ± 0.0005 | Locked Test Macro F1: 0.9983 (95% Bootstrap CI: [0.9957, 1.0000]) | Test Accuracy: 99.80% | Training Latency: 107.78 ms | Inference Latency: 0.0369 ms/customer | Acceptance Suite: 100% Passed (13/13 Assertions Verified)</w:t>
            </w:r>
          </w:p>
        </w:tc>
      </w:tr>
    </w:tbl>
    <w:p/>
    <w:p>
      <w:pPr>
        <w:pStyle w:val="Heading1"/>
      </w:pPr>
      <w:r>
        <w:rPr>
          <w:color w:val="1A365D"/>
          <w:sz w:val="26"/>
        </w:rPr>
        <w:t>2. Theoretical Foundations of Probabilistic Classification</w:t>
      </w:r>
    </w:p>
    <w:p>
      <w:pPr>
        <w:spacing w:line="276" w:lineRule="auto"/>
      </w:pPr>
      <w:r>
        <w:t>2.1 Bayes' Theorem and Decision Rule:</w:t>
        <w:br/>
        <w:t>For a customer feature vector x = [x1, x2, ..., xd] and target customer segment class Ck (where k ∈ {A, B, C, D}), the posterior class probability is expressed via Bayes' rule:</w:t>
        <w:br/>
        <w:br/>
        <w:t xml:space="preserve">   P(Ck | x) = [ P(x | Ck) · P(Ck) ] / P(x) = [ P(x | Ck) · P(Ck) ] / [ ∑j P(x | Cj) · P(Cj) ]</w:t>
        <w:br/>
        <w:br/>
        <w:t>• Prior Probability P(Ck): The baseline marginal prevalence of customer segment Ck across the historical customer base before observing personal features.</w:t>
        <w:br/>
        <w:t>• Class-Conditional Likelihood P(x | Ck): The probability density or joint distribution of observing the attribute configuration x given that the customer truly belongs to segment Ck.</w:t>
        <w:br/>
        <w:t>• Posterior Probability P(Ck | x): The updated, conditioned belief distribution over classes after observing the multi-modal demographic, psychographic, and behavioral attributes.</w:t>
        <w:br/>
        <w:t>• The Naive Conditional Independence Assumption: Exact joint likelihood estimation suffers from the curse of dimensionality. Naive Bayes factorizes the joint likelihood under the assumption that features are conditionally independent given the class: P(x | Ck) = ∏j P(xj | Ck). The maximum a posteriori (MAP) decision rule is: ŷ = argmaxk [ log P(Ck) + ∑j log P(xj | Ck) ].</w:t>
        <w:br/>
        <w:t>• Additive Laplace/Lidstone Smoothing: When a category level is unobserved for a given class during training, the maximum likelihood estimate yields zero likelihood (P(xj | Ck) = 0), zeroing out the entire posterior product. Additive smoothing adds a pseudo-count parameter α &gt; 0: θ_{k,j,c} = (N_{k,j,c} + α) / (N_k + α · Kj), guaranteeing well-behaved, non-zero posterior distributions.</w:t>
      </w:r>
    </w:p>
    <w:p>
      <w:r>
        <w:rPr>
          <w:b/>
          <w:color w:val="2B6CB0"/>
        </w:rPr>
        <w:t>Table 4. Model Configuration &amp; Technical Compatibility</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016"/>
        <w:gridCol w:w="2016"/>
        <w:gridCol w:w="2016"/>
        <w:gridCol w:w="2016"/>
        <w:gridCol w:w="2016"/>
      </w:tblGrid>
      <w:tr>
        <w:tc>
          <w:tcPr>
            <w:tcW w:type="dxa" w:w="1584"/>
            <w:shd w:fill="1A365D"/>
            <w:tcMar>
              <w:top w:w="140" w:type="dxa"/>
              <w:bottom w:w="140" w:type="dxa"/>
              <w:left w:w="150" w:type="dxa"/>
              <w:right w:w="150" w:type="dxa"/>
            </w:tcMar>
          </w:tcPr>
          <w:p>
            <w:pPr>
              <w:jc w:val="center"/>
            </w:pPr>
            <w:r>
              <w:rPr>
                <w:rFonts w:ascii="Calibri" w:hAnsi="Calibri"/>
                <w:b/>
                <w:color w:val="FFFFFF"/>
                <w:sz w:val="17"/>
              </w:rPr>
              <w:t>Model</w:t>
            </w:r>
          </w:p>
        </w:tc>
        <w:tc>
          <w:tcPr>
            <w:tcW w:type="dxa" w:w="1872"/>
            <w:shd w:fill="1A365D"/>
            <w:tcMar>
              <w:top w:w="140" w:type="dxa"/>
              <w:bottom w:w="140" w:type="dxa"/>
              <w:left w:w="150" w:type="dxa"/>
              <w:right w:w="150" w:type="dxa"/>
            </w:tcMar>
          </w:tcPr>
          <w:p>
            <w:pPr>
              <w:jc w:val="center"/>
            </w:pPr>
            <w:r>
              <w:rPr>
                <w:rFonts w:ascii="Calibri" w:hAnsi="Calibri"/>
                <w:b/>
                <w:color w:val="FFFFFF"/>
                <w:sz w:val="17"/>
              </w:rPr>
              <w:t>Representation</w:t>
            </w:r>
          </w:p>
        </w:tc>
        <w:tc>
          <w:tcPr>
            <w:tcW w:type="dxa" w:w="2016"/>
            <w:shd w:fill="1A365D"/>
            <w:tcMar>
              <w:top w:w="140" w:type="dxa"/>
              <w:bottom w:w="140" w:type="dxa"/>
              <w:left w:w="150" w:type="dxa"/>
              <w:right w:w="150" w:type="dxa"/>
            </w:tcMar>
          </w:tcPr>
          <w:p>
            <w:pPr>
              <w:jc w:val="center"/>
            </w:pPr>
            <w:r>
              <w:rPr>
                <w:rFonts w:ascii="Calibri" w:hAnsi="Calibri"/>
                <w:b/>
                <w:color w:val="FFFFFF"/>
                <w:sz w:val="17"/>
              </w:rPr>
              <w:t>Key Parameters</w:t>
            </w:r>
          </w:p>
        </w:tc>
        <w:tc>
          <w:tcPr>
            <w:tcW w:type="dxa" w:w="2304"/>
            <w:shd w:fill="1A365D"/>
            <w:tcMar>
              <w:top w:w="140" w:type="dxa"/>
              <w:bottom w:w="140" w:type="dxa"/>
              <w:left w:w="150" w:type="dxa"/>
              <w:right w:w="150" w:type="dxa"/>
            </w:tcMar>
          </w:tcPr>
          <w:p>
            <w:pPr>
              <w:jc w:val="center"/>
            </w:pPr>
            <w:r>
              <w:rPr>
                <w:rFonts w:ascii="Calibri" w:hAnsi="Calibri"/>
                <w:b/>
                <w:color w:val="FFFFFF"/>
                <w:sz w:val="17"/>
              </w:rPr>
              <w:t>Distributional Assumptions</w:t>
            </w:r>
          </w:p>
        </w:tc>
        <w:tc>
          <w:tcPr>
            <w:tcW w:type="dxa" w:w="2304"/>
            <w:shd w:fill="1A365D"/>
            <w:tcMar>
              <w:top w:w="140" w:type="dxa"/>
              <w:bottom w:w="140" w:type="dxa"/>
              <w:left w:w="150" w:type="dxa"/>
              <w:right w:w="150" w:type="dxa"/>
            </w:tcMar>
          </w:tcPr>
          <w:p>
            <w:pPr>
              <w:jc w:val="center"/>
            </w:pPr>
            <w:r>
              <w:rPr>
                <w:rFonts w:ascii="Calibri" w:hAnsi="Calibri"/>
                <w:b/>
                <w:color w:val="FFFFFF"/>
                <w:sz w:val="17"/>
              </w:rPr>
              <w:t>Technical Compatibility Guard</w:t>
            </w:r>
          </w:p>
        </w:tc>
      </w:tr>
      <w:tr>
        <w:tc>
          <w:tcPr>
            <w:tcW w:type="dxa" w:w="1584"/>
            <w:shd w:fill="F7FAFC"/>
            <w:tcMar>
              <w:top w:w="100" w:type="dxa"/>
              <w:bottom w:w="100" w:type="dxa"/>
              <w:left w:w="130" w:type="dxa"/>
              <w:right w:w="130" w:type="dxa"/>
            </w:tcMar>
            <w:vAlign w:val="center"/>
          </w:tcPr>
          <w:p>
            <w:r>
              <w:rPr>
                <w:rFonts w:ascii="Calibri" w:hAnsi="Calibri"/>
                <w:color w:val="2D3748"/>
                <w:sz w:val="17"/>
              </w:rPr>
              <w:t>DummyClassifier</w:t>
            </w:r>
          </w:p>
        </w:tc>
        <w:tc>
          <w:tcPr>
            <w:tcW w:type="dxa" w:w="1872"/>
            <w:shd w:fill="F7FAFC"/>
            <w:tcMar>
              <w:top w:w="100" w:type="dxa"/>
              <w:bottom w:w="100" w:type="dxa"/>
              <w:left w:w="130" w:type="dxa"/>
              <w:right w:w="130" w:type="dxa"/>
            </w:tcMar>
            <w:vAlign w:val="center"/>
          </w:tcPr>
          <w:p>
            <w:r>
              <w:rPr>
                <w:rFonts w:ascii="Calibri" w:hAnsi="Calibri"/>
                <w:color w:val="2D3748"/>
                <w:sz w:val="17"/>
              </w:rPr>
              <w:t>Encoded target array</w:t>
            </w:r>
          </w:p>
        </w:tc>
        <w:tc>
          <w:tcPr>
            <w:tcW w:type="dxa" w:w="2016"/>
            <w:shd w:fill="F7FAFC"/>
            <w:tcMar>
              <w:top w:w="100" w:type="dxa"/>
              <w:bottom w:w="100" w:type="dxa"/>
              <w:left w:w="130" w:type="dxa"/>
              <w:right w:w="130" w:type="dxa"/>
            </w:tcMar>
            <w:vAlign w:val="center"/>
          </w:tcPr>
          <w:p>
            <w:r>
              <w:rPr>
                <w:rFonts w:ascii="Calibri" w:hAnsi="Calibri"/>
                <w:color w:val="2D3748"/>
                <w:sz w:val="17"/>
              </w:rPr>
              <w:t>strategy='most_frequent'</w:t>
            </w:r>
          </w:p>
        </w:tc>
        <w:tc>
          <w:tcPr>
            <w:tcW w:type="dxa" w:w="2304"/>
            <w:shd w:fill="F7FAFC"/>
            <w:tcMar>
              <w:top w:w="100" w:type="dxa"/>
              <w:bottom w:w="100" w:type="dxa"/>
              <w:left w:w="130" w:type="dxa"/>
              <w:right w:w="130" w:type="dxa"/>
            </w:tcMar>
            <w:vAlign w:val="center"/>
          </w:tcPr>
          <w:p>
            <w:r>
              <w:rPr>
                <w:rFonts w:ascii="Calibri" w:hAnsi="Calibri"/>
                <w:color w:val="2D3748"/>
                <w:sz w:val="17"/>
              </w:rPr>
              <w:t>Non-informative trivial baseline</w:t>
            </w:r>
          </w:p>
        </w:tc>
        <w:tc>
          <w:tcPr>
            <w:tcW w:type="dxa" w:w="2304"/>
            <w:shd w:fill="F7FAFC"/>
            <w:tcMar>
              <w:top w:w="100" w:type="dxa"/>
              <w:bottom w:w="100" w:type="dxa"/>
              <w:left w:w="130" w:type="dxa"/>
              <w:right w:w="130" w:type="dxa"/>
            </w:tcMar>
            <w:vAlign w:val="center"/>
          </w:tcPr>
          <w:p>
            <w:r>
              <w:rPr>
                <w:rFonts w:ascii="Calibri" w:hAnsi="Calibri"/>
                <w:color w:val="2D3748"/>
                <w:sz w:val="17"/>
              </w:rPr>
              <w:t>Must be substantially outperformed by all models</w:t>
            </w:r>
          </w:p>
        </w:tc>
      </w:tr>
      <w:tr>
        <w:tc>
          <w:tcPr>
            <w:tcW w:type="dxa" w:w="1584"/>
            <w:shd w:fill="FFFFFF"/>
            <w:tcMar>
              <w:top w:w="100" w:type="dxa"/>
              <w:bottom w:w="100" w:type="dxa"/>
              <w:left w:w="130" w:type="dxa"/>
              <w:right w:w="130" w:type="dxa"/>
            </w:tcMar>
            <w:vAlign w:val="center"/>
          </w:tcPr>
          <w:p>
            <w:r>
              <w:rPr>
                <w:rFonts w:ascii="Calibri" w:hAnsi="Calibri"/>
                <w:color w:val="2D3748"/>
                <w:sz w:val="17"/>
              </w:rPr>
              <w:t>GaussianNB</w:t>
            </w:r>
          </w:p>
        </w:tc>
        <w:tc>
          <w:tcPr>
            <w:tcW w:type="dxa" w:w="1872"/>
            <w:shd w:fill="FFFFFF"/>
            <w:tcMar>
              <w:top w:w="100" w:type="dxa"/>
              <w:bottom w:w="100" w:type="dxa"/>
              <w:left w:w="130" w:type="dxa"/>
              <w:right w:w="130" w:type="dxa"/>
            </w:tcMar>
            <w:vAlign w:val="center"/>
          </w:tcPr>
          <w:p>
            <w:r>
              <w:rPr>
                <w:rFonts w:ascii="Calibri" w:hAnsi="Calibri"/>
                <w:color w:val="2D3748"/>
                <w:sz w:val="17"/>
              </w:rPr>
              <w:t>Continuous numeric features</w:t>
            </w:r>
          </w:p>
        </w:tc>
        <w:tc>
          <w:tcPr>
            <w:tcW w:type="dxa" w:w="2016"/>
            <w:shd w:fill="FFFFFF"/>
            <w:tcMar>
              <w:top w:w="100" w:type="dxa"/>
              <w:bottom w:w="100" w:type="dxa"/>
              <w:left w:w="130" w:type="dxa"/>
              <w:right w:w="130" w:type="dxa"/>
            </w:tcMar>
            <w:vAlign w:val="center"/>
          </w:tcPr>
          <w:p>
            <w:r>
              <w:rPr>
                <w:rFonts w:ascii="Calibri" w:hAnsi="Calibri"/>
                <w:color w:val="2D3748"/>
                <w:sz w:val="17"/>
              </w:rPr>
              <w:t>var_smoothing=1e-9</w:t>
            </w:r>
          </w:p>
        </w:tc>
        <w:tc>
          <w:tcPr>
            <w:tcW w:type="dxa" w:w="2304"/>
            <w:shd w:fill="FFFFFF"/>
            <w:tcMar>
              <w:top w:w="100" w:type="dxa"/>
              <w:bottom w:w="100" w:type="dxa"/>
              <w:left w:w="130" w:type="dxa"/>
              <w:right w:w="130" w:type="dxa"/>
            </w:tcMar>
            <w:vAlign w:val="center"/>
          </w:tcPr>
          <w:p>
            <w:r>
              <w:rPr>
                <w:rFonts w:ascii="Calibri" w:hAnsi="Calibri"/>
                <w:color w:val="2D3748"/>
                <w:sz w:val="17"/>
              </w:rPr>
              <w:t>Class-conditional Gaussian normal distribution</w:t>
            </w:r>
          </w:p>
        </w:tc>
        <w:tc>
          <w:tcPr>
            <w:tcW w:type="dxa" w:w="2304"/>
            <w:shd w:fill="FFFFFF"/>
            <w:tcMar>
              <w:top w:w="100" w:type="dxa"/>
              <w:bottom w:w="100" w:type="dxa"/>
              <w:left w:w="130" w:type="dxa"/>
              <w:right w:w="130" w:type="dxa"/>
            </w:tcMar>
            <w:vAlign w:val="center"/>
          </w:tcPr>
          <w:p>
            <w:r>
              <w:rPr>
                <w:rFonts w:ascii="Calibri" w:hAnsi="Calibri"/>
                <w:color w:val="2D3748"/>
                <w:sz w:val="17"/>
              </w:rPr>
              <w:t>Restricted strictly to continuous features (Age, Spend, Recency)</w:t>
            </w:r>
          </w:p>
        </w:tc>
      </w:tr>
      <w:tr>
        <w:tc>
          <w:tcPr>
            <w:tcW w:type="dxa" w:w="1584"/>
            <w:shd w:fill="F7FAFC"/>
            <w:tcMar>
              <w:top w:w="100" w:type="dxa"/>
              <w:bottom w:w="100" w:type="dxa"/>
              <w:left w:w="130" w:type="dxa"/>
              <w:right w:w="130" w:type="dxa"/>
            </w:tcMar>
            <w:vAlign w:val="center"/>
          </w:tcPr>
          <w:p>
            <w:r>
              <w:rPr>
                <w:rFonts w:ascii="Calibri" w:hAnsi="Calibri"/>
                <w:color w:val="2D3748"/>
                <w:sz w:val="17"/>
              </w:rPr>
              <w:t>BernoulliNB</w:t>
            </w:r>
          </w:p>
        </w:tc>
        <w:tc>
          <w:tcPr>
            <w:tcW w:type="dxa" w:w="1872"/>
            <w:shd w:fill="F7FAFC"/>
            <w:tcMar>
              <w:top w:w="100" w:type="dxa"/>
              <w:bottom w:w="100" w:type="dxa"/>
              <w:left w:w="130" w:type="dxa"/>
              <w:right w:w="130" w:type="dxa"/>
            </w:tcMar>
            <w:vAlign w:val="center"/>
          </w:tcPr>
          <w:p>
            <w:r>
              <w:rPr>
                <w:rFonts w:ascii="Calibri" w:hAnsi="Calibri"/>
                <w:color w:val="2D3748"/>
                <w:sz w:val="17"/>
              </w:rPr>
              <w:t>Binary indicator matrix</w:t>
            </w:r>
          </w:p>
        </w:tc>
        <w:tc>
          <w:tcPr>
            <w:tcW w:type="dxa" w:w="2016"/>
            <w:shd w:fill="F7FAFC"/>
            <w:tcMar>
              <w:top w:w="100" w:type="dxa"/>
              <w:bottom w:w="100" w:type="dxa"/>
              <w:left w:w="130" w:type="dxa"/>
              <w:right w:w="130" w:type="dxa"/>
            </w:tcMar>
            <w:vAlign w:val="center"/>
          </w:tcPr>
          <w:p>
            <w:r>
              <w:rPr>
                <w:rFonts w:ascii="Calibri" w:hAnsi="Calibri"/>
                <w:color w:val="2D3748"/>
                <w:sz w:val="17"/>
              </w:rPr>
              <w:t>alpha=1.0, binarize=0.0</w:t>
            </w:r>
          </w:p>
        </w:tc>
        <w:tc>
          <w:tcPr>
            <w:tcW w:type="dxa" w:w="2304"/>
            <w:shd w:fill="F7FAFC"/>
            <w:tcMar>
              <w:top w:w="100" w:type="dxa"/>
              <w:bottom w:w="100" w:type="dxa"/>
              <w:left w:w="130" w:type="dxa"/>
              <w:right w:w="130" w:type="dxa"/>
            </w:tcMar>
            <w:vAlign w:val="center"/>
          </w:tcPr>
          <w:p>
            <w:r>
              <w:rPr>
                <w:rFonts w:ascii="Calibri" w:hAnsi="Calibri"/>
                <w:color w:val="2D3748"/>
                <w:sz w:val="17"/>
              </w:rPr>
              <w:t>Multivariate Bernoulli presence/absence</w:t>
            </w:r>
          </w:p>
        </w:tc>
        <w:tc>
          <w:tcPr>
            <w:tcW w:type="dxa" w:w="2304"/>
            <w:shd w:fill="F7FAFC"/>
            <w:tcMar>
              <w:top w:w="100" w:type="dxa"/>
              <w:bottom w:w="100" w:type="dxa"/>
              <w:left w:w="130" w:type="dxa"/>
              <w:right w:w="130" w:type="dxa"/>
            </w:tcMar>
            <w:vAlign w:val="center"/>
          </w:tcPr>
          <w:p>
            <w:r>
              <w:rPr>
                <w:rFonts w:ascii="Calibri" w:hAnsi="Calibri"/>
                <w:color w:val="2D3748"/>
                <w:sz w:val="17"/>
              </w:rPr>
              <w:t>Numeric features quantile-discretized to one-hot binary bins</w:t>
            </w:r>
          </w:p>
        </w:tc>
      </w:tr>
      <w:tr>
        <w:tc>
          <w:tcPr>
            <w:tcW w:type="dxa" w:w="1584"/>
            <w:shd w:fill="FFFFFF"/>
            <w:tcMar>
              <w:top w:w="100" w:type="dxa"/>
              <w:bottom w:w="100" w:type="dxa"/>
              <w:left w:w="130" w:type="dxa"/>
              <w:right w:w="130" w:type="dxa"/>
            </w:tcMar>
            <w:vAlign w:val="center"/>
          </w:tcPr>
          <w:p>
            <w:r>
              <w:rPr>
                <w:rFonts w:ascii="Calibri" w:hAnsi="Calibri"/>
                <w:color w:val="2D3748"/>
                <w:sz w:val="17"/>
              </w:rPr>
              <w:t>CategoricalNB</w:t>
            </w:r>
          </w:p>
        </w:tc>
        <w:tc>
          <w:tcPr>
            <w:tcW w:type="dxa" w:w="1872"/>
            <w:shd w:fill="FFFFFF"/>
            <w:tcMar>
              <w:top w:w="100" w:type="dxa"/>
              <w:bottom w:w="100" w:type="dxa"/>
              <w:left w:w="130" w:type="dxa"/>
              <w:right w:w="130" w:type="dxa"/>
            </w:tcMar>
            <w:vAlign w:val="center"/>
          </w:tcPr>
          <w:p>
            <w:r>
              <w:rPr>
                <w:rFonts w:ascii="Calibri" w:hAnsi="Calibri"/>
                <w:color w:val="2D3748"/>
                <w:sz w:val="17"/>
              </w:rPr>
              <w:t>Non-negative category codes</w:t>
            </w:r>
          </w:p>
        </w:tc>
        <w:tc>
          <w:tcPr>
            <w:tcW w:type="dxa" w:w="2016"/>
            <w:shd w:fill="FFFFFF"/>
            <w:tcMar>
              <w:top w:w="100" w:type="dxa"/>
              <w:bottom w:w="100" w:type="dxa"/>
              <w:left w:w="130" w:type="dxa"/>
              <w:right w:w="130" w:type="dxa"/>
            </w:tcMar>
            <w:vAlign w:val="center"/>
          </w:tcPr>
          <w:p>
            <w:r>
              <w:rPr>
                <w:rFonts w:ascii="Calibri" w:hAnsi="Calibri"/>
                <w:color w:val="2D3748"/>
                <w:sz w:val="17"/>
              </w:rPr>
              <w:t>alpha=1.0, min_categories</w:t>
            </w:r>
          </w:p>
        </w:tc>
        <w:tc>
          <w:tcPr>
            <w:tcW w:type="dxa" w:w="2304"/>
            <w:shd w:fill="FFFFFF"/>
            <w:tcMar>
              <w:top w:w="100" w:type="dxa"/>
              <w:bottom w:w="100" w:type="dxa"/>
              <w:left w:w="130" w:type="dxa"/>
              <w:right w:w="130" w:type="dxa"/>
            </w:tcMar>
            <w:vAlign w:val="center"/>
          </w:tcPr>
          <w:p>
            <w:r>
              <w:rPr>
                <w:rFonts w:ascii="Calibri" w:hAnsi="Calibri"/>
                <w:color w:val="2D3748"/>
                <w:sz w:val="17"/>
              </w:rPr>
              <w:t>Categorical / multinomial distribution per feature</w:t>
            </w:r>
          </w:p>
        </w:tc>
        <w:tc>
          <w:tcPr>
            <w:tcW w:type="dxa" w:w="2304"/>
            <w:shd w:fill="FFFFFF"/>
            <w:tcMar>
              <w:top w:w="100" w:type="dxa"/>
              <w:bottom w:w="100" w:type="dxa"/>
              <w:left w:w="130" w:type="dxa"/>
              <w:right w:w="130" w:type="dxa"/>
            </w:tcMar>
            <w:vAlign w:val="center"/>
          </w:tcPr>
          <w:p>
            <w:r>
              <w:rPr>
                <w:rFonts w:ascii="Calibri" w:hAnsi="Calibri"/>
                <w:color w:val="2D3748"/>
                <w:sz w:val="17"/>
              </w:rPr>
              <w:t>SafeOrdinalToNonNegative guarantees all indices &gt;= 0</w:t>
            </w:r>
          </w:p>
        </w:tc>
      </w:tr>
      <w:tr>
        <w:tc>
          <w:tcPr>
            <w:tcW w:type="dxa" w:w="1584"/>
            <w:shd w:fill="F7FAFC"/>
            <w:tcMar>
              <w:top w:w="100" w:type="dxa"/>
              <w:bottom w:w="100" w:type="dxa"/>
              <w:left w:w="130" w:type="dxa"/>
              <w:right w:w="130" w:type="dxa"/>
            </w:tcMar>
            <w:vAlign w:val="center"/>
          </w:tcPr>
          <w:p>
            <w:r>
              <w:rPr>
                <w:rFonts w:ascii="Calibri" w:hAnsi="Calibri"/>
                <w:color w:val="2D3748"/>
                <w:sz w:val="17"/>
              </w:rPr>
              <w:t>ComplementNB</w:t>
            </w:r>
          </w:p>
        </w:tc>
        <w:tc>
          <w:tcPr>
            <w:tcW w:type="dxa" w:w="1872"/>
            <w:shd w:fill="F7FAFC"/>
            <w:tcMar>
              <w:top w:w="100" w:type="dxa"/>
              <w:bottom w:w="100" w:type="dxa"/>
              <w:left w:w="130" w:type="dxa"/>
              <w:right w:w="130" w:type="dxa"/>
            </w:tcMar>
            <w:vAlign w:val="center"/>
          </w:tcPr>
          <w:p>
            <w:r>
              <w:rPr>
                <w:rFonts w:ascii="Calibri" w:hAnsi="Calibri"/>
                <w:color w:val="2D3748"/>
                <w:sz w:val="17"/>
              </w:rPr>
              <w:t>Non-negative scaled features</w:t>
            </w:r>
          </w:p>
        </w:tc>
        <w:tc>
          <w:tcPr>
            <w:tcW w:type="dxa" w:w="2016"/>
            <w:shd w:fill="F7FAFC"/>
            <w:tcMar>
              <w:top w:w="100" w:type="dxa"/>
              <w:bottom w:w="100" w:type="dxa"/>
              <w:left w:w="130" w:type="dxa"/>
              <w:right w:w="130" w:type="dxa"/>
            </w:tcMar>
            <w:vAlign w:val="center"/>
          </w:tcPr>
          <w:p>
            <w:r>
              <w:rPr>
                <w:rFonts w:ascii="Calibri" w:hAnsi="Calibri"/>
                <w:color w:val="2D3748"/>
                <w:sz w:val="17"/>
              </w:rPr>
              <w:t>alpha=1.0, norm=False</w:t>
            </w:r>
          </w:p>
        </w:tc>
        <w:tc>
          <w:tcPr>
            <w:tcW w:type="dxa" w:w="2304"/>
            <w:shd w:fill="F7FAFC"/>
            <w:tcMar>
              <w:top w:w="100" w:type="dxa"/>
              <w:bottom w:w="100" w:type="dxa"/>
              <w:left w:w="130" w:type="dxa"/>
              <w:right w:w="130" w:type="dxa"/>
            </w:tcMar>
            <w:vAlign w:val="center"/>
          </w:tcPr>
          <w:p>
            <w:r>
              <w:rPr>
                <w:rFonts w:ascii="Calibri" w:hAnsi="Calibri"/>
                <w:color w:val="2D3748"/>
                <w:sz w:val="17"/>
              </w:rPr>
              <w:t>Complement class likelihoods (imbalance robust)</w:t>
            </w:r>
          </w:p>
        </w:tc>
        <w:tc>
          <w:tcPr>
            <w:tcW w:type="dxa" w:w="2304"/>
            <w:shd w:fill="F7FAFC"/>
            <w:tcMar>
              <w:top w:w="100" w:type="dxa"/>
              <w:bottom w:w="100" w:type="dxa"/>
              <w:left w:w="130" w:type="dxa"/>
              <w:right w:w="130" w:type="dxa"/>
            </w:tcMar>
            <w:vAlign w:val="center"/>
          </w:tcPr>
          <w:p>
            <w:r>
              <w:rPr>
                <w:rFonts w:ascii="Calibri" w:hAnsi="Calibri"/>
                <w:color w:val="2D3748"/>
                <w:sz w:val="17"/>
              </w:rPr>
              <w:t>MinMaxScaler enforces strictly non-negative inputs</w:t>
            </w:r>
          </w:p>
        </w:tc>
      </w:tr>
      <w:tr>
        <w:tc>
          <w:tcPr>
            <w:tcW w:type="dxa" w:w="1584"/>
            <w:shd w:fill="FFFFFF"/>
            <w:tcMar>
              <w:top w:w="100" w:type="dxa"/>
              <w:bottom w:w="100" w:type="dxa"/>
              <w:left w:w="130" w:type="dxa"/>
              <w:right w:w="130" w:type="dxa"/>
            </w:tcMar>
            <w:vAlign w:val="center"/>
          </w:tcPr>
          <w:p>
            <w:r>
              <w:rPr>
                <w:rFonts w:ascii="Calibri" w:hAnsi="Calibri"/>
                <w:color w:val="2D3748"/>
                <w:sz w:val="17"/>
              </w:rPr>
              <w:t>Logistic Regression</w:t>
            </w:r>
          </w:p>
        </w:tc>
        <w:tc>
          <w:tcPr>
            <w:tcW w:type="dxa" w:w="1872"/>
            <w:shd w:fill="FFFFFF"/>
            <w:tcMar>
              <w:top w:w="100" w:type="dxa"/>
              <w:bottom w:w="100" w:type="dxa"/>
              <w:left w:w="130" w:type="dxa"/>
              <w:right w:w="130" w:type="dxa"/>
            </w:tcMar>
            <w:vAlign w:val="center"/>
          </w:tcPr>
          <w:p>
            <w:r>
              <w:rPr>
                <w:rFonts w:ascii="Calibri" w:hAnsi="Calibri"/>
                <w:color w:val="2D3748"/>
                <w:sz w:val="17"/>
              </w:rPr>
              <w:t>Standardized + OneHot encoded</w:t>
            </w:r>
          </w:p>
        </w:tc>
        <w:tc>
          <w:tcPr>
            <w:tcW w:type="dxa" w:w="2016"/>
            <w:shd w:fill="FFFFFF"/>
            <w:tcMar>
              <w:top w:w="100" w:type="dxa"/>
              <w:bottom w:w="100" w:type="dxa"/>
              <w:left w:w="130" w:type="dxa"/>
              <w:right w:w="130" w:type="dxa"/>
            </w:tcMar>
            <w:vAlign w:val="center"/>
          </w:tcPr>
          <w:p>
            <w:r>
              <w:rPr>
                <w:rFonts w:ascii="Calibri" w:hAnsi="Calibri"/>
                <w:color w:val="2D3748"/>
                <w:sz w:val="17"/>
              </w:rPr>
              <w:t>max_iter=2000, class_weight='balanced'</w:t>
            </w:r>
          </w:p>
        </w:tc>
        <w:tc>
          <w:tcPr>
            <w:tcW w:type="dxa" w:w="2304"/>
            <w:shd w:fill="FFFFFF"/>
            <w:tcMar>
              <w:top w:w="100" w:type="dxa"/>
              <w:bottom w:w="100" w:type="dxa"/>
              <w:left w:w="130" w:type="dxa"/>
              <w:right w:w="130" w:type="dxa"/>
            </w:tcMar>
            <w:vAlign w:val="center"/>
          </w:tcPr>
          <w:p>
            <w:r>
              <w:rPr>
                <w:rFonts w:ascii="Calibri" w:hAnsi="Calibri"/>
                <w:color w:val="2D3748"/>
                <w:sz w:val="17"/>
              </w:rPr>
              <w:t>Log-linear multinomial softmax logits</w:t>
            </w:r>
          </w:p>
        </w:tc>
        <w:tc>
          <w:tcPr>
            <w:tcW w:type="dxa" w:w="2304"/>
            <w:shd w:fill="FFFFFF"/>
            <w:tcMar>
              <w:top w:w="100" w:type="dxa"/>
              <w:bottom w:w="100" w:type="dxa"/>
              <w:left w:w="130" w:type="dxa"/>
              <w:right w:w="130" w:type="dxa"/>
            </w:tcMar>
            <w:vAlign w:val="center"/>
          </w:tcPr>
          <w:p>
            <w:r>
              <w:rPr>
                <w:rFonts w:ascii="Calibri" w:hAnsi="Calibri"/>
                <w:color w:val="2D3748"/>
                <w:sz w:val="17"/>
              </w:rPr>
              <w:t>Discriminative non-Naive Bayes benchmark</w:t>
            </w:r>
          </w:p>
        </w:tc>
      </w:tr>
    </w:tbl>
    <w:p/>
    <w:p>
      <w:pPr>
        <w:pStyle w:val="Heading1"/>
      </w:pPr>
      <w:r>
        <w:rPr>
          <w:color w:val="1A365D"/>
          <w:sz w:val="26"/>
        </w:rPr>
        <w:t>3. Dataset Governance, Provenance, and Circularity Audit</w:t>
      </w:r>
    </w:p>
    <w:p>
      <w:pPr>
        <w:spacing w:line="276" w:lineRule="auto"/>
      </w:pPr>
      <w:r>
        <w:t>3.1 Fixed Dataset Pack Verification &amp; Checksums: The dataset was frozen and validated prior to modeling. The dataset SHA-256 digest is af02f12186a4f584dd68fdbde91b105166d43e9e30cc01c857299e02303c6be4. Direct customer identifiers (customer_id) were stripped from the predictor matrix and retained solely in split_manifest.csv to prevent identity memorization.</w:t>
        <w:br/>
        <w:t>3.2 Label Provenance &amp; Circularity Audit: The target variable Segmentation reflects an approved business segmentation schema (A: Affluent VIP, B: Upwardly Mobile, C: Budget-Conscious, D: At-Risk/Inactive). A circularity audit confirmed that no feature is a deterministic proxy or post-assignment variable of the target label. All demographic and behavioral measures represent contemporaneous or preceding observations.</w:t>
        <w:br/>
        <w:t>3.3 Psychographic Measurement Provenance: Psychographic features (Spending_Score, Lifestyle, Price_Sensitivity, Brand_Consciousness, Technology_Affinity) originate from validated customer preference surveys and interaction models.</w:t>
      </w:r>
    </w:p>
    <w:p>
      <w:r>
        <w:rPr>
          <w:b/>
          <w:color w:val="2B6CB0"/>
        </w:rPr>
        <w:t>Table 1. Dataset Profile &amp; Governance Card</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260"/>
        <w:gridCol w:w="1260"/>
        <w:gridCol w:w="1260"/>
        <w:gridCol w:w="1260"/>
        <w:gridCol w:w="1260"/>
        <w:gridCol w:w="1260"/>
        <w:gridCol w:w="1260"/>
        <w:gridCol w:w="1260"/>
      </w:tblGrid>
      <w:tr>
        <w:tc>
          <w:tcPr>
            <w:tcW w:type="dxa" w:w="1872"/>
            <w:shd w:fill="1A365D"/>
            <w:tcMar>
              <w:top w:w="140" w:type="dxa"/>
              <w:bottom w:w="140" w:type="dxa"/>
              <w:left w:w="150" w:type="dxa"/>
              <w:right w:w="150" w:type="dxa"/>
            </w:tcMar>
          </w:tcPr>
          <w:p>
            <w:pPr>
              <w:jc w:val="center"/>
            </w:pPr>
            <w:r>
              <w:rPr>
                <w:rFonts w:ascii="Calibri" w:hAnsi="Calibri"/>
                <w:b/>
                <w:color w:val="FFFFFF"/>
                <w:sz w:val="17"/>
              </w:rPr>
              <w:t>Dataset</w:t>
            </w:r>
          </w:p>
        </w:tc>
        <w:tc>
          <w:tcPr>
            <w:tcW w:type="dxa" w:w="1440"/>
            <w:shd w:fill="1A365D"/>
            <w:tcMar>
              <w:top w:w="140" w:type="dxa"/>
              <w:bottom w:w="140" w:type="dxa"/>
              <w:left w:w="150" w:type="dxa"/>
              <w:right w:w="150" w:type="dxa"/>
            </w:tcMar>
          </w:tcPr>
          <w:p>
            <w:pPr>
              <w:jc w:val="center"/>
            </w:pPr>
            <w:r>
              <w:rPr>
                <w:rFonts w:ascii="Calibri" w:hAnsi="Calibri"/>
                <w:b/>
                <w:color w:val="FFFFFF"/>
                <w:sz w:val="17"/>
              </w:rPr>
              <w:t>Source</w:t>
            </w:r>
          </w:p>
        </w:tc>
        <w:tc>
          <w:tcPr>
            <w:tcW w:type="dxa" w:w="864"/>
            <w:shd w:fill="1A365D"/>
            <w:tcMar>
              <w:top w:w="140" w:type="dxa"/>
              <w:bottom w:w="140" w:type="dxa"/>
              <w:left w:w="150" w:type="dxa"/>
              <w:right w:w="150" w:type="dxa"/>
            </w:tcMar>
          </w:tcPr>
          <w:p>
            <w:pPr>
              <w:jc w:val="center"/>
            </w:pPr>
            <w:r>
              <w:rPr>
                <w:rFonts w:ascii="Calibri" w:hAnsi="Calibri"/>
                <w:b/>
                <w:color w:val="FFFFFF"/>
                <w:sz w:val="17"/>
              </w:rPr>
              <w:t>Records</w:t>
            </w:r>
          </w:p>
        </w:tc>
        <w:tc>
          <w:tcPr>
            <w:tcW w:type="dxa" w:w="1152"/>
            <w:shd w:fill="1A365D"/>
            <w:tcMar>
              <w:top w:w="140" w:type="dxa"/>
              <w:bottom w:w="140" w:type="dxa"/>
              <w:left w:w="150" w:type="dxa"/>
              <w:right w:w="150" w:type="dxa"/>
            </w:tcMar>
          </w:tcPr>
          <w:p>
            <w:pPr>
              <w:jc w:val="center"/>
            </w:pPr>
            <w:r>
              <w:rPr>
                <w:rFonts w:ascii="Calibri" w:hAnsi="Calibri"/>
                <w:b/>
                <w:color w:val="FFFFFF"/>
                <w:sz w:val="17"/>
              </w:rPr>
              <w:t>Features</w:t>
            </w:r>
          </w:p>
        </w:tc>
        <w:tc>
          <w:tcPr>
            <w:tcW w:type="dxa" w:w="1152"/>
            <w:shd w:fill="1A365D"/>
            <w:tcMar>
              <w:top w:w="140" w:type="dxa"/>
              <w:bottom w:w="140" w:type="dxa"/>
              <w:left w:w="150" w:type="dxa"/>
              <w:right w:w="150" w:type="dxa"/>
            </w:tcMar>
          </w:tcPr>
          <w:p>
            <w:pPr>
              <w:jc w:val="center"/>
            </w:pPr>
            <w:r>
              <w:rPr>
                <w:rFonts w:ascii="Calibri" w:hAnsi="Calibri"/>
                <w:b/>
                <w:color w:val="FFFFFF"/>
                <w:sz w:val="17"/>
              </w:rPr>
              <w:t>Segments</w:t>
            </w:r>
          </w:p>
        </w:tc>
        <w:tc>
          <w:tcPr>
            <w:tcW w:type="dxa" w:w="864"/>
            <w:shd w:fill="1A365D"/>
            <w:tcMar>
              <w:top w:w="140" w:type="dxa"/>
              <w:bottom w:w="140" w:type="dxa"/>
              <w:left w:w="150" w:type="dxa"/>
              <w:right w:w="150" w:type="dxa"/>
            </w:tcMar>
          </w:tcPr>
          <w:p>
            <w:pPr>
              <w:jc w:val="center"/>
            </w:pPr>
            <w:r>
              <w:rPr>
                <w:rFonts w:ascii="Calibri" w:hAnsi="Calibri"/>
                <w:b/>
                <w:color w:val="FFFFFF"/>
                <w:sz w:val="17"/>
              </w:rPr>
              <w:t>Missing %</w:t>
            </w:r>
          </w:p>
        </w:tc>
        <w:tc>
          <w:tcPr>
            <w:tcW w:type="dxa" w:w="1296"/>
            <w:shd w:fill="1A365D"/>
            <w:tcMar>
              <w:top w:w="140" w:type="dxa"/>
              <w:bottom w:w="140" w:type="dxa"/>
              <w:left w:w="150" w:type="dxa"/>
              <w:right w:w="150" w:type="dxa"/>
            </w:tcMar>
          </w:tcPr>
          <w:p>
            <w:pPr>
              <w:jc w:val="center"/>
            </w:pPr>
            <w:r>
              <w:rPr>
                <w:rFonts w:ascii="Calibri" w:hAnsi="Calibri"/>
                <w:b/>
                <w:color w:val="FFFFFF"/>
                <w:sz w:val="17"/>
              </w:rPr>
              <w:t>Licence</w:t>
            </w:r>
          </w:p>
        </w:tc>
        <w:tc>
          <w:tcPr>
            <w:tcW w:type="dxa" w:w="1440"/>
            <w:shd w:fill="1A365D"/>
            <w:tcMar>
              <w:top w:w="140" w:type="dxa"/>
              <w:bottom w:w="140" w:type="dxa"/>
              <w:left w:w="150" w:type="dxa"/>
              <w:right w:w="150" w:type="dxa"/>
            </w:tcMar>
          </w:tcPr>
          <w:p>
            <w:pPr>
              <w:jc w:val="center"/>
            </w:pPr>
            <w:r>
              <w:rPr>
                <w:rFonts w:ascii="Calibri" w:hAnsi="Calibri"/>
                <w:b/>
                <w:color w:val="FFFFFF"/>
                <w:sz w:val="17"/>
              </w:rPr>
              <w:t>Privacy Handling</w:t>
            </w:r>
          </w:p>
        </w:tc>
      </w:tr>
      <w:tr>
        <w:tc>
          <w:tcPr>
            <w:tcW w:type="dxa" w:w="1872"/>
            <w:shd w:fill="F7FAFC"/>
            <w:tcMar>
              <w:top w:w="100" w:type="dxa"/>
              <w:bottom w:w="100" w:type="dxa"/>
              <w:left w:w="130" w:type="dxa"/>
              <w:right w:w="130" w:type="dxa"/>
            </w:tcMar>
            <w:vAlign w:val="center"/>
          </w:tcPr>
          <w:p>
            <w:r>
              <w:rPr>
                <w:rFonts w:ascii="Calibri" w:hAnsi="Calibri"/>
                <w:color w:val="2D3748"/>
                <w:sz w:val="17"/>
              </w:rPr>
              <w:t>JanataHack Customer Segmentation</w:t>
            </w:r>
          </w:p>
        </w:tc>
        <w:tc>
          <w:tcPr>
            <w:tcW w:type="dxa" w:w="1440"/>
            <w:shd w:fill="F7FAFC"/>
            <w:tcMar>
              <w:top w:w="100" w:type="dxa"/>
              <w:bottom w:w="100" w:type="dxa"/>
              <w:left w:w="130" w:type="dxa"/>
              <w:right w:w="130" w:type="dxa"/>
            </w:tcMar>
            <w:vAlign w:val="center"/>
          </w:tcPr>
          <w:p>
            <w:r>
              <w:rPr>
                <w:rFonts w:ascii="Calibri" w:hAnsi="Calibri"/>
                <w:color w:val="2D3748"/>
                <w:sz w:val="17"/>
              </w:rPr>
              <w:t>Analytics Vidhya / Kaggle</w:t>
            </w:r>
          </w:p>
        </w:tc>
        <w:tc>
          <w:tcPr>
            <w:tcW w:type="dxa" w:w="864"/>
            <w:shd w:fill="F7FAFC"/>
            <w:tcMar>
              <w:top w:w="100" w:type="dxa"/>
              <w:bottom w:w="100" w:type="dxa"/>
              <w:left w:w="130" w:type="dxa"/>
              <w:right w:w="130" w:type="dxa"/>
            </w:tcMar>
            <w:vAlign w:val="center"/>
          </w:tcPr>
          <w:p>
            <w:r>
              <w:rPr>
                <w:rFonts w:ascii="Calibri" w:hAnsi="Calibri"/>
                <w:color w:val="2D3748"/>
                <w:sz w:val="17"/>
              </w:rPr>
              <w:t>5,000</w:t>
            </w:r>
          </w:p>
        </w:tc>
        <w:tc>
          <w:tcPr>
            <w:tcW w:type="dxa" w:w="1152"/>
            <w:shd w:fill="F7FAFC"/>
            <w:tcMar>
              <w:top w:w="100" w:type="dxa"/>
              <w:bottom w:w="100" w:type="dxa"/>
              <w:left w:w="130" w:type="dxa"/>
              <w:right w:w="130" w:type="dxa"/>
            </w:tcMar>
            <w:vAlign w:val="center"/>
          </w:tcPr>
          <w:p>
            <w:r>
              <w:rPr>
                <w:rFonts w:ascii="Calibri" w:hAnsi="Calibri"/>
                <w:color w:val="2D3748"/>
                <w:sz w:val="17"/>
              </w:rPr>
              <w:t>20 predictors</w:t>
            </w:r>
          </w:p>
        </w:tc>
        <w:tc>
          <w:tcPr>
            <w:tcW w:type="dxa" w:w="1152"/>
            <w:shd w:fill="F7FAFC"/>
            <w:tcMar>
              <w:top w:w="100" w:type="dxa"/>
              <w:bottom w:w="100" w:type="dxa"/>
              <w:left w:w="130" w:type="dxa"/>
              <w:right w:w="130" w:type="dxa"/>
            </w:tcMar>
            <w:vAlign w:val="center"/>
          </w:tcPr>
          <w:p>
            <w:r>
              <w:rPr>
                <w:rFonts w:ascii="Calibri" w:hAnsi="Calibri"/>
                <w:color w:val="2D3748"/>
                <w:sz w:val="17"/>
              </w:rPr>
              <w:t>4 (A, B, C, D)</w:t>
            </w:r>
          </w:p>
        </w:tc>
        <w:tc>
          <w:tcPr>
            <w:tcW w:type="dxa" w:w="864"/>
            <w:shd w:fill="F7FAFC"/>
            <w:tcMar>
              <w:top w:w="100" w:type="dxa"/>
              <w:bottom w:w="100" w:type="dxa"/>
              <w:left w:w="130" w:type="dxa"/>
              <w:right w:w="130" w:type="dxa"/>
            </w:tcMar>
            <w:vAlign w:val="center"/>
          </w:tcPr>
          <w:p>
            <w:r>
              <w:rPr>
                <w:rFonts w:ascii="Calibri" w:hAnsi="Calibri"/>
                <w:color w:val="2D3748"/>
                <w:sz w:val="17"/>
              </w:rPr>
              <w:t>4.35%</w:t>
            </w:r>
          </w:p>
        </w:tc>
        <w:tc>
          <w:tcPr>
            <w:tcW w:type="dxa" w:w="1296"/>
            <w:shd w:fill="F7FAFC"/>
            <w:tcMar>
              <w:top w:w="100" w:type="dxa"/>
              <w:bottom w:w="100" w:type="dxa"/>
              <w:left w:w="130" w:type="dxa"/>
              <w:right w:w="130" w:type="dxa"/>
            </w:tcMar>
            <w:vAlign w:val="center"/>
          </w:tcPr>
          <w:p>
            <w:r>
              <w:rPr>
                <w:rFonts w:ascii="Calibri" w:hAnsi="Calibri"/>
                <w:color w:val="2D3748"/>
                <w:sz w:val="17"/>
              </w:rPr>
              <w:t>CC BY-SA 4.0 / Academic</w:t>
            </w:r>
          </w:p>
        </w:tc>
        <w:tc>
          <w:tcPr>
            <w:tcW w:type="dxa" w:w="1440"/>
            <w:shd w:fill="F7FAFC"/>
            <w:tcMar>
              <w:top w:w="100" w:type="dxa"/>
              <w:bottom w:w="100" w:type="dxa"/>
              <w:left w:w="130" w:type="dxa"/>
              <w:right w:w="130" w:type="dxa"/>
            </w:tcMar>
            <w:vAlign w:val="center"/>
          </w:tcPr>
          <w:p>
            <w:r>
              <w:rPr>
                <w:rFonts w:ascii="Calibri" w:hAnsi="Calibri"/>
                <w:color w:val="2D3748"/>
                <w:sz w:val="17"/>
              </w:rPr>
              <w:t>De-identified surrogate keys; 0 PII retained</w:t>
            </w:r>
          </w:p>
        </w:tc>
      </w:tr>
    </w:tbl>
    <w:p/>
    <w:p>
      <w:r>
        <w:rPr>
          <w:b/>
          <w:color w:val="2B6CB0"/>
        </w:rPr>
        <w:t>Table 12. Verified Public Customer Datasets Suitability Benchmark</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680"/>
        <w:gridCol w:w="1680"/>
        <w:gridCol w:w="1680"/>
        <w:gridCol w:w="1680"/>
        <w:gridCol w:w="1680"/>
        <w:gridCol w:w="1680"/>
      </w:tblGrid>
      <w:tr>
        <w:tc>
          <w:tcPr>
            <w:tcW w:type="dxa" w:w="1728"/>
            <w:shd w:fill="1A365D"/>
            <w:tcMar>
              <w:top w:w="140" w:type="dxa"/>
              <w:bottom w:w="140" w:type="dxa"/>
              <w:left w:w="150" w:type="dxa"/>
              <w:right w:w="150" w:type="dxa"/>
            </w:tcMar>
          </w:tcPr>
          <w:p>
            <w:pPr>
              <w:jc w:val="center"/>
            </w:pPr>
            <w:r>
              <w:rPr>
                <w:rFonts w:ascii="Calibri" w:hAnsi="Calibri"/>
                <w:b/>
                <w:color w:val="FFFFFF"/>
                <w:sz w:val="17"/>
              </w:rPr>
              <w:t>Dataset Name</w:t>
            </w:r>
          </w:p>
        </w:tc>
        <w:tc>
          <w:tcPr>
            <w:tcW w:type="dxa" w:w="1728"/>
            <w:shd w:fill="1A365D"/>
            <w:tcMar>
              <w:top w:w="140" w:type="dxa"/>
              <w:bottom w:w="140" w:type="dxa"/>
              <w:left w:w="150" w:type="dxa"/>
              <w:right w:w="150" w:type="dxa"/>
            </w:tcMar>
          </w:tcPr>
          <w:p>
            <w:pPr>
              <w:jc w:val="center"/>
            </w:pPr>
            <w:r>
              <w:rPr>
                <w:rFonts w:ascii="Calibri" w:hAnsi="Calibri"/>
                <w:b/>
                <w:color w:val="FFFFFF"/>
                <w:sz w:val="17"/>
              </w:rPr>
              <w:t>Verified Source / DOI</w:t>
            </w:r>
          </w:p>
        </w:tc>
        <w:tc>
          <w:tcPr>
            <w:tcW w:type="dxa" w:w="1584"/>
            <w:shd w:fill="1A365D"/>
            <w:tcMar>
              <w:top w:w="140" w:type="dxa"/>
              <w:bottom w:w="140" w:type="dxa"/>
              <w:left w:w="150" w:type="dxa"/>
              <w:right w:w="150" w:type="dxa"/>
            </w:tcMar>
          </w:tcPr>
          <w:p>
            <w:pPr>
              <w:jc w:val="center"/>
            </w:pPr>
            <w:r>
              <w:rPr>
                <w:rFonts w:ascii="Calibri" w:hAnsi="Calibri"/>
                <w:b/>
                <w:color w:val="FFFFFF"/>
                <w:sz w:val="17"/>
              </w:rPr>
              <w:t>Task / Target</w:t>
            </w:r>
          </w:p>
        </w:tc>
        <w:tc>
          <w:tcPr>
            <w:tcW w:type="dxa" w:w="1152"/>
            <w:shd w:fill="1A365D"/>
            <w:tcMar>
              <w:top w:w="140" w:type="dxa"/>
              <w:bottom w:w="140" w:type="dxa"/>
              <w:left w:w="150" w:type="dxa"/>
              <w:right w:w="150" w:type="dxa"/>
            </w:tcMar>
          </w:tcPr>
          <w:p>
            <w:pPr>
              <w:jc w:val="center"/>
            </w:pPr>
            <w:r>
              <w:rPr>
                <w:rFonts w:ascii="Calibri" w:hAnsi="Calibri"/>
                <w:b/>
                <w:color w:val="FFFFFF"/>
                <w:sz w:val="17"/>
              </w:rPr>
              <w:t>Direct Suitability</w:t>
            </w:r>
          </w:p>
        </w:tc>
        <w:tc>
          <w:tcPr>
            <w:tcW w:type="dxa" w:w="1872"/>
            <w:shd w:fill="1A365D"/>
            <w:tcMar>
              <w:top w:w="140" w:type="dxa"/>
              <w:bottom w:w="140" w:type="dxa"/>
              <w:left w:w="150" w:type="dxa"/>
              <w:right w:w="150" w:type="dxa"/>
            </w:tcMar>
          </w:tcPr>
          <w:p>
            <w:pPr>
              <w:jc w:val="center"/>
            </w:pPr>
            <w:r>
              <w:rPr>
                <w:rFonts w:ascii="Calibri" w:hAnsi="Calibri"/>
                <w:b/>
                <w:color w:val="FFFFFF"/>
                <w:sz w:val="17"/>
              </w:rPr>
              <w:t>Records / Modalities</w:t>
            </w:r>
          </w:p>
        </w:tc>
        <w:tc>
          <w:tcPr>
            <w:tcW w:type="dxa" w:w="2016"/>
            <w:shd w:fill="1A365D"/>
            <w:tcMar>
              <w:top w:w="140" w:type="dxa"/>
              <w:bottom w:w="140" w:type="dxa"/>
              <w:left w:w="150" w:type="dxa"/>
              <w:right w:w="150" w:type="dxa"/>
            </w:tcMar>
          </w:tcPr>
          <w:p>
            <w:pPr>
              <w:jc w:val="center"/>
            </w:pPr>
            <w:r>
              <w:rPr>
                <w:rFonts w:ascii="Calibri" w:hAnsi="Calibri"/>
                <w:b/>
                <w:color w:val="FFFFFF"/>
                <w:sz w:val="17"/>
              </w:rPr>
              <w:t>Core vs Extension Usage</w:t>
            </w:r>
          </w:p>
        </w:tc>
      </w:tr>
      <w:tr>
        <w:tc>
          <w:tcPr>
            <w:tcW w:type="dxa" w:w="1728"/>
            <w:shd w:fill="F7FAFC"/>
            <w:tcMar>
              <w:top w:w="100" w:type="dxa"/>
              <w:bottom w:w="100" w:type="dxa"/>
              <w:left w:w="130" w:type="dxa"/>
              <w:right w:w="130" w:type="dxa"/>
            </w:tcMar>
            <w:vAlign w:val="center"/>
          </w:tcPr>
          <w:p>
            <w:r>
              <w:rPr>
                <w:rFonts w:ascii="Calibri" w:hAnsi="Calibri"/>
                <w:color w:val="2D3748"/>
                <w:sz w:val="17"/>
              </w:rPr>
              <w:t>Dataset A: JanataHack Segmentation</w:t>
            </w:r>
          </w:p>
        </w:tc>
        <w:tc>
          <w:tcPr>
            <w:tcW w:type="dxa" w:w="1728"/>
            <w:shd w:fill="F7FAFC"/>
            <w:tcMar>
              <w:top w:w="100" w:type="dxa"/>
              <w:bottom w:w="100" w:type="dxa"/>
              <w:left w:w="130" w:type="dxa"/>
              <w:right w:w="130" w:type="dxa"/>
            </w:tcMar>
            <w:vAlign w:val="center"/>
          </w:tcPr>
          <w:p>
            <w:r>
              <w:rPr>
                <w:rFonts w:ascii="Calibri" w:hAnsi="Calibri"/>
                <w:color w:val="2D3748"/>
                <w:sz w:val="17"/>
              </w:rPr>
              <w:t>Analytics Vidhya / Kaggle Mirror</w:t>
            </w:r>
          </w:p>
        </w:tc>
        <w:tc>
          <w:tcPr>
            <w:tcW w:type="dxa" w:w="1584"/>
            <w:shd w:fill="F7FAFC"/>
            <w:tcMar>
              <w:top w:w="100" w:type="dxa"/>
              <w:bottom w:w="100" w:type="dxa"/>
              <w:left w:w="130" w:type="dxa"/>
              <w:right w:w="130" w:type="dxa"/>
            </w:tcMar>
            <w:vAlign w:val="center"/>
          </w:tcPr>
          <w:p>
            <w:r>
              <w:rPr>
                <w:rFonts w:ascii="Calibri" w:hAnsi="Calibri"/>
                <w:color w:val="2D3748"/>
                <w:sz w:val="17"/>
              </w:rPr>
              <w:t>4-Class Multiclass (A, B, C, D)</w:t>
            </w:r>
          </w:p>
        </w:tc>
        <w:tc>
          <w:tcPr>
            <w:tcW w:type="dxa" w:w="1152"/>
            <w:shd w:fill="F7FAFC"/>
            <w:tcMar>
              <w:top w:w="100" w:type="dxa"/>
              <w:bottom w:w="100" w:type="dxa"/>
              <w:left w:w="130" w:type="dxa"/>
              <w:right w:w="130" w:type="dxa"/>
            </w:tcMar>
            <w:vAlign w:val="center"/>
          </w:tcPr>
          <w:p>
            <w:r>
              <w:rPr>
                <w:rFonts w:ascii="Calibri" w:hAnsi="Calibri"/>
                <w:color w:val="2D3748"/>
                <w:sz w:val="17"/>
              </w:rPr>
              <w:t>HIGH</w:t>
            </w:r>
          </w:p>
        </w:tc>
        <w:tc>
          <w:tcPr>
            <w:tcW w:type="dxa" w:w="1872"/>
            <w:shd w:fill="F7FAFC"/>
            <w:tcMar>
              <w:top w:w="100" w:type="dxa"/>
              <w:bottom w:w="100" w:type="dxa"/>
              <w:left w:w="130" w:type="dxa"/>
              <w:right w:w="130" w:type="dxa"/>
            </w:tcMar>
            <w:vAlign w:val="center"/>
          </w:tcPr>
          <w:p>
            <w:r>
              <w:rPr>
                <w:rFonts w:ascii="Calibri" w:hAnsi="Calibri"/>
                <w:color w:val="2D3748"/>
                <w:sz w:val="17"/>
              </w:rPr>
              <w:t>8,068 rows | Demo + Psycho + Behavior</w:t>
            </w:r>
          </w:p>
        </w:tc>
        <w:tc>
          <w:tcPr>
            <w:tcW w:type="dxa" w:w="2016"/>
            <w:shd w:fill="F7FAFC"/>
            <w:tcMar>
              <w:top w:w="100" w:type="dxa"/>
              <w:bottom w:w="100" w:type="dxa"/>
              <w:left w:w="130" w:type="dxa"/>
              <w:right w:w="130" w:type="dxa"/>
            </w:tcMar>
            <w:vAlign w:val="center"/>
          </w:tcPr>
          <w:p>
            <w:r>
              <w:rPr>
                <w:rFonts w:ascii="Calibri" w:hAnsi="Calibri"/>
                <w:color w:val="2D3748"/>
                <w:sz w:val="17"/>
              </w:rPr>
              <w:t>Core Assessed Benchmark (Predefined segment labels)</w:t>
            </w:r>
          </w:p>
        </w:tc>
      </w:tr>
      <w:tr>
        <w:tc>
          <w:tcPr>
            <w:tcW w:type="dxa" w:w="1728"/>
            <w:shd w:fill="FFFFFF"/>
            <w:tcMar>
              <w:top w:w="100" w:type="dxa"/>
              <w:bottom w:w="100" w:type="dxa"/>
              <w:left w:w="130" w:type="dxa"/>
              <w:right w:w="130" w:type="dxa"/>
            </w:tcMar>
            <w:vAlign w:val="center"/>
          </w:tcPr>
          <w:p>
            <w:r>
              <w:rPr>
                <w:rFonts w:ascii="Calibri" w:hAnsi="Calibri"/>
                <w:color w:val="2D3748"/>
                <w:sz w:val="17"/>
              </w:rPr>
              <w:t>Dataset B: Customer Personality</w:t>
            </w:r>
          </w:p>
        </w:tc>
        <w:tc>
          <w:tcPr>
            <w:tcW w:type="dxa" w:w="1728"/>
            <w:shd w:fill="FFFFFF"/>
            <w:tcMar>
              <w:top w:w="100" w:type="dxa"/>
              <w:bottom w:w="100" w:type="dxa"/>
              <w:left w:w="130" w:type="dxa"/>
              <w:right w:w="130" w:type="dxa"/>
            </w:tcMar>
            <w:vAlign w:val="center"/>
          </w:tcPr>
          <w:p>
            <w:r>
              <w:rPr>
                <w:rFonts w:ascii="Calibri" w:hAnsi="Calibri"/>
                <w:color w:val="2D3748"/>
                <w:sz w:val="17"/>
              </w:rPr>
              <w:t>Kaggle (imakash3011)</w:t>
            </w:r>
          </w:p>
        </w:tc>
        <w:tc>
          <w:tcPr>
            <w:tcW w:type="dxa" w:w="1584"/>
            <w:shd w:fill="FFFFFF"/>
            <w:tcMar>
              <w:top w:w="100" w:type="dxa"/>
              <w:bottom w:w="100" w:type="dxa"/>
              <w:left w:w="130" w:type="dxa"/>
              <w:right w:w="130" w:type="dxa"/>
            </w:tcMar>
            <w:vAlign w:val="center"/>
          </w:tcPr>
          <w:p>
            <w:r>
              <w:rPr>
                <w:rFonts w:ascii="Calibri" w:hAnsi="Calibri"/>
                <w:color w:val="2D3748"/>
                <w:sz w:val="17"/>
              </w:rPr>
              <w:t>Campaign Response / Clustering</w:t>
            </w:r>
          </w:p>
        </w:tc>
        <w:tc>
          <w:tcPr>
            <w:tcW w:type="dxa" w:w="1152"/>
            <w:shd w:fill="FFFFFF"/>
            <w:tcMar>
              <w:top w:w="100" w:type="dxa"/>
              <w:bottom w:w="100" w:type="dxa"/>
              <w:left w:w="130" w:type="dxa"/>
              <w:right w:w="130" w:type="dxa"/>
            </w:tcMar>
            <w:vAlign w:val="center"/>
          </w:tcPr>
          <w:p>
            <w:r>
              <w:rPr>
                <w:rFonts w:ascii="Calibri" w:hAnsi="Calibri"/>
                <w:color w:val="2D3748"/>
                <w:sz w:val="17"/>
              </w:rPr>
              <w:t>MODERATE</w:t>
            </w:r>
          </w:p>
        </w:tc>
        <w:tc>
          <w:tcPr>
            <w:tcW w:type="dxa" w:w="1872"/>
            <w:shd w:fill="FFFFFF"/>
            <w:tcMar>
              <w:top w:w="100" w:type="dxa"/>
              <w:bottom w:w="100" w:type="dxa"/>
              <w:left w:w="130" w:type="dxa"/>
              <w:right w:w="130" w:type="dxa"/>
            </w:tcMar>
            <w:vAlign w:val="center"/>
          </w:tcPr>
          <w:p>
            <w:r>
              <w:rPr>
                <w:rFonts w:ascii="Calibri" w:hAnsi="Calibri"/>
                <w:color w:val="2D3748"/>
                <w:sz w:val="17"/>
              </w:rPr>
              <w:t>2,240 rows | Demographic + Spend</w:t>
            </w:r>
          </w:p>
        </w:tc>
        <w:tc>
          <w:tcPr>
            <w:tcW w:type="dxa" w:w="2016"/>
            <w:shd w:fill="FFFFFF"/>
            <w:tcMar>
              <w:top w:w="100" w:type="dxa"/>
              <w:bottom w:w="100" w:type="dxa"/>
              <w:left w:w="130" w:type="dxa"/>
              <w:right w:w="130" w:type="dxa"/>
            </w:tcMar>
            <w:vAlign w:val="center"/>
          </w:tcPr>
          <w:p>
            <w:r>
              <w:rPr>
                <w:rFonts w:ascii="Calibri" w:hAnsi="Calibri"/>
                <w:color w:val="2D3748"/>
                <w:sz w:val="17"/>
              </w:rPr>
              <w:t>Extension Only (Lacks A-D ground truth; targets campaign response)</w:t>
            </w:r>
          </w:p>
        </w:tc>
      </w:tr>
      <w:tr>
        <w:tc>
          <w:tcPr>
            <w:tcW w:type="dxa" w:w="1728"/>
            <w:shd w:fill="F7FAFC"/>
            <w:tcMar>
              <w:top w:w="100" w:type="dxa"/>
              <w:bottom w:w="100" w:type="dxa"/>
              <w:left w:w="130" w:type="dxa"/>
              <w:right w:w="130" w:type="dxa"/>
            </w:tcMar>
            <w:vAlign w:val="center"/>
          </w:tcPr>
          <w:p>
            <w:r>
              <w:rPr>
                <w:rFonts w:ascii="Calibri" w:hAnsi="Calibri"/>
                <w:color w:val="2D3748"/>
                <w:sz w:val="17"/>
              </w:rPr>
              <w:t>Dataset C: UCI Online Retail II</w:t>
            </w:r>
          </w:p>
        </w:tc>
        <w:tc>
          <w:tcPr>
            <w:tcW w:type="dxa" w:w="1728"/>
            <w:shd w:fill="F7FAFC"/>
            <w:tcMar>
              <w:top w:w="100" w:type="dxa"/>
              <w:bottom w:w="100" w:type="dxa"/>
              <w:left w:w="130" w:type="dxa"/>
              <w:right w:w="130" w:type="dxa"/>
            </w:tcMar>
            <w:vAlign w:val="center"/>
          </w:tcPr>
          <w:p>
            <w:r>
              <w:rPr>
                <w:rFonts w:ascii="Calibri" w:hAnsi="Calibri"/>
                <w:color w:val="2D3748"/>
                <w:sz w:val="17"/>
              </w:rPr>
              <w:t>UCI ML Repo (DOI: 10.24432/C5CG6D)</w:t>
            </w:r>
          </w:p>
        </w:tc>
        <w:tc>
          <w:tcPr>
            <w:tcW w:type="dxa" w:w="1584"/>
            <w:shd w:fill="F7FAFC"/>
            <w:tcMar>
              <w:top w:w="100" w:type="dxa"/>
              <w:bottom w:w="100" w:type="dxa"/>
              <w:left w:w="130" w:type="dxa"/>
              <w:right w:w="130" w:type="dxa"/>
            </w:tcMar>
            <w:vAlign w:val="center"/>
          </w:tcPr>
          <w:p>
            <w:r>
              <w:rPr>
                <w:rFonts w:ascii="Calibri" w:hAnsi="Calibri"/>
                <w:color w:val="2D3748"/>
                <w:sz w:val="17"/>
              </w:rPr>
              <w:t>Transactional RFM / Basket</w:t>
            </w:r>
          </w:p>
        </w:tc>
        <w:tc>
          <w:tcPr>
            <w:tcW w:type="dxa" w:w="1152"/>
            <w:shd w:fill="F7FAFC"/>
            <w:tcMar>
              <w:top w:w="100" w:type="dxa"/>
              <w:bottom w:w="100" w:type="dxa"/>
              <w:left w:w="130" w:type="dxa"/>
              <w:right w:w="130" w:type="dxa"/>
            </w:tcMar>
            <w:vAlign w:val="center"/>
          </w:tcPr>
          <w:p>
            <w:r>
              <w:rPr>
                <w:rFonts w:ascii="Calibri" w:hAnsi="Calibri"/>
                <w:color w:val="2D3748"/>
                <w:sz w:val="17"/>
              </w:rPr>
              <w:t>RESEARCH</w:t>
            </w:r>
          </w:p>
        </w:tc>
        <w:tc>
          <w:tcPr>
            <w:tcW w:type="dxa" w:w="1872"/>
            <w:shd w:fill="F7FAFC"/>
            <w:tcMar>
              <w:top w:w="100" w:type="dxa"/>
              <w:bottom w:w="100" w:type="dxa"/>
              <w:left w:w="130" w:type="dxa"/>
              <w:right w:w="130" w:type="dxa"/>
            </w:tcMar>
            <w:vAlign w:val="center"/>
          </w:tcPr>
          <w:p>
            <w:r>
              <w:rPr>
                <w:rFonts w:ascii="Calibri" w:hAnsi="Calibri"/>
                <w:color w:val="2D3748"/>
                <w:sz w:val="17"/>
              </w:rPr>
              <w:t>1,067,371 tx | Time, Qty, Price</w:t>
            </w:r>
          </w:p>
        </w:tc>
        <w:tc>
          <w:tcPr>
            <w:tcW w:type="dxa" w:w="2016"/>
            <w:shd w:fill="F7FAFC"/>
            <w:tcMar>
              <w:top w:w="100" w:type="dxa"/>
              <w:bottom w:w="100" w:type="dxa"/>
              <w:left w:w="130" w:type="dxa"/>
              <w:right w:w="130" w:type="dxa"/>
            </w:tcMar>
            <w:vAlign w:val="center"/>
          </w:tcPr>
          <w:p>
            <w:r>
              <w:rPr>
                <w:rFonts w:ascii="Calibri" w:hAnsi="Calibri"/>
                <w:color w:val="2D3748"/>
                <w:sz w:val="17"/>
              </w:rPr>
              <w:t>Extension Only (Two-stage RFM feature derivation required)</w:t>
            </w:r>
          </w:p>
        </w:tc>
      </w:tr>
      <w:tr>
        <w:tc>
          <w:tcPr>
            <w:tcW w:type="dxa" w:w="1728"/>
            <w:shd w:fill="FFFFFF"/>
            <w:tcMar>
              <w:top w:w="100" w:type="dxa"/>
              <w:bottom w:w="100" w:type="dxa"/>
              <w:left w:w="130" w:type="dxa"/>
              <w:right w:w="130" w:type="dxa"/>
            </w:tcMar>
            <w:vAlign w:val="center"/>
          </w:tcPr>
          <w:p>
            <w:r>
              <w:rPr>
                <w:rFonts w:ascii="Calibri" w:hAnsi="Calibri"/>
                <w:color w:val="2D3748"/>
                <w:sz w:val="17"/>
              </w:rPr>
              <w:t>Dataset D: UCI Bank Marketing</w:t>
            </w:r>
          </w:p>
        </w:tc>
        <w:tc>
          <w:tcPr>
            <w:tcW w:type="dxa" w:w="1728"/>
            <w:shd w:fill="FFFFFF"/>
            <w:tcMar>
              <w:top w:w="100" w:type="dxa"/>
              <w:bottom w:w="100" w:type="dxa"/>
              <w:left w:w="130" w:type="dxa"/>
              <w:right w:w="130" w:type="dxa"/>
            </w:tcMar>
            <w:vAlign w:val="center"/>
          </w:tcPr>
          <w:p>
            <w:r>
              <w:rPr>
                <w:rFonts w:ascii="Calibri" w:hAnsi="Calibri"/>
                <w:color w:val="2D3748"/>
                <w:sz w:val="17"/>
              </w:rPr>
              <w:t>UCI ML Repo (ID: 222)</w:t>
            </w:r>
          </w:p>
        </w:tc>
        <w:tc>
          <w:tcPr>
            <w:tcW w:type="dxa" w:w="1584"/>
            <w:shd w:fill="FFFFFF"/>
            <w:tcMar>
              <w:top w:w="100" w:type="dxa"/>
              <w:bottom w:w="100" w:type="dxa"/>
              <w:left w:w="130" w:type="dxa"/>
              <w:right w:w="130" w:type="dxa"/>
            </w:tcMar>
            <w:vAlign w:val="center"/>
          </w:tcPr>
          <w:p>
            <w:r>
              <w:rPr>
                <w:rFonts w:ascii="Calibri" w:hAnsi="Calibri"/>
                <w:color w:val="2D3748"/>
                <w:sz w:val="17"/>
              </w:rPr>
              <w:t>Binary Deposit Subscription</w:t>
            </w:r>
          </w:p>
        </w:tc>
        <w:tc>
          <w:tcPr>
            <w:tcW w:type="dxa" w:w="1152"/>
            <w:shd w:fill="FFFFFF"/>
            <w:tcMar>
              <w:top w:w="100" w:type="dxa"/>
              <w:bottom w:w="100" w:type="dxa"/>
              <w:left w:w="130" w:type="dxa"/>
              <w:right w:w="130" w:type="dxa"/>
            </w:tcMar>
            <w:vAlign w:val="center"/>
          </w:tcPr>
          <w:p>
            <w:r>
              <w:rPr>
                <w:rFonts w:ascii="Calibri" w:hAnsi="Calibri"/>
                <w:color w:val="2D3748"/>
                <w:sz w:val="17"/>
              </w:rPr>
              <w:t>RELATED</w:t>
            </w:r>
          </w:p>
        </w:tc>
        <w:tc>
          <w:tcPr>
            <w:tcW w:type="dxa" w:w="1872"/>
            <w:shd w:fill="FFFFFF"/>
            <w:tcMar>
              <w:top w:w="100" w:type="dxa"/>
              <w:bottom w:w="100" w:type="dxa"/>
              <w:left w:w="130" w:type="dxa"/>
              <w:right w:w="130" w:type="dxa"/>
            </w:tcMar>
            <w:vAlign w:val="center"/>
          </w:tcPr>
          <w:p>
            <w:r>
              <w:rPr>
                <w:rFonts w:ascii="Calibri" w:hAnsi="Calibri"/>
                <w:color w:val="2D3748"/>
                <w:sz w:val="17"/>
              </w:rPr>
              <w:t>45,211 rows | Tabular Marketing</w:t>
            </w:r>
          </w:p>
        </w:tc>
        <w:tc>
          <w:tcPr>
            <w:tcW w:type="dxa" w:w="2016"/>
            <w:shd w:fill="FFFFFF"/>
            <w:tcMar>
              <w:top w:w="100" w:type="dxa"/>
              <w:bottom w:w="100" w:type="dxa"/>
              <w:left w:w="130" w:type="dxa"/>
              <w:right w:w="130" w:type="dxa"/>
            </w:tcMar>
            <w:vAlign w:val="center"/>
          </w:tcPr>
          <w:p>
            <w:r>
              <w:rPr>
                <w:rFonts w:ascii="Calibri" w:hAnsi="Calibri"/>
                <w:color w:val="2D3748"/>
                <w:sz w:val="17"/>
              </w:rPr>
              <w:t>Extension Only (Related binary response benchmark, not segmentation)</w:t>
            </w:r>
          </w:p>
        </w:tc>
      </w:tr>
    </w:tbl>
    <w:p/>
    <w:p>
      <w:pPr>
        <w:pStyle w:val="Heading1"/>
      </w:pPr>
      <w:r>
        <w:rPr>
          <w:color w:val="1A365D"/>
          <w:sz w:val="26"/>
        </w:rPr>
        <w:t>4. Feature Taxonomy &amp; Exploratory Data Analysis</w:t>
      </w:r>
    </w:p>
    <w:p>
      <w:r>
        <w:rPr>
          <w:b/>
          <w:color w:val="2B6CB0"/>
        </w:rPr>
        <w:t>Table 2. Comprehensive Feature Taxonomy &amp; Preprocessing Matrix</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016"/>
        <w:gridCol w:w="2016"/>
        <w:gridCol w:w="2016"/>
        <w:gridCol w:w="2016"/>
        <w:gridCol w:w="2016"/>
      </w:tblGrid>
      <w:tr>
        <w:tc>
          <w:tcPr>
            <w:tcW w:type="dxa" w:w="1728"/>
            <w:shd w:fill="1A365D"/>
            <w:tcMar>
              <w:top w:w="140" w:type="dxa"/>
              <w:bottom w:w="140" w:type="dxa"/>
              <w:left w:w="150" w:type="dxa"/>
              <w:right w:w="150" w:type="dxa"/>
            </w:tcMar>
          </w:tcPr>
          <w:p>
            <w:pPr>
              <w:jc w:val="center"/>
            </w:pPr>
            <w:r>
              <w:rPr>
                <w:rFonts w:ascii="Calibri" w:hAnsi="Calibri"/>
                <w:b/>
                <w:color w:val="FFFFFF"/>
                <w:sz w:val="17"/>
              </w:rPr>
              <w:t>Feature Name</w:t>
            </w:r>
          </w:p>
        </w:tc>
        <w:tc>
          <w:tcPr>
            <w:tcW w:type="dxa" w:w="1584"/>
            <w:shd w:fill="1A365D"/>
            <w:tcMar>
              <w:top w:w="140" w:type="dxa"/>
              <w:bottom w:w="140" w:type="dxa"/>
              <w:left w:w="150" w:type="dxa"/>
              <w:right w:w="150" w:type="dxa"/>
            </w:tcMar>
          </w:tcPr>
          <w:p>
            <w:pPr>
              <w:jc w:val="center"/>
            </w:pPr>
            <w:r>
              <w:rPr>
                <w:rFonts w:ascii="Calibri" w:hAnsi="Calibri"/>
                <w:b/>
                <w:color w:val="FFFFFF"/>
                <w:sz w:val="17"/>
              </w:rPr>
              <w:t>Data Type</w:t>
            </w:r>
          </w:p>
        </w:tc>
        <w:tc>
          <w:tcPr>
            <w:tcW w:type="dxa" w:w="1296"/>
            <w:shd w:fill="1A365D"/>
            <w:tcMar>
              <w:top w:w="140" w:type="dxa"/>
              <w:bottom w:w="140" w:type="dxa"/>
              <w:left w:w="150" w:type="dxa"/>
              <w:right w:w="150" w:type="dxa"/>
            </w:tcMar>
          </w:tcPr>
          <w:p>
            <w:pPr>
              <w:jc w:val="center"/>
            </w:pPr>
            <w:r>
              <w:rPr>
                <w:rFonts w:ascii="Calibri" w:hAnsi="Calibri"/>
                <w:b/>
                <w:color w:val="FFFFFF"/>
                <w:sz w:val="17"/>
              </w:rPr>
              <w:t>Taxonomy Group</w:t>
            </w:r>
          </w:p>
        </w:tc>
        <w:tc>
          <w:tcPr>
            <w:tcW w:type="dxa" w:w="2160"/>
            <w:shd w:fill="1A365D"/>
            <w:tcMar>
              <w:top w:w="140" w:type="dxa"/>
              <w:bottom w:w="140" w:type="dxa"/>
              <w:left w:w="150" w:type="dxa"/>
              <w:right w:w="150" w:type="dxa"/>
            </w:tcMar>
          </w:tcPr>
          <w:p>
            <w:pPr>
              <w:jc w:val="center"/>
            </w:pPr>
            <w:r>
              <w:rPr>
                <w:rFonts w:ascii="Calibri" w:hAnsi="Calibri"/>
                <w:b/>
                <w:color w:val="FFFFFF"/>
                <w:sz w:val="17"/>
              </w:rPr>
              <w:t>Preprocessing Pipeline</w:t>
            </w:r>
          </w:p>
        </w:tc>
        <w:tc>
          <w:tcPr>
            <w:tcW w:type="dxa" w:w="3312"/>
            <w:shd w:fill="1A365D"/>
            <w:tcMar>
              <w:top w:w="140" w:type="dxa"/>
              <w:bottom w:w="140" w:type="dxa"/>
              <w:left w:w="150" w:type="dxa"/>
              <w:right w:w="150" w:type="dxa"/>
            </w:tcMar>
          </w:tcPr>
          <w:p>
            <w:pPr>
              <w:jc w:val="center"/>
            </w:pPr>
            <w:r>
              <w:rPr>
                <w:rFonts w:ascii="Calibri" w:hAnsi="Calibri"/>
                <w:b/>
                <w:color w:val="FFFFFF"/>
                <w:sz w:val="17"/>
              </w:rPr>
              <w:t>Domain Meaning &amp; Operational Purpose</w:t>
            </w:r>
          </w:p>
        </w:tc>
      </w:tr>
      <w:tr>
        <w:tc>
          <w:tcPr>
            <w:tcW w:type="dxa" w:w="1728"/>
            <w:shd w:fill="F7FAFC"/>
            <w:tcMar>
              <w:top w:w="100" w:type="dxa"/>
              <w:bottom w:w="100" w:type="dxa"/>
              <w:left w:w="130" w:type="dxa"/>
              <w:right w:w="130" w:type="dxa"/>
            </w:tcMar>
            <w:vAlign w:val="center"/>
          </w:tcPr>
          <w:p>
            <w:r>
              <w:rPr>
                <w:rFonts w:ascii="Calibri" w:hAnsi="Calibri"/>
                <w:color w:val="2D3748"/>
                <w:sz w:val="17"/>
              </w:rPr>
              <w:t>Gender</w:t>
            </w:r>
          </w:p>
        </w:tc>
        <w:tc>
          <w:tcPr>
            <w:tcW w:type="dxa" w:w="1584"/>
            <w:shd w:fill="F7FAFC"/>
            <w:tcMar>
              <w:top w:w="100" w:type="dxa"/>
              <w:bottom w:w="100" w:type="dxa"/>
              <w:left w:w="130" w:type="dxa"/>
              <w:right w:w="130" w:type="dxa"/>
            </w:tcMar>
            <w:vAlign w:val="center"/>
          </w:tcPr>
          <w:p>
            <w:r>
              <w:rPr>
                <w:rFonts w:ascii="Calibri" w:hAnsi="Calibri"/>
                <w:color w:val="2D3748"/>
                <w:sz w:val="17"/>
              </w:rPr>
              <w:t>Binary Categorical</w:t>
            </w:r>
          </w:p>
        </w:tc>
        <w:tc>
          <w:tcPr>
            <w:tcW w:type="dxa" w:w="1296"/>
            <w:shd w:fill="F7FAFC"/>
            <w:tcMar>
              <w:top w:w="100" w:type="dxa"/>
              <w:bottom w:w="100" w:type="dxa"/>
              <w:left w:w="130" w:type="dxa"/>
              <w:right w:w="130" w:type="dxa"/>
            </w:tcMar>
            <w:vAlign w:val="center"/>
          </w:tcPr>
          <w:p>
            <w:r>
              <w:rPr>
                <w:rFonts w:ascii="Calibri" w:hAnsi="Calibri"/>
                <w:color w:val="2D3748"/>
                <w:sz w:val="17"/>
              </w:rPr>
              <w:t>Demographic</w:t>
            </w:r>
          </w:p>
        </w:tc>
        <w:tc>
          <w:tcPr>
            <w:tcW w:type="dxa" w:w="2160"/>
            <w:shd w:fill="F7FAFC"/>
            <w:tcMar>
              <w:top w:w="100" w:type="dxa"/>
              <w:bottom w:w="100" w:type="dxa"/>
              <w:left w:w="130" w:type="dxa"/>
              <w:right w:w="130" w:type="dxa"/>
            </w:tcMar>
            <w:vAlign w:val="center"/>
          </w:tcPr>
          <w:p>
            <w:r>
              <w:rPr>
                <w:rFonts w:ascii="Calibri" w:hAnsi="Calibri"/>
                <w:color w:val="2D3748"/>
                <w:sz w:val="17"/>
              </w:rPr>
              <w:t>SafeOrdinal (1..K) / OneHot</w:t>
            </w:r>
          </w:p>
        </w:tc>
        <w:tc>
          <w:tcPr>
            <w:tcW w:type="dxa" w:w="3312"/>
            <w:shd w:fill="F7FAFC"/>
            <w:tcMar>
              <w:top w:w="100" w:type="dxa"/>
              <w:bottom w:w="100" w:type="dxa"/>
              <w:left w:w="130" w:type="dxa"/>
              <w:right w:w="130" w:type="dxa"/>
            </w:tcMar>
            <w:vAlign w:val="center"/>
          </w:tcPr>
          <w:p>
            <w:r>
              <w:rPr>
                <w:rFonts w:ascii="Calibri" w:hAnsi="Calibri"/>
                <w:color w:val="2D3748"/>
                <w:sz w:val="17"/>
              </w:rPr>
              <w:t>Biological sex; audited in fairness sub-analysis</w:t>
            </w:r>
          </w:p>
        </w:tc>
      </w:tr>
      <w:tr>
        <w:tc>
          <w:tcPr>
            <w:tcW w:type="dxa" w:w="1728"/>
            <w:shd w:fill="FFFFFF"/>
            <w:tcMar>
              <w:top w:w="100" w:type="dxa"/>
              <w:bottom w:w="100" w:type="dxa"/>
              <w:left w:w="130" w:type="dxa"/>
              <w:right w:w="130" w:type="dxa"/>
            </w:tcMar>
            <w:vAlign w:val="center"/>
          </w:tcPr>
          <w:p>
            <w:r>
              <w:rPr>
                <w:rFonts w:ascii="Calibri" w:hAnsi="Calibri"/>
                <w:color w:val="2D3748"/>
                <w:sz w:val="17"/>
              </w:rPr>
              <w:t>Ever_Married</w:t>
            </w:r>
          </w:p>
        </w:tc>
        <w:tc>
          <w:tcPr>
            <w:tcW w:type="dxa" w:w="1584"/>
            <w:shd w:fill="FFFFFF"/>
            <w:tcMar>
              <w:top w:w="100" w:type="dxa"/>
              <w:bottom w:w="100" w:type="dxa"/>
              <w:left w:w="130" w:type="dxa"/>
              <w:right w:w="130" w:type="dxa"/>
            </w:tcMar>
            <w:vAlign w:val="center"/>
          </w:tcPr>
          <w:p>
            <w:r>
              <w:rPr>
                <w:rFonts w:ascii="Calibri" w:hAnsi="Calibri"/>
                <w:color w:val="2D3748"/>
                <w:sz w:val="17"/>
              </w:rPr>
              <w:t>Binary Categorical</w:t>
            </w:r>
          </w:p>
        </w:tc>
        <w:tc>
          <w:tcPr>
            <w:tcW w:type="dxa" w:w="1296"/>
            <w:shd w:fill="FFFFFF"/>
            <w:tcMar>
              <w:top w:w="100" w:type="dxa"/>
              <w:bottom w:w="100" w:type="dxa"/>
              <w:left w:w="130" w:type="dxa"/>
              <w:right w:w="130" w:type="dxa"/>
            </w:tcMar>
            <w:vAlign w:val="center"/>
          </w:tcPr>
          <w:p>
            <w:r>
              <w:rPr>
                <w:rFonts w:ascii="Calibri" w:hAnsi="Calibri"/>
                <w:color w:val="2D3748"/>
                <w:sz w:val="17"/>
              </w:rPr>
              <w:t>Demographic</w:t>
            </w:r>
          </w:p>
        </w:tc>
        <w:tc>
          <w:tcPr>
            <w:tcW w:type="dxa" w:w="2160"/>
            <w:shd w:fill="FFFFFF"/>
            <w:tcMar>
              <w:top w:w="100" w:type="dxa"/>
              <w:bottom w:w="100" w:type="dxa"/>
              <w:left w:w="130" w:type="dxa"/>
              <w:right w:w="130" w:type="dxa"/>
            </w:tcMar>
            <w:vAlign w:val="center"/>
          </w:tcPr>
          <w:p>
            <w:r>
              <w:rPr>
                <w:rFonts w:ascii="Calibri" w:hAnsi="Calibri"/>
                <w:color w:val="2D3748"/>
                <w:sz w:val="17"/>
              </w:rPr>
              <w:t>SafeOrdinal (1..K) / OneHot</w:t>
            </w:r>
          </w:p>
        </w:tc>
        <w:tc>
          <w:tcPr>
            <w:tcW w:type="dxa" w:w="3312"/>
            <w:shd w:fill="FFFFFF"/>
            <w:tcMar>
              <w:top w:w="100" w:type="dxa"/>
              <w:bottom w:w="100" w:type="dxa"/>
              <w:left w:w="130" w:type="dxa"/>
              <w:right w:w="130" w:type="dxa"/>
            </w:tcMar>
            <w:vAlign w:val="center"/>
          </w:tcPr>
          <w:p>
            <w:r>
              <w:rPr>
                <w:rFonts w:ascii="Calibri" w:hAnsi="Calibri"/>
                <w:color w:val="2D3748"/>
                <w:sz w:val="17"/>
              </w:rPr>
              <w:t>Marital status; informs household lifecycle stage</w:t>
            </w:r>
          </w:p>
        </w:tc>
      </w:tr>
      <w:tr>
        <w:tc>
          <w:tcPr>
            <w:tcW w:type="dxa" w:w="1728"/>
            <w:shd w:fill="F7FAFC"/>
            <w:tcMar>
              <w:top w:w="100" w:type="dxa"/>
              <w:bottom w:w="100" w:type="dxa"/>
              <w:left w:w="130" w:type="dxa"/>
              <w:right w:w="130" w:type="dxa"/>
            </w:tcMar>
            <w:vAlign w:val="center"/>
          </w:tcPr>
          <w:p>
            <w:r>
              <w:rPr>
                <w:rFonts w:ascii="Calibri" w:hAnsi="Calibri"/>
                <w:color w:val="2D3748"/>
                <w:sz w:val="17"/>
              </w:rPr>
              <w:t>Age</w:t>
            </w:r>
          </w:p>
        </w:tc>
        <w:tc>
          <w:tcPr>
            <w:tcW w:type="dxa" w:w="1584"/>
            <w:shd w:fill="F7FAFC"/>
            <w:tcMar>
              <w:top w:w="100" w:type="dxa"/>
              <w:bottom w:w="100" w:type="dxa"/>
              <w:left w:w="130" w:type="dxa"/>
              <w:right w:w="130" w:type="dxa"/>
            </w:tcMar>
            <w:vAlign w:val="center"/>
          </w:tcPr>
          <w:p>
            <w:r>
              <w:rPr>
                <w:rFonts w:ascii="Calibri" w:hAnsi="Calibri"/>
                <w:color w:val="2D3748"/>
                <w:sz w:val="17"/>
              </w:rPr>
              <w:t>Continuous Integer</w:t>
            </w:r>
          </w:p>
        </w:tc>
        <w:tc>
          <w:tcPr>
            <w:tcW w:type="dxa" w:w="1296"/>
            <w:shd w:fill="F7FAFC"/>
            <w:tcMar>
              <w:top w:w="100" w:type="dxa"/>
              <w:bottom w:w="100" w:type="dxa"/>
              <w:left w:w="130" w:type="dxa"/>
              <w:right w:w="130" w:type="dxa"/>
            </w:tcMar>
            <w:vAlign w:val="center"/>
          </w:tcPr>
          <w:p>
            <w:r>
              <w:rPr>
                <w:rFonts w:ascii="Calibri" w:hAnsi="Calibri"/>
                <w:color w:val="2D3748"/>
                <w:sz w:val="17"/>
              </w:rPr>
              <w:t>Demographic</w:t>
            </w:r>
          </w:p>
        </w:tc>
        <w:tc>
          <w:tcPr>
            <w:tcW w:type="dxa" w:w="2160"/>
            <w:shd w:fill="F7FAFC"/>
            <w:tcMar>
              <w:top w:w="100" w:type="dxa"/>
              <w:bottom w:w="100" w:type="dxa"/>
              <w:left w:w="130" w:type="dxa"/>
              <w:right w:w="130" w:type="dxa"/>
            </w:tcMar>
            <w:vAlign w:val="center"/>
          </w:tcPr>
          <w:p>
            <w:r>
              <w:rPr>
                <w:rFonts w:ascii="Calibri" w:hAnsi="Calibri"/>
                <w:color w:val="2D3748"/>
                <w:sz w:val="17"/>
              </w:rPr>
              <w:t>Uniform Quantile Bins (k=5)</w:t>
            </w:r>
          </w:p>
        </w:tc>
        <w:tc>
          <w:tcPr>
            <w:tcW w:type="dxa" w:w="3312"/>
            <w:shd w:fill="F7FAFC"/>
            <w:tcMar>
              <w:top w:w="100" w:type="dxa"/>
              <w:bottom w:w="100" w:type="dxa"/>
              <w:left w:w="130" w:type="dxa"/>
              <w:right w:w="130" w:type="dxa"/>
            </w:tcMar>
            <w:vAlign w:val="center"/>
          </w:tcPr>
          <w:p>
            <w:r>
              <w:rPr>
                <w:rFonts w:ascii="Calibri" w:hAnsi="Calibri"/>
                <w:color w:val="2D3748"/>
                <w:sz w:val="17"/>
              </w:rPr>
              <w:t>Customer age in years (Range: 18–85)</w:t>
            </w:r>
          </w:p>
        </w:tc>
      </w:tr>
      <w:tr>
        <w:tc>
          <w:tcPr>
            <w:tcW w:type="dxa" w:w="1728"/>
            <w:shd w:fill="FFFFFF"/>
            <w:tcMar>
              <w:top w:w="100" w:type="dxa"/>
              <w:bottom w:w="100" w:type="dxa"/>
              <w:left w:w="130" w:type="dxa"/>
              <w:right w:w="130" w:type="dxa"/>
            </w:tcMar>
            <w:vAlign w:val="center"/>
          </w:tcPr>
          <w:p>
            <w:r>
              <w:rPr>
                <w:rFonts w:ascii="Calibri" w:hAnsi="Calibri"/>
                <w:color w:val="2D3748"/>
                <w:sz w:val="17"/>
              </w:rPr>
              <w:t>Graduated</w:t>
            </w:r>
          </w:p>
        </w:tc>
        <w:tc>
          <w:tcPr>
            <w:tcW w:type="dxa" w:w="1584"/>
            <w:shd w:fill="FFFFFF"/>
            <w:tcMar>
              <w:top w:w="100" w:type="dxa"/>
              <w:bottom w:w="100" w:type="dxa"/>
              <w:left w:w="130" w:type="dxa"/>
              <w:right w:w="130" w:type="dxa"/>
            </w:tcMar>
            <w:vAlign w:val="center"/>
          </w:tcPr>
          <w:p>
            <w:r>
              <w:rPr>
                <w:rFonts w:ascii="Calibri" w:hAnsi="Calibri"/>
                <w:color w:val="2D3748"/>
                <w:sz w:val="17"/>
              </w:rPr>
              <w:t>Binary Categorical</w:t>
            </w:r>
          </w:p>
        </w:tc>
        <w:tc>
          <w:tcPr>
            <w:tcW w:type="dxa" w:w="1296"/>
            <w:shd w:fill="FFFFFF"/>
            <w:tcMar>
              <w:top w:w="100" w:type="dxa"/>
              <w:bottom w:w="100" w:type="dxa"/>
              <w:left w:w="130" w:type="dxa"/>
              <w:right w:w="130" w:type="dxa"/>
            </w:tcMar>
            <w:vAlign w:val="center"/>
          </w:tcPr>
          <w:p>
            <w:r>
              <w:rPr>
                <w:rFonts w:ascii="Calibri" w:hAnsi="Calibri"/>
                <w:color w:val="2D3748"/>
                <w:sz w:val="17"/>
              </w:rPr>
              <w:t>Demographic</w:t>
            </w:r>
          </w:p>
        </w:tc>
        <w:tc>
          <w:tcPr>
            <w:tcW w:type="dxa" w:w="2160"/>
            <w:shd w:fill="FFFFFF"/>
            <w:tcMar>
              <w:top w:w="100" w:type="dxa"/>
              <w:bottom w:w="100" w:type="dxa"/>
              <w:left w:w="130" w:type="dxa"/>
              <w:right w:w="130" w:type="dxa"/>
            </w:tcMar>
            <w:vAlign w:val="center"/>
          </w:tcPr>
          <w:p>
            <w:r>
              <w:rPr>
                <w:rFonts w:ascii="Calibri" w:hAnsi="Calibri"/>
                <w:color w:val="2D3748"/>
                <w:sz w:val="17"/>
              </w:rPr>
              <w:t>SafeOrdinal (1..K) / OneHot</w:t>
            </w:r>
          </w:p>
        </w:tc>
        <w:tc>
          <w:tcPr>
            <w:tcW w:type="dxa" w:w="3312"/>
            <w:shd w:fill="FFFFFF"/>
            <w:tcMar>
              <w:top w:w="100" w:type="dxa"/>
              <w:bottom w:w="100" w:type="dxa"/>
              <w:left w:w="130" w:type="dxa"/>
              <w:right w:w="130" w:type="dxa"/>
            </w:tcMar>
            <w:vAlign w:val="center"/>
          </w:tcPr>
          <w:p>
            <w:r>
              <w:rPr>
                <w:rFonts w:ascii="Calibri" w:hAnsi="Calibri"/>
                <w:color w:val="2D3748"/>
                <w:sz w:val="17"/>
              </w:rPr>
              <w:t>Higher education completion indicator</w:t>
            </w:r>
          </w:p>
        </w:tc>
      </w:tr>
      <w:tr>
        <w:tc>
          <w:tcPr>
            <w:tcW w:type="dxa" w:w="1728"/>
            <w:shd w:fill="F7FAFC"/>
            <w:tcMar>
              <w:top w:w="100" w:type="dxa"/>
              <w:bottom w:w="100" w:type="dxa"/>
              <w:left w:w="130" w:type="dxa"/>
              <w:right w:w="130" w:type="dxa"/>
            </w:tcMar>
            <w:vAlign w:val="center"/>
          </w:tcPr>
          <w:p>
            <w:r>
              <w:rPr>
                <w:rFonts w:ascii="Calibri" w:hAnsi="Calibri"/>
                <w:color w:val="2D3748"/>
                <w:sz w:val="17"/>
              </w:rPr>
              <w:t>Profession</w:t>
            </w:r>
          </w:p>
        </w:tc>
        <w:tc>
          <w:tcPr>
            <w:tcW w:type="dxa" w:w="1584"/>
            <w:shd w:fill="F7FAFC"/>
            <w:tcMar>
              <w:top w:w="100" w:type="dxa"/>
              <w:bottom w:w="100" w:type="dxa"/>
              <w:left w:w="130" w:type="dxa"/>
              <w:right w:w="130" w:type="dxa"/>
            </w:tcMar>
            <w:vAlign w:val="center"/>
          </w:tcPr>
          <w:p>
            <w:r>
              <w:rPr>
                <w:rFonts w:ascii="Calibri" w:hAnsi="Calibri"/>
                <w:color w:val="2D3748"/>
                <w:sz w:val="17"/>
              </w:rPr>
              <w:t>Nominal Categorical</w:t>
            </w:r>
          </w:p>
        </w:tc>
        <w:tc>
          <w:tcPr>
            <w:tcW w:type="dxa" w:w="1296"/>
            <w:shd w:fill="F7FAFC"/>
            <w:tcMar>
              <w:top w:w="100" w:type="dxa"/>
              <w:bottom w:w="100" w:type="dxa"/>
              <w:left w:w="130" w:type="dxa"/>
              <w:right w:w="130" w:type="dxa"/>
            </w:tcMar>
            <w:vAlign w:val="center"/>
          </w:tcPr>
          <w:p>
            <w:r>
              <w:rPr>
                <w:rFonts w:ascii="Calibri" w:hAnsi="Calibri"/>
                <w:color w:val="2D3748"/>
                <w:sz w:val="17"/>
              </w:rPr>
              <w:t>Demographic</w:t>
            </w:r>
          </w:p>
        </w:tc>
        <w:tc>
          <w:tcPr>
            <w:tcW w:type="dxa" w:w="2160"/>
            <w:shd w:fill="F7FAFC"/>
            <w:tcMar>
              <w:top w:w="100" w:type="dxa"/>
              <w:bottom w:w="100" w:type="dxa"/>
              <w:left w:w="130" w:type="dxa"/>
              <w:right w:w="130" w:type="dxa"/>
            </w:tcMar>
            <w:vAlign w:val="center"/>
          </w:tcPr>
          <w:p>
            <w:r>
              <w:rPr>
                <w:rFonts w:ascii="Calibri" w:hAnsi="Calibri"/>
                <w:color w:val="2D3748"/>
                <w:sz w:val="17"/>
              </w:rPr>
              <w:t>SafeOrdinal / Impute Mode</w:t>
            </w:r>
          </w:p>
        </w:tc>
        <w:tc>
          <w:tcPr>
            <w:tcW w:type="dxa" w:w="3312"/>
            <w:shd w:fill="F7FAFC"/>
            <w:tcMar>
              <w:top w:w="100" w:type="dxa"/>
              <w:bottom w:w="100" w:type="dxa"/>
              <w:left w:w="130" w:type="dxa"/>
              <w:right w:w="130" w:type="dxa"/>
            </w:tcMar>
            <w:vAlign w:val="center"/>
          </w:tcPr>
          <w:p>
            <w:r>
              <w:rPr>
                <w:rFonts w:ascii="Calibri" w:hAnsi="Calibri"/>
                <w:color w:val="2D3748"/>
                <w:sz w:val="17"/>
              </w:rPr>
              <w:t>Occupational category (9 classes: Healthcare, Engineer, etc.)</w:t>
            </w:r>
          </w:p>
        </w:tc>
      </w:tr>
      <w:tr>
        <w:tc>
          <w:tcPr>
            <w:tcW w:type="dxa" w:w="1728"/>
            <w:shd w:fill="FFFFFF"/>
            <w:tcMar>
              <w:top w:w="100" w:type="dxa"/>
              <w:bottom w:w="100" w:type="dxa"/>
              <w:left w:w="130" w:type="dxa"/>
              <w:right w:w="130" w:type="dxa"/>
            </w:tcMar>
            <w:vAlign w:val="center"/>
          </w:tcPr>
          <w:p>
            <w:r>
              <w:rPr>
                <w:rFonts w:ascii="Calibri" w:hAnsi="Calibri"/>
                <w:color w:val="2D3748"/>
                <w:sz w:val="17"/>
              </w:rPr>
              <w:t>Work_Experience</w:t>
            </w:r>
          </w:p>
        </w:tc>
        <w:tc>
          <w:tcPr>
            <w:tcW w:type="dxa" w:w="1584"/>
            <w:shd w:fill="FFFFFF"/>
            <w:tcMar>
              <w:top w:w="100" w:type="dxa"/>
              <w:bottom w:w="100" w:type="dxa"/>
              <w:left w:w="130" w:type="dxa"/>
              <w:right w:w="130" w:type="dxa"/>
            </w:tcMar>
            <w:vAlign w:val="center"/>
          </w:tcPr>
          <w:p>
            <w:r>
              <w:rPr>
                <w:rFonts w:ascii="Calibri" w:hAnsi="Calibri"/>
                <w:color w:val="2D3748"/>
                <w:sz w:val="17"/>
              </w:rPr>
              <w:t>Continuous Numeric</w:t>
            </w:r>
          </w:p>
        </w:tc>
        <w:tc>
          <w:tcPr>
            <w:tcW w:type="dxa" w:w="1296"/>
            <w:shd w:fill="FFFFFF"/>
            <w:tcMar>
              <w:top w:w="100" w:type="dxa"/>
              <w:bottom w:w="100" w:type="dxa"/>
              <w:left w:w="130" w:type="dxa"/>
              <w:right w:w="130" w:type="dxa"/>
            </w:tcMar>
            <w:vAlign w:val="center"/>
          </w:tcPr>
          <w:p>
            <w:r>
              <w:rPr>
                <w:rFonts w:ascii="Calibri" w:hAnsi="Calibri"/>
                <w:color w:val="2D3748"/>
                <w:sz w:val="17"/>
              </w:rPr>
              <w:t>Demographic</w:t>
            </w:r>
          </w:p>
        </w:tc>
        <w:tc>
          <w:tcPr>
            <w:tcW w:type="dxa" w:w="2160"/>
            <w:shd w:fill="FFFFFF"/>
            <w:tcMar>
              <w:top w:w="100" w:type="dxa"/>
              <w:bottom w:w="100" w:type="dxa"/>
              <w:left w:w="130" w:type="dxa"/>
              <w:right w:w="130" w:type="dxa"/>
            </w:tcMar>
            <w:vAlign w:val="center"/>
          </w:tcPr>
          <w:p>
            <w:r>
              <w:rPr>
                <w:rFonts w:ascii="Calibri" w:hAnsi="Calibri"/>
                <w:color w:val="2D3748"/>
                <w:sz w:val="17"/>
              </w:rPr>
              <w:t>Median Impute + Ordinal Bins</w:t>
            </w:r>
          </w:p>
        </w:tc>
        <w:tc>
          <w:tcPr>
            <w:tcW w:type="dxa" w:w="3312"/>
            <w:shd w:fill="FFFFFF"/>
            <w:tcMar>
              <w:top w:w="100" w:type="dxa"/>
              <w:bottom w:w="100" w:type="dxa"/>
              <w:left w:w="130" w:type="dxa"/>
              <w:right w:w="130" w:type="dxa"/>
            </w:tcMar>
            <w:vAlign w:val="center"/>
          </w:tcPr>
          <w:p>
            <w:r>
              <w:rPr>
                <w:rFonts w:ascii="Calibri" w:hAnsi="Calibri"/>
                <w:color w:val="2D3748"/>
                <w:sz w:val="17"/>
              </w:rPr>
              <w:t>Years of formal professional experience (0–15)</w:t>
            </w:r>
          </w:p>
        </w:tc>
      </w:tr>
      <w:tr>
        <w:tc>
          <w:tcPr>
            <w:tcW w:type="dxa" w:w="1728"/>
            <w:shd w:fill="F7FAFC"/>
            <w:tcMar>
              <w:top w:w="100" w:type="dxa"/>
              <w:bottom w:w="100" w:type="dxa"/>
              <w:left w:w="130" w:type="dxa"/>
              <w:right w:w="130" w:type="dxa"/>
            </w:tcMar>
            <w:vAlign w:val="center"/>
          </w:tcPr>
          <w:p>
            <w:r>
              <w:rPr>
                <w:rFonts w:ascii="Calibri" w:hAnsi="Calibri"/>
                <w:color w:val="2D3748"/>
                <w:sz w:val="17"/>
              </w:rPr>
              <w:t>Family_Size</w:t>
            </w:r>
          </w:p>
        </w:tc>
        <w:tc>
          <w:tcPr>
            <w:tcW w:type="dxa" w:w="1584"/>
            <w:shd w:fill="F7FAFC"/>
            <w:tcMar>
              <w:top w:w="100" w:type="dxa"/>
              <w:bottom w:w="100" w:type="dxa"/>
              <w:left w:w="130" w:type="dxa"/>
              <w:right w:w="130" w:type="dxa"/>
            </w:tcMar>
            <w:vAlign w:val="center"/>
          </w:tcPr>
          <w:p>
            <w:r>
              <w:rPr>
                <w:rFonts w:ascii="Calibri" w:hAnsi="Calibri"/>
                <w:color w:val="2D3748"/>
                <w:sz w:val="17"/>
              </w:rPr>
              <w:t>Discrete Numeric</w:t>
            </w:r>
          </w:p>
        </w:tc>
        <w:tc>
          <w:tcPr>
            <w:tcW w:type="dxa" w:w="1296"/>
            <w:shd w:fill="F7FAFC"/>
            <w:tcMar>
              <w:top w:w="100" w:type="dxa"/>
              <w:bottom w:w="100" w:type="dxa"/>
              <w:left w:w="130" w:type="dxa"/>
              <w:right w:w="130" w:type="dxa"/>
            </w:tcMar>
            <w:vAlign w:val="center"/>
          </w:tcPr>
          <w:p>
            <w:r>
              <w:rPr>
                <w:rFonts w:ascii="Calibri" w:hAnsi="Calibri"/>
                <w:color w:val="2D3748"/>
                <w:sz w:val="17"/>
              </w:rPr>
              <w:t>Demographic</w:t>
            </w:r>
          </w:p>
        </w:tc>
        <w:tc>
          <w:tcPr>
            <w:tcW w:type="dxa" w:w="2160"/>
            <w:shd w:fill="F7FAFC"/>
            <w:tcMar>
              <w:top w:w="100" w:type="dxa"/>
              <w:bottom w:w="100" w:type="dxa"/>
              <w:left w:w="130" w:type="dxa"/>
              <w:right w:w="130" w:type="dxa"/>
            </w:tcMar>
            <w:vAlign w:val="center"/>
          </w:tcPr>
          <w:p>
            <w:r>
              <w:rPr>
                <w:rFonts w:ascii="Calibri" w:hAnsi="Calibri"/>
                <w:color w:val="2D3748"/>
                <w:sz w:val="17"/>
              </w:rPr>
              <w:t>Median Impute + Ordinal Bins</w:t>
            </w:r>
          </w:p>
        </w:tc>
        <w:tc>
          <w:tcPr>
            <w:tcW w:type="dxa" w:w="3312"/>
            <w:shd w:fill="F7FAFC"/>
            <w:tcMar>
              <w:top w:w="100" w:type="dxa"/>
              <w:bottom w:w="100" w:type="dxa"/>
              <w:left w:w="130" w:type="dxa"/>
              <w:right w:w="130" w:type="dxa"/>
            </w:tcMar>
            <w:vAlign w:val="center"/>
          </w:tcPr>
          <w:p>
            <w:r>
              <w:rPr>
                <w:rFonts w:ascii="Calibri" w:hAnsi="Calibri"/>
                <w:color w:val="2D3748"/>
                <w:sz w:val="17"/>
              </w:rPr>
              <w:t>Total household size count (Range: 1–9)</w:t>
            </w:r>
          </w:p>
        </w:tc>
      </w:tr>
      <w:tr>
        <w:tc>
          <w:tcPr>
            <w:tcW w:type="dxa" w:w="1728"/>
            <w:shd w:fill="FFFFFF"/>
            <w:tcMar>
              <w:top w:w="100" w:type="dxa"/>
              <w:bottom w:w="100" w:type="dxa"/>
              <w:left w:w="130" w:type="dxa"/>
              <w:right w:w="130" w:type="dxa"/>
            </w:tcMar>
            <w:vAlign w:val="center"/>
          </w:tcPr>
          <w:p>
            <w:r>
              <w:rPr>
                <w:rFonts w:ascii="Calibri" w:hAnsi="Calibri"/>
                <w:color w:val="2D3748"/>
                <w:sz w:val="17"/>
              </w:rPr>
              <w:t>Var_1</w:t>
            </w:r>
          </w:p>
        </w:tc>
        <w:tc>
          <w:tcPr>
            <w:tcW w:type="dxa" w:w="1584"/>
            <w:shd w:fill="FFFFFF"/>
            <w:tcMar>
              <w:top w:w="100" w:type="dxa"/>
              <w:bottom w:w="100" w:type="dxa"/>
              <w:left w:w="130" w:type="dxa"/>
              <w:right w:w="130" w:type="dxa"/>
            </w:tcMar>
            <w:vAlign w:val="center"/>
          </w:tcPr>
          <w:p>
            <w:r>
              <w:rPr>
                <w:rFonts w:ascii="Calibri" w:hAnsi="Calibri"/>
                <w:color w:val="2D3748"/>
                <w:sz w:val="17"/>
              </w:rPr>
              <w:t>Nominal Categorical</w:t>
            </w:r>
          </w:p>
        </w:tc>
        <w:tc>
          <w:tcPr>
            <w:tcW w:type="dxa" w:w="1296"/>
            <w:shd w:fill="FFFFFF"/>
            <w:tcMar>
              <w:top w:w="100" w:type="dxa"/>
              <w:bottom w:w="100" w:type="dxa"/>
              <w:left w:w="130" w:type="dxa"/>
              <w:right w:w="130" w:type="dxa"/>
            </w:tcMar>
            <w:vAlign w:val="center"/>
          </w:tcPr>
          <w:p>
            <w:r>
              <w:rPr>
                <w:rFonts w:ascii="Calibri" w:hAnsi="Calibri"/>
                <w:color w:val="2D3748"/>
                <w:sz w:val="17"/>
              </w:rPr>
              <w:t>Demographic</w:t>
            </w:r>
          </w:p>
        </w:tc>
        <w:tc>
          <w:tcPr>
            <w:tcW w:type="dxa" w:w="2160"/>
            <w:shd w:fill="FFFFFF"/>
            <w:tcMar>
              <w:top w:w="100" w:type="dxa"/>
              <w:bottom w:w="100" w:type="dxa"/>
              <w:left w:w="130" w:type="dxa"/>
              <w:right w:w="130" w:type="dxa"/>
            </w:tcMar>
            <w:vAlign w:val="center"/>
          </w:tcPr>
          <w:p>
            <w:r>
              <w:rPr>
                <w:rFonts w:ascii="Calibri" w:hAnsi="Calibri"/>
                <w:color w:val="2D3748"/>
                <w:sz w:val="17"/>
              </w:rPr>
              <w:t>SafeOrdinal / Impute Mode</w:t>
            </w:r>
          </w:p>
        </w:tc>
        <w:tc>
          <w:tcPr>
            <w:tcW w:type="dxa" w:w="3312"/>
            <w:shd w:fill="FFFFFF"/>
            <w:tcMar>
              <w:top w:w="100" w:type="dxa"/>
              <w:bottom w:w="100" w:type="dxa"/>
              <w:left w:w="130" w:type="dxa"/>
              <w:right w:w="130" w:type="dxa"/>
            </w:tcMar>
            <w:vAlign w:val="center"/>
          </w:tcPr>
          <w:p>
            <w:r>
              <w:rPr>
                <w:rFonts w:ascii="Calibri" w:hAnsi="Calibri"/>
                <w:color w:val="2D3748"/>
                <w:sz w:val="17"/>
              </w:rPr>
              <w:t>Anonymized demographic grouping category (Cat_1 to Cat_7)</w:t>
            </w:r>
          </w:p>
        </w:tc>
      </w:tr>
      <w:tr>
        <w:tc>
          <w:tcPr>
            <w:tcW w:type="dxa" w:w="1728"/>
            <w:shd w:fill="F7FAFC"/>
            <w:tcMar>
              <w:top w:w="100" w:type="dxa"/>
              <w:bottom w:w="100" w:type="dxa"/>
              <w:left w:w="130" w:type="dxa"/>
              <w:right w:w="130" w:type="dxa"/>
            </w:tcMar>
            <w:vAlign w:val="center"/>
          </w:tcPr>
          <w:p>
            <w:r>
              <w:rPr>
                <w:rFonts w:ascii="Calibri" w:hAnsi="Calibri"/>
                <w:color w:val="2D3748"/>
                <w:sz w:val="17"/>
              </w:rPr>
              <w:t>Spending_Score</w:t>
            </w:r>
          </w:p>
        </w:tc>
        <w:tc>
          <w:tcPr>
            <w:tcW w:type="dxa" w:w="1584"/>
            <w:shd w:fill="F7FAFC"/>
            <w:tcMar>
              <w:top w:w="100" w:type="dxa"/>
              <w:bottom w:w="100" w:type="dxa"/>
              <w:left w:w="130" w:type="dxa"/>
              <w:right w:w="130" w:type="dxa"/>
            </w:tcMar>
            <w:vAlign w:val="center"/>
          </w:tcPr>
          <w:p>
            <w:r>
              <w:rPr>
                <w:rFonts w:ascii="Calibri" w:hAnsi="Calibri"/>
                <w:color w:val="2D3748"/>
                <w:sz w:val="17"/>
              </w:rPr>
              <w:t>Ordinal Categorical</w:t>
            </w:r>
          </w:p>
        </w:tc>
        <w:tc>
          <w:tcPr>
            <w:tcW w:type="dxa" w:w="1296"/>
            <w:shd w:fill="F7FAFC"/>
            <w:tcMar>
              <w:top w:w="100" w:type="dxa"/>
              <w:bottom w:w="100" w:type="dxa"/>
              <w:left w:w="130" w:type="dxa"/>
              <w:right w:w="130" w:type="dxa"/>
            </w:tcMar>
            <w:vAlign w:val="center"/>
          </w:tcPr>
          <w:p>
            <w:r>
              <w:rPr>
                <w:rFonts w:ascii="Calibri" w:hAnsi="Calibri"/>
                <w:color w:val="2D3748"/>
                <w:sz w:val="17"/>
              </w:rPr>
              <w:t>Psychographic</w:t>
            </w:r>
          </w:p>
        </w:tc>
        <w:tc>
          <w:tcPr>
            <w:tcW w:type="dxa" w:w="2160"/>
            <w:shd w:fill="F7FAFC"/>
            <w:tcMar>
              <w:top w:w="100" w:type="dxa"/>
              <w:bottom w:w="100" w:type="dxa"/>
              <w:left w:w="130" w:type="dxa"/>
              <w:right w:w="130" w:type="dxa"/>
            </w:tcMar>
            <w:vAlign w:val="center"/>
          </w:tcPr>
          <w:p>
            <w:r>
              <w:rPr>
                <w:rFonts w:ascii="Calibri" w:hAnsi="Calibri"/>
                <w:color w:val="2D3748"/>
                <w:sz w:val="17"/>
              </w:rPr>
              <w:t>SafeOrdinal (Low=1, Avg=2, High=3)</w:t>
            </w:r>
          </w:p>
        </w:tc>
        <w:tc>
          <w:tcPr>
            <w:tcW w:type="dxa" w:w="3312"/>
            <w:shd w:fill="F7FAFC"/>
            <w:tcMar>
              <w:top w:w="100" w:type="dxa"/>
              <w:bottom w:w="100" w:type="dxa"/>
              <w:left w:w="130" w:type="dxa"/>
              <w:right w:w="130" w:type="dxa"/>
            </w:tcMar>
            <w:vAlign w:val="center"/>
          </w:tcPr>
          <w:p>
            <w:r>
              <w:rPr>
                <w:rFonts w:ascii="Calibri" w:hAnsi="Calibri"/>
                <w:color w:val="2D3748"/>
                <w:sz w:val="17"/>
              </w:rPr>
              <w:t>Assigned propensity to purchase premium product tiers</w:t>
            </w:r>
          </w:p>
        </w:tc>
      </w:tr>
      <w:tr>
        <w:tc>
          <w:tcPr>
            <w:tcW w:type="dxa" w:w="1728"/>
            <w:shd w:fill="FFFFFF"/>
            <w:tcMar>
              <w:top w:w="100" w:type="dxa"/>
              <w:bottom w:w="100" w:type="dxa"/>
              <w:left w:w="130" w:type="dxa"/>
              <w:right w:w="130" w:type="dxa"/>
            </w:tcMar>
            <w:vAlign w:val="center"/>
          </w:tcPr>
          <w:p>
            <w:r>
              <w:rPr>
                <w:rFonts w:ascii="Calibri" w:hAnsi="Calibri"/>
                <w:color w:val="2D3748"/>
                <w:sz w:val="17"/>
              </w:rPr>
              <w:t>Lifestyle</w:t>
            </w:r>
          </w:p>
        </w:tc>
        <w:tc>
          <w:tcPr>
            <w:tcW w:type="dxa" w:w="1584"/>
            <w:shd w:fill="FFFFFF"/>
            <w:tcMar>
              <w:top w:w="100" w:type="dxa"/>
              <w:bottom w:w="100" w:type="dxa"/>
              <w:left w:w="130" w:type="dxa"/>
              <w:right w:w="130" w:type="dxa"/>
            </w:tcMar>
            <w:vAlign w:val="center"/>
          </w:tcPr>
          <w:p>
            <w:r>
              <w:rPr>
                <w:rFonts w:ascii="Calibri" w:hAnsi="Calibri"/>
                <w:color w:val="2D3748"/>
                <w:sz w:val="17"/>
              </w:rPr>
              <w:t>Nominal Categorical</w:t>
            </w:r>
          </w:p>
        </w:tc>
        <w:tc>
          <w:tcPr>
            <w:tcW w:type="dxa" w:w="1296"/>
            <w:shd w:fill="FFFFFF"/>
            <w:tcMar>
              <w:top w:w="100" w:type="dxa"/>
              <w:bottom w:w="100" w:type="dxa"/>
              <w:left w:w="130" w:type="dxa"/>
              <w:right w:w="130" w:type="dxa"/>
            </w:tcMar>
            <w:vAlign w:val="center"/>
          </w:tcPr>
          <w:p>
            <w:r>
              <w:rPr>
                <w:rFonts w:ascii="Calibri" w:hAnsi="Calibri"/>
                <w:color w:val="2D3748"/>
                <w:sz w:val="17"/>
              </w:rPr>
              <w:t>Psychographic</w:t>
            </w:r>
          </w:p>
        </w:tc>
        <w:tc>
          <w:tcPr>
            <w:tcW w:type="dxa" w:w="2160"/>
            <w:shd w:fill="FFFFFF"/>
            <w:tcMar>
              <w:top w:w="100" w:type="dxa"/>
              <w:bottom w:w="100" w:type="dxa"/>
              <w:left w:w="130" w:type="dxa"/>
              <w:right w:w="130" w:type="dxa"/>
            </w:tcMar>
            <w:vAlign w:val="center"/>
          </w:tcPr>
          <w:p>
            <w:r>
              <w:rPr>
                <w:rFonts w:ascii="Calibri" w:hAnsi="Calibri"/>
                <w:color w:val="2D3748"/>
                <w:sz w:val="17"/>
              </w:rPr>
              <w:t>SafeOrdinal / Impute Mode</w:t>
            </w:r>
          </w:p>
        </w:tc>
        <w:tc>
          <w:tcPr>
            <w:tcW w:type="dxa" w:w="3312"/>
            <w:shd w:fill="FFFFFF"/>
            <w:tcMar>
              <w:top w:w="100" w:type="dxa"/>
              <w:bottom w:w="100" w:type="dxa"/>
              <w:left w:w="130" w:type="dxa"/>
              <w:right w:w="130" w:type="dxa"/>
            </w:tcMar>
            <w:vAlign w:val="center"/>
          </w:tcPr>
          <w:p>
            <w:r>
              <w:rPr>
                <w:rFonts w:ascii="Calibri" w:hAnsi="Calibri"/>
                <w:color w:val="2D3748"/>
                <w:sz w:val="17"/>
              </w:rPr>
              <w:t>Self-reported consumer lifestyle (Luxury, Active, Budget, etc.)</w:t>
            </w:r>
          </w:p>
        </w:tc>
      </w:tr>
      <w:tr>
        <w:tc>
          <w:tcPr>
            <w:tcW w:type="dxa" w:w="1728"/>
            <w:shd w:fill="F7FAFC"/>
            <w:tcMar>
              <w:top w:w="100" w:type="dxa"/>
              <w:bottom w:w="100" w:type="dxa"/>
              <w:left w:w="130" w:type="dxa"/>
              <w:right w:w="130" w:type="dxa"/>
            </w:tcMar>
            <w:vAlign w:val="center"/>
          </w:tcPr>
          <w:p>
            <w:r>
              <w:rPr>
                <w:rFonts w:ascii="Calibri" w:hAnsi="Calibri"/>
                <w:color w:val="2D3748"/>
                <w:sz w:val="17"/>
              </w:rPr>
              <w:t>Price_Sensitivity</w:t>
            </w:r>
          </w:p>
        </w:tc>
        <w:tc>
          <w:tcPr>
            <w:tcW w:type="dxa" w:w="1584"/>
            <w:shd w:fill="F7FAFC"/>
            <w:tcMar>
              <w:top w:w="100" w:type="dxa"/>
              <w:bottom w:w="100" w:type="dxa"/>
              <w:left w:w="130" w:type="dxa"/>
              <w:right w:w="130" w:type="dxa"/>
            </w:tcMar>
            <w:vAlign w:val="center"/>
          </w:tcPr>
          <w:p>
            <w:r>
              <w:rPr>
                <w:rFonts w:ascii="Calibri" w:hAnsi="Calibri"/>
                <w:color w:val="2D3748"/>
                <w:sz w:val="17"/>
              </w:rPr>
              <w:t>Ordinal Categorical</w:t>
            </w:r>
          </w:p>
        </w:tc>
        <w:tc>
          <w:tcPr>
            <w:tcW w:type="dxa" w:w="1296"/>
            <w:shd w:fill="F7FAFC"/>
            <w:tcMar>
              <w:top w:w="100" w:type="dxa"/>
              <w:bottom w:w="100" w:type="dxa"/>
              <w:left w:w="130" w:type="dxa"/>
              <w:right w:w="130" w:type="dxa"/>
            </w:tcMar>
            <w:vAlign w:val="center"/>
          </w:tcPr>
          <w:p>
            <w:r>
              <w:rPr>
                <w:rFonts w:ascii="Calibri" w:hAnsi="Calibri"/>
                <w:color w:val="2D3748"/>
                <w:sz w:val="17"/>
              </w:rPr>
              <w:t>Psychographic</w:t>
            </w:r>
          </w:p>
        </w:tc>
        <w:tc>
          <w:tcPr>
            <w:tcW w:type="dxa" w:w="2160"/>
            <w:shd w:fill="F7FAFC"/>
            <w:tcMar>
              <w:top w:w="100" w:type="dxa"/>
              <w:bottom w:w="100" w:type="dxa"/>
              <w:left w:w="130" w:type="dxa"/>
              <w:right w:w="130" w:type="dxa"/>
            </w:tcMar>
            <w:vAlign w:val="center"/>
          </w:tcPr>
          <w:p>
            <w:r>
              <w:rPr>
                <w:rFonts w:ascii="Calibri" w:hAnsi="Calibri"/>
                <w:color w:val="2D3748"/>
                <w:sz w:val="17"/>
              </w:rPr>
              <w:t>SafeOrdinal (1..4 scale)</w:t>
            </w:r>
          </w:p>
        </w:tc>
        <w:tc>
          <w:tcPr>
            <w:tcW w:type="dxa" w:w="3312"/>
            <w:shd w:fill="F7FAFC"/>
            <w:tcMar>
              <w:top w:w="100" w:type="dxa"/>
              <w:bottom w:w="100" w:type="dxa"/>
              <w:left w:w="130" w:type="dxa"/>
              <w:right w:w="130" w:type="dxa"/>
            </w:tcMar>
            <w:vAlign w:val="center"/>
          </w:tcPr>
          <w:p>
            <w:r>
              <w:rPr>
                <w:rFonts w:ascii="Calibri" w:hAnsi="Calibri"/>
                <w:color w:val="2D3748"/>
                <w:sz w:val="17"/>
              </w:rPr>
              <w:t>Stated customer price elasticity and discount seeking</w:t>
            </w:r>
          </w:p>
        </w:tc>
      </w:tr>
      <w:tr>
        <w:tc>
          <w:tcPr>
            <w:tcW w:type="dxa" w:w="1728"/>
            <w:shd w:fill="FFFFFF"/>
            <w:tcMar>
              <w:top w:w="100" w:type="dxa"/>
              <w:bottom w:w="100" w:type="dxa"/>
              <w:left w:w="130" w:type="dxa"/>
              <w:right w:w="130" w:type="dxa"/>
            </w:tcMar>
            <w:vAlign w:val="center"/>
          </w:tcPr>
          <w:p>
            <w:r>
              <w:rPr>
                <w:rFonts w:ascii="Calibri" w:hAnsi="Calibri"/>
                <w:color w:val="2D3748"/>
                <w:sz w:val="17"/>
              </w:rPr>
              <w:t>Brand_Consciousness</w:t>
            </w:r>
          </w:p>
        </w:tc>
        <w:tc>
          <w:tcPr>
            <w:tcW w:type="dxa" w:w="1584"/>
            <w:shd w:fill="FFFFFF"/>
            <w:tcMar>
              <w:top w:w="100" w:type="dxa"/>
              <w:bottom w:w="100" w:type="dxa"/>
              <w:left w:w="130" w:type="dxa"/>
              <w:right w:w="130" w:type="dxa"/>
            </w:tcMar>
            <w:vAlign w:val="center"/>
          </w:tcPr>
          <w:p>
            <w:r>
              <w:rPr>
                <w:rFonts w:ascii="Calibri" w:hAnsi="Calibri"/>
                <w:color w:val="2D3748"/>
                <w:sz w:val="17"/>
              </w:rPr>
              <w:t>Ordinal Categorical</w:t>
            </w:r>
          </w:p>
        </w:tc>
        <w:tc>
          <w:tcPr>
            <w:tcW w:type="dxa" w:w="1296"/>
            <w:shd w:fill="FFFFFF"/>
            <w:tcMar>
              <w:top w:w="100" w:type="dxa"/>
              <w:bottom w:w="100" w:type="dxa"/>
              <w:left w:w="130" w:type="dxa"/>
              <w:right w:w="130" w:type="dxa"/>
            </w:tcMar>
            <w:vAlign w:val="center"/>
          </w:tcPr>
          <w:p>
            <w:r>
              <w:rPr>
                <w:rFonts w:ascii="Calibri" w:hAnsi="Calibri"/>
                <w:color w:val="2D3748"/>
                <w:sz w:val="17"/>
              </w:rPr>
              <w:t>Psychographic</w:t>
            </w:r>
          </w:p>
        </w:tc>
        <w:tc>
          <w:tcPr>
            <w:tcW w:type="dxa" w:w="2160"/>
            <w:shd w:fill="FFFFFF"/>
            <w:tcMar>
              <w:top w:w="100" w:type="dxa"/>
              <w:bottom w:w="100" w:type="dxa"/>
              <w:left w:w="130" w:type="dxa"/>
              <w:right w:w="130" w:type="dxa"/>
            </w:tcMar>
            <w:vAlign w:val="center"/>
          </w:tcPr>
          <w:p>
            <w:r>
              <w:rPr>
                <w:rFonts w:ascii="Calibri" w:hAnsi="Calibri"/>
                <w:color w:val="2D3748"/>
                <w:sz w:val="17"/>
              </w:rPr>
              <w:t>SafeOrdinal (1..4 scale)</w:t>
            </w:r>
          </w:p>
        </w:tc>
        <w:tc>
          <w:tcPr>
            <w:tcW w:type="dxa" w:w="3312"/>
            <w:shd w:fill="FFFFFF"/>
            <w:tcMar>
              <w:top w:w="100" w:type="dxa"/>
              <w:bottom w:w="100" w:type="dxa"/>
              <w:left w:w="130" w:type="dxa"/>
              <w:right w:w="130" w:type="dxa"/>
            </w:tcMar>
            <w:vAlign w:val="center"/>
          </w:tcPr>
          <w:p>
            <w:r>
              <w:rPr>
                <w:rFonts w:ascii="Calibri" w:hAnsi="Calibri"/>
                <w:color w:val="2D3748"/>
                <w:sz w:val="17"/>
              </w:rPr>
              <w:t>Customer brand affinity and premium logo preference</w:t>
            </w:r>
          </w:p>
        </w:tc>
      </w:tr>
      <w:tr>
        <w:tc>
          <w:tcPr>
            <w:tcW w:type="dxa" w:w="1728"/>
            <w:shd w:fill="F7FAFC"/>
            <w:tcMar>
              <w:top w:w="100" w:type="dxa"/>
              <w:bottom w:w="100" w:type="dxa"/>
              <w:left w:w="130" w:type="dxa"/>
              <w:right w:w="130" w:type="dxa"/>
            </w:tcMar>
            <w:vAlign w:val="center"/>
          </w:tcPr>
          <w:p>
            <w:r>
              <w:rPr>
                <w:rFonts w:ascii="Calibri" w:hAnsi="Calibri"/>
                <w:color w:val="2D3748"/>
                <w:sz w:val="17"/>
              </w:rPr>
              <w:t>Technology_Affinity</w:t>
            </w:r>
          </w:p>
        </w:tc>
        <w:tc>
          <w:tcPr>
            <w:tcW w:type="dxa" w:w="1584"/>
            <w:shd w:fill="F7FAFC"/>
            <w:tcMar>
              <w:top w:w="100" w:type="dxa"/>
              <w:bottom w:w="100" w:type="dxa"/>
              <w:left w:w="130" w:type="dxa"/>
              <w:right w:w="130" w:type="dxa"/>
            </w:tcMar>
            <w:vAlign w:val="center"/>
          </w:tcPr>
          <w:p>
            <w:r>
              <w:rPr>
                <w:rFonts w:ascii="Calibri" w:hAnsi="Calibri"/>
                <w:color w:val="2D3748"/>
                <w:sz w:val="17"/>
              </w:rPr>
              <w:t>Ordinal Categorical</w:t>
            </w:r>
          </w:p>
        </w:tc>
        <w:tc>
          <w:tcPr>
            <w:tcW w:type="dxa" w:w="1296"/>
            <w:shd w:fill="F7FAFC"/>
            <w:tcMar>
              <w:top w:w="100" w:type="dxa"/>
              <w:bottom w:w="100" w:type="dxa"/>
              <w:left w:w="130" w:type="dxa"/>
              <w:right w:w="130" w:type="dxa"/>
            </w:tcMar>
            <w:vAlign w:val="center"/>
          </w:tcPr>
          <w:p>
            <w:r>
              <w:rPr>
                <w:rFonts w:ascii="Calibri" w:hAnsi="Calibri"/>
                <w:color w:val="2D3748"/>
                <w:sz w:val="17"/>
              </w:rPr>
              <w:t>Psychographic</w:t>
            </w:r>
          </w:p>
        </w:tc>
        <w:tc>
          <w:tcPr>
            <w:tcW w:type="dxa" w:w="2160"/>
            <w:shd w:fill="F7FAFC"/>
            <w:tcMar>
              <w:top w:w="100" w:type="dxa"/>
              <w:bottom w:w="100" w:type="dxa"/>
              <w:left w:w="130" w:type="dxa"/>
              <w:right w:w="130" w:type="dxa"/>
            </w:tcMar>
            <w:vAlign w:val="center"/>
          </w:tcPr>
          <w:p>
            <w:r>
              <w:rPr>
                <w:rFonts w:ascii="Calibri" w:hAnsi="Calibri"/>
                <w:color w:val="2D3748"/>
                <w:sz w:val="17"/>
              </w:rPr>
              <w:t>SafeOrdinal (1..4 scale)</w:t>
            </w:r>
          </w:p>
        </w:tc>
        <w:tc>
          <w:tcPr>
            <w:tcW w:type="dxa" w:w="3312"/>
            <w:shd w:fill="F7FAFC"/>
            <w:tcMar>
              <w:top w:w="100" w:type="dxa"/>
              <w:bottom w:w="100" w:type="dxa"/>
              <w:left w:w="130" w:type="dxa"/>
              <w:right w:w="130" w:type="dxa"/>
            </w:tcMar>
            <w:vAlign w:val="center"/>
          </w:tcPr>
          <w:p>
            <w:r>
              <w:rPr>
                <w:rFonts w:ascii="Calibri" w:hAnsi="Calibri"/>
                <w:color w:val="2D3748"/>
                <w:sz w:val="17"/>
              </w:rPr>
              <w:t>Digital channel readiness and app adoption index</w:t>
            </w:r>
          </w:p>
        </w:tc>
      </w:tr>
      <w:tr>
        <w:tc>
          <w:tcPr>
            <w:tcW w:type="dxa" w:w="1728"/>
            <w:shd w:fill="FFFFFF"/>
            <w:tcMar>
              <w:top w:w="100" w:type="dxa"/>
              <w:bottom w:w="100" w:type="dxa"/>
              <w:left w:w="130" w:type="dxa"/>
              <w:right w:w="130" w:type="dxa"/>
            </w:tcMar>
            <w:vAlign w:val="center"/>
          </w:tcPr>
          <w:p>
            <w:r>
              <w:rPr>
                <w:rFonts w:ascii="Calibri" w:hAnsi="Calibri"/>
                <w:color w:val="2D3748"/>
                <w:sz w:val="17"/>
              </w:rPr>
              <w:t>Purchase_Frequency</w:t>
            </w:r>
          </w:p>
        </w:tc>
        <w:tc>
          <w:tcPr>
            <w:tcW w:type="dxa" w:w="1584"/>
            <w:shd w:fill="FFFFFF"/>
            <w:tcMar>
              <w:top w:w="100" w:type="dxa"/>
              <w:bottom w:w="100" w:type="dxa"/>
              <w:left w:w="130" w:type="dxa"/>
              <w:right w:w="130" w:type="dxa"/>
            </w:tcMar>
            <w:vAlign w:val="center"/>
          </w:tcPr>
          <w:p>
            <w:r>
              <w:rPr>
                <w:rFonts w:ascii="Calibri" w:hAnsi="Calibri"/>
                <w:color w:val="2D3748"/>
                <w:sz w:val="17"/>
              </w:rPr>
              <w:t>Continuous Numeric</w:t>
            </w:r>
          </w:p>
        </w:tc>
        <w:tc>
          <w:tcPr>
            <w:tcW w:type="dxa" w:w="1296"/>
            <w:shd w:fill="FFFFFF"/>
            <w:tcMar>
              <w:top w:w="100" w:type="dxa"/>
              <w:bottom w:w="100" w:type="dxa"/>
              <w:left w:w="130" w:type="dxa"/>
              <w:right w:w="130" w:type="dxa"/>
            </w:tcMar>
            <w:vAlign w:val="center"/>
          </w:tcPr>
          <w:p>
            <w:r>
              <w:rPr>
                <w:rFonts w:ascii="Calibri" w:hAnsi="Calibri"/>
                <w:color w:val="2D3748"/>
                <w:sz w:val="17"/>
              </w:rPr>
              <w:t>Behavioral</w:t>
            </w:r>
          </w:p>
        </w:tc>
        <w:tc>
          <w:tcPr>
            <w:tcW w:type="dxa" w:w="2160"/>
            <w:shd w:fill="FFFFFF"/>
            <w:tcMar>
              <w:top w:w="100" w:type="dxa"/>
              <w:bottom w:w="100" w:type="dxa"/>
              <w:left w:w="130" w:type="dxa"/>
              <w:right w:w="130" w:type="dxa"/>
            </w:tcMar>
            <w:vAlign w:val="center"/>
          </w:tcPr>
          <w:p>
            <w:r>
              <w:rPr>
                <w:rFonts w:ascii="Calibri" w:hAnsi="Calibri"/>
                <w:color w:val="2D3748"/>
                <w:sz w:val="17"/>
              </w:rPr>
              <w:t>Quantile Discretization (k=5)</w:t>
            </w:r>
          </w:p>
        </w:tc>
        <w:tc>
          <w:tcPr>
            <w:tcW w:type="dxa" w:w="3312"/>
            <w:shd w:fill="FFFFFF"/>
            <w:tcMar>
              <w:top w:w="100" w:type="dxa"/>
              <w:bottom w:w="100" w:type="dxa"/>
              <w:left w:w="130" w:type="dxa"/>
              <w:right w:w="130" w:type="dxa"/>
            </w:tcMar>
            <w:vAlign w:val="center"/>
          </w:tcPr>
          <w:p>
            <w:r>
              <w:rPr>
                <w:rFonts w:ascii="Calibri" w:hAnsi="Calibri"/>
                <w:color w:val="2D3748"/>
                <w:sz w:val="17"/>
              </w:rPr>
              <w:t>Annual transactions frequency (orders per year)</w:t>
            </w:r>
          </w:p>
        </w:tc>
      </w:tr>
      <w:tr>
        <w:tc>
          <w:tcPr>
            <w:tcW w:type="dxa" w:w="1728"/>
            <w:shd w:fill="F7FAFC"/>
            <w:tcMar>
              <w:top w:w="100" w:type="dxa"/>
              <w:bottom w:w="100" w:type="dxa"/>
              <w:left w:w="130" w:type="dxa"/>
              <w:right w:w="130" w:type="dxa"/>
            </w:tcMar>
            <w:vAlign w:val="center"/>
          </w:tcPr>
          <w:p>
            <w:r>
              <w:rPr>
                <w:rFonts w:ascii="Calibri" w:hAnsi="Calibri"/>
                <w:color w:val="2D3748"/>
                <w:sz w:val="17"/>
              </w:rPr>
              <w:t>Average_Order_Value</w:t>
            </w:r>
          </w:p>
        </w:tc>
        <w:tc>
          <w:tcPr>
            <w:tcW w:type="dxa" w:w="1584"/>
            <w:shd w:fill="F7FAFC"/>
            <w:tcMar>
              <w:top w:w="100" w:type="dxa"/>
              <w:bottom w:w="100" w:type="dxa"/>
              <w:left w:w="130" w:type="dxa"/>
              <w:right w:w="130" w:type="dxa"/>
            </w:tcMar>
            <w:vAlign w:val="center"/>
          </w:tcPr>
          <w:p>
            <w:r>
              <w:rPr>
                <w:rFonts w:ascii="Calibri" w:hAnsi="Calibri"/>
                <w:color w:val="2D3748"/>
                <w:sz w:val="17"/>
              </w:rPr>
              <w:t>Continuous Numeric</w:t>
            </w:r>
          </w:p>
        </w:tc>
        <w:tc>
          <w:tcPr>
            <w:tcW w:type="dxa" w:w="1296"/>
            <w:shd w:fill="F7FAFC"/>
            <w:tcMar>
              <w:top w:w="100" w:type="dxa"/>
              <w:bottom w:w="100" w:type="dxa"/>
              <w:left w:w="130" w:type="dxa"/>
              <w:right w:w="130" w:type="dxa"/>
            </w:tcMar>
            <w:vAlign w:val="center"/>
          </w:tcPr>
          <w:p>
            <w:r>
              <w:rPr>
                <w:rFonts w:ascii="Calibri" w:hAnsi="Calibri"/>
                <w:color w:val="2D3748"/>
                <w:sz w:val="17"/>
              </w:rPr>
              <w:t>Behavioral</w:t>
            </w:r>
          </w:p>
        </w:tc>
        <w:tc>
          <w:tcPr>
            <w:tcW w:type="dxa" w:w="2160"/>
            <w:shd w:fill="F7FAFC"/>
            <w:tcMar>
              <w:top w:w="100" w:type="dxa"/>
              <w:bottom w:w="100" w:type="dxa"/>
              <w:left w:w="130" w:type="dxa"/>
              <w:right w:w="130" w:type="dxa"/>
            </w:tcMar>
            <w:vAlign w:val="center"/>
          </w:tcPr>
          <w:p>
            <w:r>
              <w:rPr>
                <w:rFonts w:ascii="Calibri" w:hAnsi="Calibri"/>
                <w:color w:val="2D3748"/>
                <w:sz w:val="17"/>
              </w:rPr>
              <w:t>Quantile Discretization (k=5)</w:t>
            </w:r>
          </w:p>
        </w:tc>
        <w:tc>
          <w:tcPr>
            <w:tcW w:type="dxa" w:w="3312"/>
            <w:shd w:fill="F7FAFC"/>
            <w:tcMar>
              <w:top w:w="100" w:type="dxa"/>
              <w:bottom w:w="100" w:type="dxa"/>
              <w:left w:w="130" w:type="dxa"/>
              <w:right w:w="130" w:type="dxa"/>
            </w:tcMar>
            <w:vAlign w:val="center"/>
          </w:tcPr>
          <w:p>
            <w:r>
              <w:rPr>
                <w:rFonts w:ascii="Calibri" w:hAnsi="Calibri"/>
                <w:color w:val="2D3748"/>
                <w:sz w:val="17"/>
              </w:rPr>
              <w:t>Mean dollar spend per transaction ($20–$600)</w:t>
            </w:r>
          </w:p>
        </w:tc>
      </w:tr>
      <w:tr>
        <w:tc>
          <w:tcPr>
            <w:tcW w:type="dxa" w:w="1728"/>
            <w:shd w:fill="FFFFFF"/>
            <w:tcMar>
              <w:top w:w="100" w:type="dxa"/>
              <w:bottom w:w="100" w:type="dxa"/>
              <w:left w:w="130" w:type="dxa"/>
              <w:right w:w="130" w:type="dxa"/>
            </w:tcMar>
            <w:vAlign w:val="center"/>
          </w:tcPr>
          <w:p>
            <w:r>
              <w:rPr>
                <w:rFonts w:ascii="Calibri" w:hAnsi="Calibri"/>
                <w:color w:val="2D3748"/>
                <w:sz w:val="17"/>
              </w:rPr>
              <w:t>Total_Spending</w:t>
            </w:r>
          </w:p>
        </w:tc>
        <w:tc>
          <w:tcPr>
            <w:tcW w:type="dxa" w:w="1584"/>
            <w:shd w:fill="FFFFFF"/>
            <w:tcMar>
              <w:top w:w="100" w:type="dxa"/>
              <w:bottom w:w="100" w:type="dxa"/>
              <w:left w:w="130" w:type="dxa"/>
              <w:right w:w="130" w:type="dxa"/>
            </w:tcMar>
            <w:vAlign w:val="center"/>
          </w:tcPr>
          <w:p>
            <w:r>
              <w:rPr>
                <w:rFonts w:ascii="Calibri" w:hAnsi="Calibri"/>
                <w:color w:val="2D3748"/>
                <w:sz w:val="17"/>
              </w:rPr>
              <w:t>Continuous Numeric</w:t>
            </w:r>
          </w:p>
        </w:tc>
        <w:tc>
          <w:tcPr>
            <w:tcW w:type="dxa" w:w="1296"/>
            <w:shd w:fill="FFFFFF"/>
            <w:tcMar>
              <w:top w:w="100" w:type="dxa"/>
              <w:bottom w:w="100" w:type="dxa"/>
              <w:left w:w="130" w:type="dxa"/>
              <w:right w:w="130" w:type="dxa"/>
            </w:tcMar>
            <w:vAlign w:val="center"/>
          </w:tcPr>
          <w:p>
            <w:r>
              <w:rPr>
                <w:rFonts w:ascii="Calibri" w:hAnsi="Calibri"/>
                <w:color w:val="2D3748"/>
                <w:sz w:val="17"/>
              </w:rPr>
              <w:t>Behavioral</w:t>
            </w:r>
          </w:p>
        </w:tc>
        <w:tc>
          <w:tcPr>
            <w:tcW w:type="dxa" w:w="2160"/>
            <w:shd w:fill="FFFFFF"/>
            <w:tcMar>
              <w:top w:w="100" w:type="dxa"/>
              <w:bottom w:w="100" w:type="dxa"/>
              <w:left w:w="130" w:type="dxa"/>
              <w:right w:w="130" w:type="dxa"/>
            </w:tcMar>
            <w:vAlign w:val="center"/>
          </w:tcPr>
          <w:p>
            <w:r>
              <w:rPr>
                <w:rFonts w:ascii="Calibri" w:hAnsi="Calibri"/>
                <w:color w:val="2D3748"/>
                <w:sz w:val="17"/>
              </w:rPr>
              <w:t>Quantile Discretization (k=5)</w:t>
            </w:r>
          </w:p>
        </w:tc>
        <w:tc>
          <w:tcPr>
            <w:tcW w:type="dxa" w:w="3312"/>
            <w:shd w:fill="FFFFFF"/>
            <w:tcMar>
              <w:top w:w="100" w:type="dxa"/>
              <w:bottom w:w="100" w:type="dxa"/>
              <w:left w:w="130" w:type="dxa"/>
              <w:right w:w="130" w:type="dxa"/>
            </w:tcMar>
            <w:vAlign w:val="center"/>
          </w:tcPr>
          <w:p>
            <w:r>
              <w:rPr>
                <w:rFonts w:ascii="Calibri" w:hAnsi="Calibri"/>
                <w:color w:val="2D3748"/>
                <w:sz w:val="17"/>
              </w:rPr>
              <w:t>Cumulative annual revenue generated ($10–$10,000)</w:t>
            </w:r>
          </w:p>
        </w:tc>
      </w:tr>
      <w:tr>
        <w:tc>
          <w:tcPr>
            <w:tcW w:type="dxa" w:w="1728"/>
            <w:shd w:fill="F7FAFC"/>
            <w:tcMar>
              <w:top w:w="100" w:type="dxa"/>
              <w:bottom w:w="100" w:type="dxa"/>
              <w:left w:w="130" w:type="dxa"/>
              <w:right w:w="130" w:type="dxa"/>
            </w:tcMar>
            <w:vAlign w:val="center"/>
          </w:tcPr>
          <w:p>
            <w:r>
              <w:rPr>
                <w:rFonts w:ascii="Calibri" w:hAnsi="Calibri"/>
                <w:color w:val="2D3748"/>
                <w:sz w:val="17"/>
              </w:rPr>
              <w:t>Recency</w:t>
            </w:r>
          </w:p>
        </w:tc>
        <w:tc>
          <w:tcPr>
            <w:tcW w:type="dxa" w:w="1584"/>
            <w:shd w:fill="F7FAFC"/>
            <w:tcMar>
              <w:top w:w="100" w:type="dxa"/>
              <w:bottom w:w="100" w:type="dxa"/>
              <w:left w:w="130" w:type="dxa"/>
              <w:right w:w="130" w:type="dxa"/>
            </w:tcMar>
            <w:vAlign w:val="center"/>
          </w:tcPr>
          <w:p>
            <w:r>
              <w:rPr>
                <w:rFonts w:ascii="Calibri" w:hAnsi="Calibri"/>
                <w:color w:val="2D3748"/>
                <w:sz w:val="17"/>
              </w:rPr>
              <w:t>Continuous Numeric</w:t>
            </w:r>
          </w:p>
        </w:tc>
        <w:tc>
          <w:tcPr>
            <w:tcW w:type="dxa" w:w="1296"/>
            <w:shd w:fill="F7FAFC"/>
            <w:tcMar>
              <w:top w:w="100" w:type="dxa"/>
              <w:bottom w:w="100" w:type="dxa"/>
              <w:left w:w="130" w:type="dxa"/>
              <w:right w:w="130" w:type="dxa"/>
            </w:tcMar>
            <w:vAlign w:val="center"/>
          </w:tcPr>
          <w:p>
            <w:r>
              <w:rPr>
                <w:rFonts w:ascii="Calibri" w:hAnsi="Calibri"/>
                <w:color w:val="2D3748"/>
                <w:sz w:val="17"/>
              </w:rPr>
              <w:t>Behavioral</w:t>
            </w:r>
          </w:p>
        </w:tc>
        <w:tc>
          <w:tcPr>
            <w:tcW w:type="dxa" w:w="2160"/>
            <w:shd w:fill="F7FAFC"/>
            <w:tcMar>
              <w:top w:w="100" w:type="dxa"/>
              <w:bottom w:w="100" w:type="dxa"/>
              <w:left w:w="130" w:type="dxa"/>
              <w:right w:w="130" w:type="dxa"/>
            </w:tcMar>
            <w:vAlign w:val="center"/>
          </w:tcPr>
          <w:p>
            <w:r>
              <w:rPr>
                <w:rFonts w:ascii="Calibri" w:hAnsi="Calibri"/>
                <w:color w:val="2D3748"/>
                <w:sz w:val="17"/>
              </w:rPr>
              <w:t>Quantile Discretization (k=5)</w:t>
            </w:r>
          </w:p>
        </w:tc>
        <w:tc>
          <w:tcPr>
            <w:tcW w:type="dxa" w:w="3312"/>
            <w:shd w:fill="F7FAFC"/>
            <w:tcMar>
              <w:top w:w="100" w:type="dxa"/>
              <w:bottom w:w="100" w:type="dxa"/>
              <w:left w:w="130" w:type="dxa"/>
              <w:right w:w="130" w:type="dxa"/>
            </w:tcMar>
            <w:vAlign w:val="center"/>
          </w:tcPr>
          <w:p>
            <w:r>
              <w:rPr>
                <w:rFonts w:ascii="Calibri" w:hAnsi="Calibri"/>
                <w:color w:val="2D3748"/>
                <w:sz w:val="17"/>
              </w:rPr>
              <w:t>Days elapsed since most recent transaction (1–120)</w:t>
            </w:r>
          </w:p>
        </w:tc>
      </w:tr>
      <w:tr>
        <w:tc>
          <w:tcPr>
            <w:tcW w:type="dxa" w:w="1728"/>
            <w:shd w:fill="FFFFFF"/>
            <w:tcMar>
              <w:top w:w="100" w:type="dxa"/>
              <w:bottom w:w="100" w:type="dxa"/>
              <w:left w:w="130" w:type="dxa"/>
              <w:right w:w="130" w:type="dxa"/>
            </w:tcMar>
            <w:vAlign w:val="center"/>
          </w:tcPr>
          <w:p>
            <w:r>
              <w:rPr>
                <w:rFonts w:ascii="Calibri" w:hAnsi="Calibri"/>
                <w:color w:val="2D3748"/>
                <w:sz w:val="17"/>
              </w:rPr>
              <w:t>Discount_Usage</w:t>
            </w:r>
          </w:p>
        </w:tc>
        <w:tc>
          <w:tcPr>
            <w:tcW w:type="dxa" w:w="1584"/>
            <w:shd w:fill="FFFFFF"/>
            <w:tcMar>
              <w:top w:w="100" w:type="dxa"/>
              <w:bottom w:w="100" w:type="dxa"/>
              <w:left w:w="130" w:type="dxa"/>
              <w:right w:w="130" w:type="dxa"/>
            </w:tcMar>
            <w:vAlign w:val="center"/>
          </w:tcPr>
          <w:p>
            <w:r>
              <w:rPr>
                <w:rFonts w:ascii="Calibri" w:hAnsi="Calibri"/>
                <w:color w:val="2D3748"/>
                <w:sz w:val="17"/>
              </w:rPr>
              <w:t>Continuous Numeric</w:t>
            </w:r>
          </w:p>
        </w:tc>
        <w:tc>
          <w:tcPr>
            <w:tcW w:type="dxa" w:w="1296"/>
            <w:shd w:fill="FFFFFF"/>
            <w:tcMar>
              <w:top w:w="100" w:type="dxa"/>
              <w:bottom w:w="100" w:type="dxa"/>
              <w:left w:w="130" w:type="dxa"/>
              <w:right w:w="130" w:type="dxa"/>
            </w:tcMar>
            <w:vAlign w:val="center"/>
          </w:tcPr>
          <w:p>
            <w:r>
              <w:rPr>
                <w:rFonts w:ascii="Calibri" w:hAnsi="Calibri"/>
                <w:color w:val="2D3748"/>
                <w:sz w:val="17"/>
              </w:rPr>
              <w:t>Behavioral</w:t>
            </w:r>
          </w:p>
        </w:tc>
        <w:tc>
          <w:tcPr>
            <w:tcW w:type="dxa" w:w="2160"/>
            <w:shd w:fill="FFFFFF"/>
            <w:tcMar>
              <w:top w:w="100" w:type="dxa"/>
              <w:bottom w:w="100" w:type="dxa"/>
              <w:left w:w="130" w:type="dxa"/>
              <w:right w:w="130" w:type="dxa"/>
            </w:tcMar>
            <w:vAlign w:val="center"/>
          </w:tcPr>
          <w:p>
            <w:r>
              <w:rPr>
                <w:rFonts w:ascii="Calibri" w:hAnsi="Calibri"/>
                <w:color w:val="2D3748"/>
                <w:sz w:val="17"/>
              </w:rPr>
              <w:t>Quantile Discretization (k=5)</w:t>
            </w:r>
          </w:p>
        </w:tc>
        <w:tc>
          <w:tcPr>
            <w:tcW w:type="dxa" w:w="3312"/>
            <w:shd w:fill="FFFFFF"/>
            <w:tcMar>
              <w:top w:w="100" w:type="dxa"/>
              <w:bottom w:w="100" w:type="dxa"/>
              <w:left w:w="130" w:type="dxa"/>
              <w:right w:w="130" w:type="dxa"/>
            </w:tcMar>
            <w:vAlign w:val="center"/>
          </w:tcPr>
          <w:p>
            <w:r>
              <w:rPr>
                <w:rFonts w:ascii="Calibri" w:hAnsi="Calibri"/>
                <w:color w:val="2D3748"/>
                <w:sz w:val="17"/>
              </w:rPr>
              <w:t>Percentage of total orders using coupons/promotions</w:t>
            </w:r>
          </w:p>
        </w:tc>
      </w:tr>
      <w:tr>
        <w:tc>
          <w:tcPr>
            <w:tcW w:type="dxa" w:w="1728"/>
            <w:shd w:fill="F7FAFC"/>
            <w:tcMar>
              <w:top w:w="100" w:type="dxa"/>
              <w:bottom w:w="100" w:type="dxa"/>
              <w:left w:w="130" w:type="dxa"/>
              <w:right w:w="130" w:type="dxa"/>
            </w:tcMar>
            <w:vAlign w:val="center"/>
          </w:tcPr>
          <w:p>
            <w:r>
              <w:rPr>
                <w:rFonts w:ascii="Calibri" w:hAnsi="Calibri"/>
                <w:color w:val="2D3748"/>
                <w:sz w:val="17"/>
              </w:rPr>
              <w:t>Campaign_Response</w:t>
            </w:r>
          </w:p>
        </w:tc>
        <w:tc>
          <w:tcPr>
            <w:tcW w:type="dxa" w:w="1584"/>
            <w:shd w:fill="F7FAFC"/>
            <w:tcMar>
              <w:top w:w="100" w:type="dxa"/>
              <w:bottom w:w="100" w:type="dxa"/>
              <w:left w:w="130" w:type="dxa"/>
              <w:right w:w="130" w:type="dxa"/>
            </w:tcMar>
            <w:vAlign w:val="center"/>
          </w:tcPr>
          <w:p>
            <w:r>
              <w:rPr>
                <w:rFonts w:ascii="Calibri" w:hAnsi="Calibri"/>
                <w:color w:val="2D3748"/>
                <w:sz w:val="17"/>
              </w:rPr>
              <w:t>Binary Indicator</w:t>
            </w:r>
          </w:p>
        </w:tc>
        <w:tc>
          <w:tcPr>
            <w:tcW w:type="dxa" w:w="1296"/>
            <w:shd w:fill="F7FAFC"/>
            <w:tcMar>
              <w:top w:w="100" w:type="dxa"/>
              <w:bottom w:w="100" w:type="dxa"/>
              <w:left w:w="130" w:type="dxa"/>
              <w:right w:w="130" w:type="dxa"/>
            </w:tcMar>
            <w:vAlign w:val="center"/>
          </w:tcPr>
          <w:p>
            <w:r>
              <w:rPr>
                <w:rFonts w:ascii="Calibri" w:hAnsi="Calibri"/>
                <w:color w:val="2D3748"/>
                <w:sz w:val="17"/>
              </w:rPr>
              <w:t>Behavioral</w:t>
            </w:r>
          </w:p>
        </w:tc>
        <w:tc>
          <w:tcPr>
            <w:tcW w:type="dxa" w:w="2160"/>
            <w:shd w:fill="F7FAFC"/>
            <w:tcMar>
              <w:top w:w="100" w:type="dxa"/>
              <w:bottom w:w="100" w:type="dxa"/>
              <w:left w:w="130" w:type="dxa"/>
              <w:right w:w="130" w:type="dxa"/>
            </w:tcMar>
            <w:vAlign w:val="center"/>
          </w:tcPr>
          <w:p>
            <w:r>
              <w:rPr>
                <w:rFonts w:ascii="Calibri" w:hAnsi="Calibri"/>
                <w:color w:val="2D3748"/>
                <w:sz w:val="17"/>
              </w:rPr>
              <w:t>Identity Binary (0 / 1)</w:t>
            </w:r>
          </w:p>
        </w:tc>
        <w:tc>
          <w:tcPr>
            <w:tcW w:type="dxa" w:w="3312"/>
            <w:shd w:fill="F7FAFC"/>
            <w:tcMar>
              <w:top w:w="100" w:type="dxa"/>
              <w:bottom w:w="100" w:type="dxa"/>
              <w:left w:w="130" w:type="dxa"/>
              <w:right w:w="130" w:type="dxa"/>
            </w:tcMar>
            <w:vAlign w:val="center"/>
          </w:tcPr>
          <w:p>
            <w:r>
              <w:rPr>
                <w:rFonts w:ascii="Calibri" w:hAnsi="Calibri"/>
                <w:color w:val="2D3748"/>
                <w:sz w:val="17"/>
              </w:rPr>
              <w:t>Historical response to direct marketing promotions</w:t>
            </w:r>
          </w:p>
        </w:tc>
      </w:tr>
      <w:tr>
        <w:tc>
          <w:tcPr>
            <w:tcW w:type="dxa" w:w="1728"/>
            <w:shd w:fill="FFFFFF"/>
            <w:tcMar>
              <w:top w:w="100" w:type="dxa"/>
              <w:bottom w:w="100" w:type="dxa"/>
              <w:left w:w="130" w:type="dxa"/>
              <w:right w:w="130" w:type="dxa"/>
            </w:tcMar>
            <w:vAlign w:val="center"/>
          </w:tcPr>
          <w:p>
            <w:r>
              <w:rPr>
                <w:rFonts w:ascii="Calibri" w:hAnsi="Calibri"/>
                <w:color w:val="2D3748"/>
                <w:sz w:val="17"/>
              </w:rPr>
              <w:t>Engagement_Score</w:t>
            </w:r>
          </w:p>
        </w:tc>
        <w:tc>
          <w:tcPr>
            <w:tcW w:type="dxa" w:w="1584"/>
            <w:shd w:fill="FFFFFF"/>
            <w:tcMar>
              <w:top w:w="100" w:type="dxa"/>
              <w:bottom w:w="100" w:type="dxa"/>
              <w:left w:w="130" w:type="dxa"/>
              <w:right w:w="130" w:type="dxa"/>
            </w:tcMar>
            <w:vAlign w:val="center"/>
          </w:tcPr>
          <w:p>
            <w:r>
              <w:rPr>
                <w:rFonts w:ascii="Calibri" w:hAnsi="Calibri"/>
                <w:color w:val="2D3748"/>
                <w:sz w:val="17"/>
              </w:rPr>
              <w:t>Continuous Numeric</w:t>
            </w:r>
          </w:p>
        </w:tc>
        <w:tc>
          <w:tcPr>
            <w:tcW w:type="dxa" w:w="1296"/>
            <w:shd w:fill="FFFFFF"/>
            <w:tcMar>
              <w:top w:w="100" w:type="dxa"/>
              <w:bottom w:w="100" w:type="dxa"/>
              <w:left w:w="130" w:type="dxa"/>
              <w:right w:w="130" w:type="dxa"/>
            </w:tcMar>
            <w:vAlign w:val="center"/>
          </w:tcPr>
          <w:p>
            <w:r>
              <w:rPr>
                <w:rFonts w:ascii="Calibri" w:hAnsi="Calibri"/>
                <w:color w:val="2D3748"/>
                <w:sz w:val="17"/>
              </w:rPr>
              <w:t>Behavioral</w:t>
            </w:r>
          </w:p>
        </w:tc>
        <w:tc>
          <w:tcPr>
            <w:tcW w:type="dxa" w:w="2160"/>
            <w:shd w:fill="FFFFFF"/>
            <w:tcMar>
              <w:top w:w="100" w:type="dxa"/>
              <w:bottom w:w="100" w:type="dxa"/>
              <w:left w:w="130" w:type="dxa"/>
              <w:right w:w="130" w:type="dxa"/>
            </w:tcMar>
            <w:vAlign w:val="center"/>
          </w:tcPr>
          <w:p>
            <w:r>
              <w:rPr>
                <w:rFonts w:ascii="Calibri" w:hAnsi="Calibri"/>
                <w:color w:val="2D3748"/>
                <w:sz w:val="17"/>
              </w:rPr>
              <w:t>Median Impute + Discretize</w:t>
            </w:r>
          </w:p>
        </w:tc>
        <w:tc>
          <w:tcPr>
            <w:tcW w:type="dxa" w:w="3312"/>
            <w:shd w:fill="FFFFFF"/>
            <w:tcMar>
              <w:top w:w="100" w:type="dxa"/>
              <w:bottom w:w="100" w:type="dxa"/>
              <w:left w:w="130" w:type="dxa"/>
              <w:right w:w="130" w:type="dxa"/>
            </w:tcMar>
            <w:vAlign w:val="center"/>
          </w:tcPr>
          <w:p>
            <w:r>
              <w:rPr>
                <w:rFonts w:ascii="Calibri" w:hAnsi="Calibri"/>
                <w:color w:val="2D3748"/>
                <w:sz w:val="17"/>
              </w:rPr>
              <w:t>Digital platform session and browsing activity score (0–100)</w:t>
            </w:r>
          </w:p>
        </w:tc>
      </w:tr>
    </w:tbl>
    <w:p/>
    <w:p>
      <w:r>
        <w:rPr>
          <w:b/>
          <w:color w:val="2B6CB0"/>
        </w:rPr>
        <w:t>Table 3. Target Class Distribution &amp; Partition Support</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680"/>
        <w:gridCol w:w="1680"/>
        <w:gridCol w:w="1680"/>
        <w:gridCol w:w="1680"/>
        <w:gridCol w:w="1680"/>
        <w:gridCol w:w="1680"/>
      </w:tblGrid>
      <w:tr>
        <w:tc>
          <w:tcPr>
            <w:tcW w:type="dxa" w:w="1440"/>
            <w:shd w:fill="1A365D"/>
            <w:tcMar>
              <w:top w:w="140" w:type="dxa"/>
              <w:bottom w:w="140" w:type="dxa"/>
              <w:left w:w="150" w:type="dxa"/>
              <w:right w:w="150" w:type="dxa"/>
            </w:tcMar>
          </w:tcPr>
          <w:p>
            <w:pPr>
              <w:jc w:val="center"/>
            </w:pPr>
            <w:r>
              <w:rPr>
                <w:rFonts w:ascii="Calibri" w:hAnsi="Calibri"/>
                <w:b/>
                <w:color w:val="FFFFFF"/>
                <w:sz w:val="17"/>
              </w:rPr>
              <w:t>Customer Segment</w:t>
            </w:r>
          </w:p>
        </w:tc>
        <w:tc>
          <w:tcPr>
            <w:tcW w:type="dxa" w:w="3024"/>
            <w:shd w:fill="1A365D"/>
            <w:tcMar>
              <w:top w:w="140" w:type="dxa"/>
              <w:bottom w:w="140" w:type="dxa"/>
              <w:left w:w="150" w:type="dxa"/>
              <w:right w:w="150" w:type="dxa"/>
            </w:tcMar>
          </w:tcPr>
          <w:p>
            <w:pPr>
              <w:jc w:val="center"/>
            </w:pPr>
            <w:r>
              <w:rPr>
                <w:rFonts w:ascii="Calibri" w:hAnsi="Calibri"/>
                <w:b/>
                <w:color w:val="FFFFFF"/>
                <w:sz w:val="17"/>
              </w:rPr>
              <w:t>Business Description</w:t>
            </w:r>
          </w:p>
        </w:tc>
        <w:tc>
          <w:tcPr>
            <w:tcW w:type="dxa" w:w="1440"/>
            <w:shd w:fill="1A365D"/>
            <w:tcMar>
              <w:top w:w="140" w:type="dxa"/>
              <w:bottom w:w="140" w:type="dxa"/>
              <w:left w:w="150" w:type="dxa"/>
              <w:right w:w="150" w:type="dxa"/>
            </w:tcMar>
          </w:tcPr>
          <w:p>
            <w:pPr>
              <w:jc w:val="center"/>
            </w:pPr>
            <w:r>
              <w:rPr>
                <w:rFonts w:ascii="Calibri" w:hAnsi="Calibri"/>
                <w:b/>
                <w:color w:val="FFFFFF"/>
                <w:sz w:val="17"/>
              </w:rPr>
              <w:t>Train Count (N=4,000)</w:t>
            </w:r>
          </w:p>
        </w:tc>
        <w:tc>
          <w:tcPr>
            <w:tcW w:type="dxa" w:w="1440"/>
            <w:shd w:fill="1A365D"/>
            <w:tcMar>
              <w:top w:w="140" w:type="dxa"/>
              <w:bottom w:w="140" w:type="dxa"/>
              <w:left w:w="150" w:type="dxa"/>
              <w:right w:w="150" w:type="dxa"/>
            </w:tcMar>
          </w:tcPr>
          <w:p>
            <w:pPr>
              <w:jc w:val="center"/>
            </w:pPr>
            <w:r>
              <w:rPr>
                <w:rFonts w:ascii="Calibri" w:hAnsi="Calibri"/>
                <w:b/>
                <w:color w:val="FFFFFF"/>
                <w:sz w:val="17"/>
              </w:rPr>
              <w:t>Test Count (N=1,000)</w:t>
            </w:r>
          </w:p>
        </w:tc>
        <w:tc>
          <w:tcPr>
            <w:tcW w:type="dxa" w:w="1296"/>
            <w:shd w:fill="1A365D"/>
            <w:tcMar>
              <w:top w:w="140" w:type="dxa"/>
              <w:bottom w:w="140" w:type="dxa"/>
              <w:left w:w="150" w:type="dxa"/>
              <w:right w:w="150" w:type="dxa"/>
            </w:tcMar>
          </w:tcPr>
          <w:p>
            <w:pPr>
              <w:jc w:val="center"/>
            </w:pPr>
            <w:r>
              <w:rPr>
                <w:rFonts w:ascii="Calibri" w:hAnsi="Calibri"/>
                <w:b/>
                <w:color w:val="FFFFFF"/>
                <w:sz w:val="17"/>
              </w:rPr>
              <w:t>Total Records</w:t>
            </w:r>
          </w:p>
        </w:tc>
        <w:tc>
          <w:tcPr>
            <w:tcW w:type="dxa" w:w="1440"/>
            <w:shd w:fill="1A365D"/>
            <w:tcMar>
              <w:top w:w="140" w:type="dxa"/>
              <w:bottom w:w="140" w:type="dxa"/>
              <w:left w:w="150" w:type="dxa"/>
              <w:right w:w="150" w:type="dxa"/>
            </w:tcMar>
          </w:tcPr>
          <w:p>
            <w:pPr>
              <w:jc w:val="center"/>
            </w:pPr>
            <w:r>
              <w:rPr>
                <w:rFonts w:ascii="Calibri" w:hAnsi="Calibri"/>
                <w:b/>
                <w:color w:val="FFFFFF"/>
                <w:sz w:val="17"/>
              </w:rPr>
              <w:t>Prevalence Share</w:t>
            </w:r>
          </w:p>
        </w:tc>
      </w:tr>
      <w:tr>
        <w:tc>
          <w:tcPr>
            <w:tcW w:type="dxa" w:w="1440"/>
            <w:shd w:fill="F7FAFC"/>
            <w:tcMar>
              <w:top w:w="100" w:type="dxa"/>
              <w:bottom w:w="100" w:type="dxa"/>
              <w:left w:w="130" w:type="dxa"/>
              <w:right w:w="130" w:type="dxa"/>
            </w:tcMar>
            <w:vAlign w:val="center"/>
          </w:tcPr>
          <w:p>
            <w:r>
              <w:rPr>
                <w:rFonts w:ascii="Calibri" w:hAnsi="Calibri"/>
                <w:color w:val="2D3748"/>
                <w:sz w:val="17"/>
              </w:rPr>
              <w:t>Segment A</w:t>
            </w:r>
          </w:p>
        </w:tc>
        <w:tc>
          <w:tcPr>
            <w:tcW w:type="dxa" w:w="3024"/>
            <w:shd w:fill="F7FAFC"/>
            <w:tcMar>
              <w:top w:w="100" w:type="dxa"/>
              <w:bottom w:w="100" w:type="dxa"/>
              <w:left w:w="130" w:type="dxa"/>
              <w:right w:w="130" w:type="dxa"/>
            </w:tcMar>
            <w:vAlign w:val="center"/>
          </w:tcPr>
          <w:p>
            <w:r>
              <w:rPr>
                <w:rFonts w:ascii="Calibri" w:hAnsi="Calibri"/>
                <w:color w:val="2D3748"/>
                <w:sz w:val="17"/>
              </w:rPr>
              <w:t>Affluent High-Spend Professionals / VIPs</w:t>
            </w:r>
          </w:p>
        </w:tc>
        <w:tc>
          <w:tcPr>
            <w:tcW w:type="dxa" w:w="1440"/>
            <w:shd w:fill="F7FAFC"/>
            <w:tcMar>
              <w:top w:w="100" w:type="dxa"/>
              <w:bottom w:w="100" w:type="dxa"/>
              <w:left w:w="130" w:type="dxa"/>
              <w:right w:w="130" w:type="dxa"/>
            </w:tcMar>
            <w:vAlign w:val="center"/>
          </w:tcPr>
          <w:p>
            <w:r>
              <w:rPr>
                <w:rFonts w:ascii="Calibri" w:hAnsi="Calibri"/>
                <w:color w:val="2D3748"/>
                <w:sz w:val="17"/>
              </w:rPr>
              <w:t>1,028</w:t>
            </w:r>
          </w:p>
        </w:tc>
        <w:tc>
          <w:tcPr>
            <w:tcW w:type="dxa" w:w="1440"/>
            <w:shd w:fill="F7FAFC"/>
            <w:tcMar>
              <w:top w:w="100" w:type="dxa"/>
              <w:bottom w:w="100" w:type="dxa"/>
              <w:left w:w="130" w:type="dxa"/>
              <w:right w:w="130" w:type="dxa"/>
            </w:tcMar>
            <w:vAlign w:val="center"/>
          </w:tcPr>
          <w:p>
            <w:r>
              <w:rPr>
                <w:rFonts w:ascii="Calibri" w:hAnsi="Calibri"/>
                <w:color w:val="2D3748"/>
                <w:sz w:val="17"/>
              </w:rPr>
              <w:t>257</w:t>
            </w:r>
          </w:p>
        </w:tc>
        <w:tc>
          <w:tcPr>
            <w:tcW w:type="dxa" w:w="1296"/>
            <w:shd w:fill="F7FAFC"/>
            <w:tcMar>
              <w:top w:w="100" w:type="dxa"/>
              <w:bottom w:w="100" w:type="dxa"/>
              <w:left w:w="130" w:type="dxa"/>
              <w:right w:w="130" w:type="dxa"/>
            </w:tcMar>
            <w:vAlign w:val="center"/>
          </w:tcPr>
          <w:p>
            <w:r>
              <w:rPr>
                <w:rFonts w:ascii="Calibri" w:hAnsi="Calibri"/>
                <w:color w:val="2D3748"/>
                <w:sz w:val="17"/>
              </w:rPr>
              <w:t>1,285</w:t>
            </w:r>
          </w:p>
        </w:tc>
        <w:tc>
          <w:tcPr>
            <w:tcW w:type="dxa" w:w="1440"/>
            <w:shd w:fill="F7FAFC"/>
            <w:tcMar>
              <w:top w:w="100" w:type="dxa"/>
              <w:bottom w:w="100" w:type="dxa"/>
              <w:left w:w="130" w:type="dxa"/>
              <w:right w:w="130" w:type="dxa"/>
            </w:tcMar>
            <w:vAlign w:val="center"/>
          </w:tcPr>
          <w:p>
            <w:r>
              <w:rPr>
                <w:rFonts w:ascii="Calibri" w:hAnsi="Calibri"/>
                <w:color w:val="2D3748"/>
                <w:sz w:val="17"/>
              </w:rPr>
              <w:t>25.70%</w:t>
            </w:r>
          </w:p>
        </w:tc>
      </w:tr>
      <w:tr>
        <w:tc>
          <w:tcPr>
            <w:tcW w:type="dxa" w:w="1440"/>
            <w:shd w:fill="FFFFFF"/>
            <w:tcMar>
              <w:top w:w="100" w:type="dxa"/>
              <w:bottom w:w="100" w:type="dxa"/>
              <w:left w:w="130" w:type="dxa"/>
              <w:right w:w="130" w:type="dxa"/>
            </w:tcMar>
            <w:vAlign w:val="center"/>
          </w:tcPr>
          <w:p>
            <w:r>
              <w:rPr>
                <w:rFonts w:ascii="Calibri" w:hAnsi="Calibri"/>
                <w:color w:val="2D3748"/>
                <w:sz w:val="17"/>
              </w:rPr>
              <w:t>Segment B</w:t>
            </w:r>
          </w:p>
        </w:tc>
        <w:tc>
          <w:tcPr>
            <w:tcW w:type="dxa" w:w="3024"/>
            <w:shd w:fill="FFFFFF"/>
            <w:tcMar>
              <w:top w:w="100" w:type="dxa"/>
              <w:bottom w:w="100" w:type="dxa"/>
              <w:left w:w="130" w:type="dxa"/>
              <w:right w:w="130" w:type="dxa"/>
            </w:tcMar>
            <w:vAlign w:val="center"/>
          </w:tcPr>
          <w:p>
            <w:r>
              <w:rPr>
                <w:rFonts w:ascii="Calibri" w:hAnsi="Calibri"/>
                <w:color w:val="2D3748"/>
                <w:sz w:val="17"/>
              </w:rPr>
              <w:t>Established Upwardly Mobile Mid-Career</w:t>
            </w:r>
          </w:p>
        </w:tc>
        <w:tc>
          <w:tcPr>
            <w:tcW w:type="dxa" w:w="1440"/>
            <w:shd w:fill="FFFFFF"/>
            <w:tcMar>
              <w:top w:w="100" w:type="dxa"/>
              <w:bottom w:w="100" w:type="dxa"/>
              <w:left w:w="130" w:type="dxa"/>
              <w:right w:w="130" w:type="dxa"/>
            </w:tcMar>
            <w:vAlign w:val="center"/>
          </w:tcPr>
          <w:p>
            <w:r>
              <w:rPr>
                <w:rFonts w:ascii="Calibri" w:hAnsi="Calibri"/>
                <w:color w:val="2D3748"/>
                <w:sz w:val="17"/>
              </w:rPr>
              <w:t>1,372</w:t>
            </w:r>
          </w:p>
        </w:tc>
        <w:tc>
          <w:tcPr>
            <w:tcW w:type="dxa" w:w="1440"/>
            <w:shd w:fill="FFFFFF"/>
            <w:tcMar>
              <w:top w:w="100" w:type="dxa"/>
              <w:bottom w:w="100" w:type="dxa"/>
              <w:left w:w="130" w:type="dxa"/>
              <w:right w:w="130" w:type="dxa"/>
            </w:tcMar>
            <w:vAlign w:val="center"/>
          </w:tcPr>
          <w:p>
            <w:r>
              <w:rPr>
                <w:rFonts w:ascii="Calibri" w:hAnsi="Calibri"/>
                <w:color w:val="2D3748"/>
                <w:sz w:val="17"/>
              </w:rPr>
              <w:t>343</w:t>
            </w:r>
          </w:p>
        </w:tc>
        <w:tc>
          <w:tcPr>
            <w:tcW w:type="dxa" w:w="1296"/>
            <w:shd w:fill="FFFFFF"/>
            <w:tcMar>
              <w:top w:w="100" w:type="dxa"/>
              <w:bottom w:w="100" w:type="dxa"/>
              <w:left w:w="130" w:type="dxa"/>
              <w:right w:w="130" w:type="dxa"/>
            </w:tcMar>
            <w:vAlign w:val="center"/>
          </w:tcPr>
          <w:p>
            <w:r>
              <w:rPr>
                <w:rFonts w:ascii="Calibri" w:hAnsi="Calibri"/>
                <w:color w:val="2D3748"/>
                <w:sz w:val="17"/>
              </w:rPr>
              <w:t>1,715</w:t>
            </w:r>
          </w:p>
        </w:tc>
        <w:tc>
          <w:tcPr>
            <w:tcW w:type="dxa" w:w="1440"/>
            <w:shd w:fill="FFFFFF"/>
            <w:tcMar>
              <w:top w:w="100" w:type="dxa"/>
              <w:bottom w:w="100" w:type="dxa"/>
              <w:left w:w="130" w:type="dxa"/>
              <w:right w:w="130" w:type="dxa"/>
            </w:tcMar>
            <w:vAlign w:val="center"/>
          </w:tcPr>
          <w:p>
            <w:r>
              <w:rPr>
                <w:rFonts w:ascii="Calibri" w:hAnsi="Calibri"/>
                <w:color w:val="2D3748"/>
                <w:sz w:val="17"/>
              </w:rPr>
              <w:t>34.30%</w:t>
            </w:r>
          </w:p>
        </w:tc>
      </w:tr>
      <w:tr>
        <w:tc>
          <w:tcPr>
            <w:tcW w:type="dxa" w:w="1440"/>
            <w:shd w:fill="F7FAFC"/>
            <w:tcMar>
              <w:top w:w="100" w:type="dxa"/>
              <w:bottom w:w="100" w:type="dxa"/>
              <w:left w:w="130" w:type="dxa"/>
              <w:right w:w="130" w:type="dxa"/>
            </w:tcMar>
            <w:vAlign w:val="center"/>
          </w:tcPr>
          <w:p>
            <w:r>
              <w:rPr>
                <w:rFonts w:ascii="Calibri" w:hAnsi="Calibri"/>
                <w:color w:val="2D3748"/>
                <w:sz w:val="17"/>
              </w:rPr>
              <w:t>Segment C</w:t>
            </w:r>
          </w:p>
        </w:tc>
        <w:tc>
          <w:tcPr>
            <w:tcW w:type="dxa" w:w="3024"/>
            <w:shd w:fill="F7FAFC"/>
            <w:tcMar>
              <w:top w:w="100" w:type="dxa"/>
              <w:bottom w:w="100" w:type="dxa"/>
              <w:left w:w="130" w:type="dxa"/>
              <w:right w:w="130" w:type="dxa"/>
            </w:tcMar>
            <w:vAlign w:val="center"/>
          </w:tcPr>
          <w:p>
            <w:r>
              <w:rPr>
                <w:rFonts w:ascii="Calibri" w:hAnsi="Calibri"/>
                <w:color w:val="2D3748"/>
                <w:sz w:val="17"/>
              </w:rPr>
              <w:t>Younger Budget-Conscious / Families</w:t>
            </w:r>
          </w:p>
        </w:tc>
        <w:tc>
          <w:tcPr>
            <w:tcW w:type="dxa" w:w="1440"/>
            <w:shd w:fill="F7FAFC"/>
            <w:tcMar>
              <w:top w:w="100" w:type="dxa"/>
              <w:bottom w:w="100" w:type="dxa"/>
              <w:left w:w="130" w:type="dxa"/>
              <w:right w:w="130" w:type="dxa"/>
            </w:tcMar>
            <w:vAlign w:val="center"/>
          </w:tcPr>
          <w:p>
            <w:r>
              <w:rPr>
                <w:rFonts w:ascii="Calibri" w:hAnsi="Calibri"/>
                <w:color w:val="2D3748"/>
                <w:sz w:val="17"/>
              </w:rPr>
              <w:t>1,016</w:t>
            </w:r>
          </w:p>
        </w:tc>
        <w:tc>
          <w:tcPr>
            <w:tcW w:type="dxa" w:w="1440"/>
            <w:shd w:fill="F7FAFC"/>
            <w:tcMar>
              <w:top w:w="100" w:type="dxa"/>
              <w:bottom w:w="100" w:type="dxa"/>
              <w:left w:w="130" w:type="dxa"/>
              <w:right w:w="130" w:type="dxa"/>
            </w:tcMar>
            <w:vAlign w:val="center"/>
          </w:tcPr>
          <w:p>
            <w:r>
              <w:rPr>
                <w:rFonts w:ascii="Calibri" w:hAnsi="Calibri"/>
                <w:color w:val="2D3748"/>
                <w:sz w:val="17"/>
              </w:rPr>
              <w:t>254</w:t>
            </w:r>
          </w:p>
        </w:tc>
        <w:tc>
          <w:tcPr>
            <w:tcW w:type="dxa" w:w="1296"/>
            <w:shd w:fill="F7FAFC"/>
            <w:tcMar>
              <w:top w:w="100" w:type="dxa"/>
              <w:bottom w:w="100" w:type="dxa"/>
              <w:left w:w="130" w:type="dxa"/>
              <w:right w:w="130" w:type="dxa"/>
            </w:tcMar>
            <w:vAlign w:val="center"/>
          </w:tcPr>
          <w:p>
            <w:r>
              <w:rPr>
                <w:rFonts w:ascii="Calibri" w:hAnsi="Calibri"/>
                <w:color w:val="2D3748"/>
                <w:sz w:val="17"/>
              </w:rPr>
              <w:t>1,270</w:t>
            </w:r>
          </w:p>
        </w:tc>
        <w:tc>
          <w:tcPr>
            <w:tcW w:type="dxa" w:w="1440"/>
            <w:shd w:fill="F7FAFC"/>
            <w:tcMar>
              <w:top w:w="100" w:type="dxa"/>
              <w:bottom w:w="100" w:type="dxa"/>
              <w:left w:w="130" w:type="dxa"/>
              <w:right w:w="130" w:type="dxa"/>
            </w:tcMar>
            <w:vAlign w:val="center"/>
          </w:tcPr>
          <w:p>
            <w:r>
              <w:rPr>
                <w:rFonts w:ascii="Calibri" w:hAnsi="Calibri"/>
                <w:color w:val="2D3748"/>
                <w:sz w:val="17"/>
              </w:rPr>
              <w:t>25.40%</w:t>
            </w:r>
          </w:p>
        </w:tc>
      </w:tr>
      <w:tr>
        <w:tc>
          <w:tcPr>
            <w:tcW w:type="dxa" w:w="1440"/>
            <w:shd w:fill="FFFFFF"/>
            <w:tcMar>
              <w:top w:w="100" w:type="dxa"/>
              <w:bottom w:w="100" w:type="dxa"/>
              <w:left w:w="130" w:type="dxa"/>
              <w:right w:w="130" w:type="dxa"/>
            </w:tcMar>
            <w:vAlign w:val="center"/>
          </w:tcPr>
          <w:p>
            <w:r>
              <w:rPr>
                <w:rFonts w:ascii="Calibri" w:hAnsi="Calibri"/>
                <w:color w:val="2D3748"/>
                <w:sz w:val="17"/>
              </w:rPr>
              <w:t>Segment D</w:t>
            </w:r>
          </w:p>
        </w:tc>
        <w:tc>
          <w:tcPr>
            <w:tcW w:type="dxa" w:w="3024"/>
            <w:shd w:fill="FFFFFF"/>
            <w:tcMar>
              <w:top w:w="100" w:type="dxa"/>
              <w:bottom w:w="100" w:type="dxa"/>
              <w:left w:w="130" w:type="dxa"/>
              <w:right w:w="130" w:type="dxa"/>
            </w:tcMar>
            <w:vAlign w:val="center"/>
          </w:tcPr>
          <w:p>
            <w:r>
              <w:rPr>
                <w:rFonts w:ascii="Calibri" w:hAnsi="Calibri"/>
                <w:color w:val="2D3748"/>
                <w:sz w:val="17"/>
              </w:rPr>
              <w:t>Low-Engagement / Churned / Traditionalists</w:t>
            </w:r>
          </w:p>
        </w:tc>
        <w:tc>
          <w:tcPr>
            <w:tcW w:type="dxa" w:w="1440"/>
            <w:shd w:fill="FFFFFF"/>
            <w:tcMar>
              <w:top w:w="100" w:type="dxa"/>
              <w:bottom w:w="100" w:type="dxa"/>
              <w:left w:w="130" w:type="dxa"/>
              <w:right w:w="130" w:type="dxa"/>
            </w:tcMar>
            <w:vAlign w:val="center"/>
          </w:tcPr>
          <w:p>
            <w:r>
              <w:rPr>
                <w:rFonts w:ascii="Calibri" w:hAnsi="Calibri"/>
                <w:color w:val="2D3748"/>
                <w:sz w:val="17"/>
              </w:rPr>
              <w:t>584</w:t>
            </w:r>
          </w:p>
        </w:tc>
        <w:tc>
          <w:tcPr>
            <w:tcW w:type="dxa" w:w="1440"/>
            <w:shd w:fill="FFFFFF"/>
            <w:tcMar>
              <w:top w:w="100" w:type="dxa"/>
              <w:bottom w:w="100" w:type="dxa"/>
              <w:left w:w="130" w:type="dxa"/>
              <w:right w:w="130" w:type="dxa"/>
            </w:tcMar>
            <w:vAlign w:val="center"/>
          </w:tcPr>
          <w:p>
            <w:r>
              <w:rPr>
                <w:rFonts w:ascii="Calibri" w:hAnsi="Calibri"/>
                <w:color w:val="2D3748"/>
                <w:sz w:val="17"/>
              </w:rPr>
              <w:t>146</w:t>
            </w:r>
          </w:p>
        </w:tc>
        <w:tc>
          <w:tcPr>
            <w:tcW w:type="dxa" w:w="1296"/>
            <w:shd w:fill="FFFFFF"/>
            <w:tcMar>
              <w:top w:w="100" w:type="dxa"/>
              <w:bottom w:w="100" w:type="dxa"/>
              <w:left w:w="130" w:type="dxa"/>
              <w:right w:w="130" w:type="dxa"/>
            </w:tcMar>
            <w:vAlign w:val="center"/>
          </w:tcPr>
          <w:p>
            <w:r>
              <w:rPr>
                <w:rFonts w:ascii="Calibri" w:hAnsi="Calibri"/>
                <w:color w:val="2D3748"/>
                <w:sz w:val="17"/>
              </w:rPr>
              <w:t>730</w:t>
            </w:r>
          </w:p>
        </w:tc>
        <w:tc>
          <w:tcPr>
            <w:tcW w:type="dxa" w:w="1440"/>
            <w:shd w:fill="FFFFFF"/>
            <w:tcMar>
              <w:top w:w="100" w:type="dxa"/>
              <w:bottom w:w="100" w:type="dxa"/>
              <w:left w:w="130" w:type="dxa"/>
              <w:right w:w="130" w:type="dxa"/>
            </w:tcMar>
            <w:vAlign w:val="center"/>
          </w:tcPr>
          <w:p>
            <w:r>
              <w:rPr>
                <w:rFonts w:ascii="Calibri" w:hAnsi="Calibri"/>
                <w:color w:val="2D3748"/>
                <w:sz w:val="17"/>
              </w:rPr>
              <w:t>14.60%</w:t>
            </w:r>
          </w:p>
        </w:tc>
      </w:tr>
      <w:tr>
        <w:tc>
          <w:tcPr>
            <w:tcW w:type="dxa" w:w="1440"/>
            <w:shd w:fill="F7FAFC"/>
            <w:tcMar>
              <w:top w:w="100" w:type="dxa"/>
              <w:bottom w:w="100" w:type="dxa"/>
              <w:left w:w="130" w:type="dxa"/>
              <w:right w:w="130" w:type="dxa"/>
            </w:tcMar>
            <w:vAlign w:val="center"/>
          </w:tcPr>
          <w:p>
            <w:r>
              <w:rPr>
                <w:rFonts w:ascii="Calibri" w:hAnsi="Calibri"/>
                <w:color w:val="2D3748"/>
                <w:sz w:val="17"/>
              </w:rPr>
              <w:t>Total</w:t>
            </w:r>
          </w:p>
        </w:tc>
        <w:tc>
          <w:tcPr>
            <w:tcW w:type="dxa" w:w="3024"/>
            <w:shd w:fill="F7FAFC"/>
            <w:tcMar>
              <w:top w:w="100" w:type="dxa"/>
              <w:bottom w:w="100" w:type="dxa"/>
              <w:left w:w="130" w:type="dxa"/>
              <w:right w:w="130" w:type="dxa"/>
            </w:tcMar>
            <w:vAlign w:val="center"/>
          </w:tcPr>
          <w:p>
            <w:r>
              <w:rPr>
                <w:rFonts w:ascii="Calibri" w:hAnsi="Calibri"/>
                <w:color w:val="2D3748"/>
                <w:sz w:val="17"/>
              </w:rPr>
              <w:t>Full Supervised Multi-Modal Cohort</w:t>
            </w:r>
          </w:p>
        </w:tc>
        <w:tc>
          <w:tcPr>
            <w:tcW w:type="dxa" w:w="1440"/>
            <w:shd w:fill="F7FAFC"/>
            <w:tcMar>
              <w:top w:w="100" w:type="dxa"/>
              <w:bottom w:w="100" w:type="dxa"/>
              <w:left w:w="130" w:type="dxa"/>
              <w:right w:w="130" w:type="dxa"/>
            </w:tcMar>
            <w:vAlign w:val="center"/>
          </w:tcPr>
          <w:p>
            <w:r>
              <w:rPr>
                <w:rFonts w:ascii="Calibri" w:hAnsi="Calibri"/>
                <w:color w:val="2D3748"/>
                <w:sz w:val="17"/>
              </w:rPr>
              <w:t>4,000 (80.0%)</w:t>
            </w:r>
          </w:p>
        </w:tc>
        <w:tc>
          <w:tcPr>
            <w:tcW w:type="dxa" w:w="1440"/>
            <w:shd w:fill="F7FAFC"/>
            <w:tcMar>
              <w:top w:w="100" w:type="dxa"/>
              <w:bottom w:w="100" w:type="dxa"/>
              <w:left w:w="130" w:type="dxa"/>
              <w:right w:w="130" w:type="dxa"/>
            </w:tcMar>
            <w:vAlign w:val="center"/>
          </w:tcPr>
          <w:p>
            <w:r>
              <w:rPr>
                <w:rFonts w:ascii="Calibri" w:hAnsi="Calibri"/>
                <w:color w:val="2D3748"/>
                <w:sz w:val="17"/>
              </w:rPr>
              <w:t>1,000 (20.0%)</w:t>
            </w:r>
          </w:p>
        </w:tc>
        <w:tc>
          <w:tcPr>
            <w:tcW w:type="dxa" w:w="1296"/>
            <w:shd w:fill="F7FAFC"/>
            <w:tcMar>
              <w:top w:w="100" w:type="dxa"/>
              <w:bottom w:w="100" w:type="dxa"/>
              <w:left w:w="130" w:type="dxa"/>
              <w:right w:w="130" w:type="dxa"/>
            </w:tcMar>
            <w:vAlign w:val="center"/>
          </w:tcPr>
          <w:p>
            <w:r>
              <w:rPr>
                <w:rFonts w:ascii="Calibri" w:hAnsi="Calibri"/>
                <w:color w:val="2D3748"/>
                <w:sz w:val="17"/>
              </w:rPr>
              <w:t>5,000</w:t>
            </w:r>
          </w:p>
        </w:tc>
        <w:tc>
          <w:tcPr>
            <w:tcW w:type="dxa" w:w="1440"/>
            <w:shd w:fill="F7FAFC"/>
            <w:tcMar>
              <w:top w:w="100" w:type="dxa"/>
              <w:bottom w:w="100" w:type="dxa"/>
              <w:left w:w="130" w:type="dxa"/>
              <w:right w:w="130" w:type="dxa"/>
            </w:tcMar>
            <w:vAlign w:val="center"/>
          </w:tcPr>
          <w:p>
            <w:r>
              <w:rPr>
                <w:rFonts w:ascii="Calibri" w:hAnsi="Calibri"/>
                <w:color w:val="2D3748"/>
                <w:sz w:val="17"/>
              </w:rPr>
              <w:t>100.00%</w:t>
            </w:r>
          </w:p>
        </w:tc>
      </w:tr>
    </w:tbl>
    <w:p/>
    <w:p>
      <w:r>
        <w:rPr>
          <w:b/>
        </w:rPr>
        <w:t>Figure 1. Customer Segment Class Distribution &amp; Prevalence Share</w:t>
      </w:r>
    </w:p>
    <w:p>
      <w:r>
        <w:drawing>
          <wp:inline xmlns:a="http://schemas.openxmlformats.org/drawingml/2006/main" xmlns:pic="http://schemas.openxmlformats.org/drawingml/2006/picture">
            <wp:extent cx="5943600" cy="22860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943600" cy="2286000"/>
                    </a:xfrm>
                    <a:prstGeom prst="rect"/>
                  </pic:spPr>
                </pic:pic>
              </a:graphicData>
            </a:graphic>
          </wp:inline>
        </w:drawing>
      </w:r>
    </w:p>
    <w:p/>
    <w:p>
      <w:r>
        <w:rPr>
          <w:b/>
        </w:rPr>
        <w:t>Figure 2. Missing Value Percentage Audit Across Features (&lt;5% Acceptable Threshold)</w:t>
      </w:r>
    </w:p>
    <w:p>
      <w:r>
        <w:drawing>
          <wp:inline xmlns:a="http://schemas.openxmlformats.org/drawingml/2006/main" xmlns:pic="http://schemas.openxmlformats.org/drawingml/2006/picture">
            <wp:extent cx="5943600" cy="2377440"/>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2"/>
                    <a:stretch>
                      <a:fillRect/>
                    </a:stretch>
                  </pic:blipFill>
                  <pic:spPr>
                    <a:xfrm>
                      <a:off x="0" y="0"/>
                      <a:ext cx="5943600" cy="2377440"/>
                    </a:xfrm>
                    <a:prstGeom prst="rect"/>
                  </pic:spPr>
                </pic:pic>
              </a:graphicData>
            </a:graphic>
          </wp:inline>
        </w:drawing>
      </w:r>
    </w:p>
    <w:p/>
    <w:p>
      <w:r>
        <w:rPr>
          <w:b/>
        </w:rPr>
        <w:t>Figure 3. Numerical Attribute Distributions Disaggregated Across Customer Segments</w:t>
      </w:r>
    </w:p>
    <w:p>
      <w:r>
        <w:drawing>
          <wp:inline xmlns:a="http://schemas.openxmlformats.org/drawingml/2006/main" xmlns:pic="http://schemas.openxmlformats.org/drawingml/2006/picture">
            <wp:extent cx="5943600" cy="2641600"/>
            <wp:docPr id="3" name="Picture 3"/>
            <wp:cNvGraphicFramePr>
              <a:graphicFrameLocks noChangeAspect="1"/>
            </wp:cNvGraphicFramePr>
            <a:graphic>
              <a:graphicData uri="http://schemas.openxmlformats.org/drawingml/2006/picture">
                <pic:pic>
                  <pic:nvPicPr>
                    <pic:cNvPr id="0" name="numeric_distributions.png"/>
                    <pic:cNvPicPr/>
                  </pic:nvPicPr>
                  <pic:blipFill>
                    <a:blip r:embed="rId13"/>
                    <a:stretch>
                      <a:fillRect/>
                    </a:stretch>
                  </pic:blipFill>
                  <pic:spPr>
                    <a:xfrm>
                      <a:off x="0" y="0"/>
                      <a:ext cx="5943600" cy="2641600"/>
                    </a:xfrm>
                    <a:prstGeom prst="rect"/>
                  </pic:spPr>
                </pic:pic>
              </a:graphicData>
            </a:graphic>
          </wp:inline>
        </w:drawing>
      </w:r>
    </w:p>
    <w:p/>
    <w:p>
      <w:r>
        <w:rPr>
          <w:b/>
        </w:rPr>
        <w:t>Figure 4. Annual Total Spending vs Purchase Frequency Scatter Distribution</w:t>
      </w:r>
    </w:p>
    <w:p>
      <w:r>
        <w:drawing>
          <wp:inline xmlns:a="http://schemas.openxmlformats.org/drawingml/2006/main" xmlns:pic="http://schemas.openxmlformats.org/drawingml/2006/picture">
            <wp:extent cx="5943600" cy="3566160"/>
            <wp:docPr id="4" name="Picture 4"/>
            <wp:cNvGraphicFramePr>
              <a:graphicFrameLocks noChangeAspect="1"/>
            </wp:cNvGraphicFramePr>
            <a:graphic>
              <a:graphicData uri="http://schemas.openxmlformats.org/drawingml/2006/picture">
                <pic:pic>
                  <pic:nvPicPr>
                    <pic:cNvPr id="0" name="spending_vs_frequency.png"/>
                    <pic:cNvPicPr/>
                  </pic:nvPicPr>
                  <pic:blipFill>
                    <a:blip r:embed="rId14"/>
                    <a:stretch>
                      <a:fillRect/>
                    </a:stretch>
                  </pic:blipFill>
                  <pic:spPr>
                    <a:xfrm>
                      <a:off x="0" y="0"/>
                      <a:ext cx="5943600" cy="3566160"/>
                    </a:xfrm>
                    <a:prstGeom prst="rect"/>
                  </pic:spPr>
                </pic:pic>
              </a:graphicData>
            </a:graphic>
          </wp:inline>
        </w:drawing>
      </w:r>
    </w:p>
    <w:p/>
    <w:p>
      <w:pPr>
        <w:pStyle w:val="Heading1"/>
      </w:pPr>
      <w:r>
        <w:rPr>
          <w:color w:val="1A365D"/>
          <w:sz w:val="26"/>
        </w:rPr>
        <w:t>5. Model Benchmark &amp; 5-Fold Cross-Validation Evaluation</w:t>
      </w:r>
    </w:p>
    <w:p>
      <w:pPr>
        <w:spacing w:line="276" w:lineRule="auto"/>
      </w:pPr>
      <w:r>
        <w:t>All candidate classifiers were evaluated using 5-fold Stratified Cross-Validation on identical training folds. Model selection was decided exclusively on training-fold cross-validation evidence prior to unlocking the holdout test set. The primary selection metric is Mean Macro F1, which penalizes models that sacrifice minority segment recovery (Segment D: 14.6%) for majority class accuracy.</w:t>
      </w:r>
    </w:p>
    <w:p>
      <w:r>
        <w:rPr>
          <w:b/>
          <w:color w:val="2B6CB0"/>
        </w:rPr>
        <w:t>Table 5. 5-Fold Stratified Cross-Validation Performance Comparison (Identical Folds)</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120"/>
        <w:gridCol w:w="1120"/>
        <w:gridCol w:w="1120"/>
        <w:gridCol w:w="1120"/>
        <w:gridCol w:w="1120"/>
        <w:gridCol w:w="1120"/>
        <w:gridCol w:w="1120"/>
        <w:gridCol w:w="1120"/>
        <w:gridCol w:w="1120"/>
      </w:tblGrid>
      <w:tr>
        <w:tc>
          <w:tcPr>
            <w:tcW w:type="dxa" w:w="1872"/>
            <w:shd w:fill="1A365D"/>
            <w:tcMar>
              <w:top w:w="140" w:type="dxa"/>
              <w:bottom w:w="140" w:type="dxa"/>
              <w:left w:w="150" w:type="dxa"/>
              <w:right w:w="150" w:type="dxa"/>
            </w:tcMar>
          </w:tcPr>
          <w:p>
            <w:pPr>
              <w:jc w:val="center"/>
            </w:pPr>
            <w:r>
              <w:rPr>
                <w:rFonts w:ascii="Calibri" w:hAnsi="Calibri"/>
                <w:b/>
                <w:color w:val="FFFFFF"/>
                <w:sz w:val="17"/>
              </w:rPr>
              <w:t>Model Name</w:t>
            </w:r>
          </w:p>
        </w:tc>
        <w:tc>
          <w:tcPr>
            <w:tcW w:type="dxa" w:w="1872"/>
            <w:shd w:fill="1A365D"/>
            <w:tcMar>
              <w:top w:w="140" w:type="dxa"/>
              <w:bottom w:w="140" w:type="dxa"/>
              <w:left w:w="150" w:type="dxa"/>
              <w:right w:w="150" w:type="dxa"/>
            </w:tcMar>
          </w:tcPr>
          <w:p>
            <w:pPr>
              <w:jc w:val="center"/>
            </w:pPr>
            <w:r>
              <w:rPr>
                <w:rFonts w:ascii="Calibri" w:hAnsi="Calibri"/>
                <w:b/>
                <w:color w:val="FFFFFF"/>
                <w:sz w:val="17"/>
              </w:rPr>
              <w:t>Feature Representation</w:t>
            </w:r>
          </w:p>
        </w:tc>
        <w:tc>
          <w:tcPr>
            <w:tcW w:type="dxa" w:w="864"/>
            <w:shd w:fill="1A365D"/>
            <w:tcMar>
              <w:top w:w="140" w:type="dxa"/>
              <w:bottom w:w="140" w:type="dxa"/>
              <w:left w:w="150" w:type="dxa"/>
              <w:right w:w="150" w:type="dxa"/>
            </w:tcMar>
          </w:tcPr>
          <w:p>
            <w:pPr>
              <w:jc w:val="center"/>
            </w:pPr>
            <w:r>
              <w:rPr>
                <w:rFonts w:ascii="Calibri" w:hAnsi="Calibri"/>
                <w:b/>
                <w:color w:val="FFFFFF"/>
                <w:sz w:val="17"/>
              </w:rPr>
              <w:t>Accuracy Mean</w:t>
            </w:r>
          </w:p>
        </w:tc>
        <w:tc>
          <w:tcPr>
            <w:tcW w:type="dxa" w:w="864"/>
            <w:shd w:fill="1A365D"/>
            <w:tcMar>
              <w:top w:w="140" w:type="dxa"/>
              <w:bottom w:w="140" w:type="dxa"/>
              <w:left w:w="150" w:type="dxa"/>
              <w:right w:w="150" w:type="dxa"/>
            </w:tcMar>
          </w:tcPr>
          <w:p>
            <w:pPr>
              <w:jc w:val="center"/>
            </w:pPr>
            <w:r>
              <w:rPr>
                <w:rFonts w:ascii="Calibri" w:hAnsi="Calibri"/>
                <w:b/>
                <w:color w:val="FFFFFF"/>
                <w:sz w:val="17"/>
              </w:rPr>
              <w:t>Macro Precision</w:t>
            </w:r>
          </w:p>
        </w:tc>
        <w:tc>
          <w:tcPr>
            <w:tcW w:type="dxa" w:w="864"/>
            <w:shd w:fill="1A365D"/>
            <w:tcMar>
              <w:top w:w="140" w:type="dxa"/>
              <w:bottom w:w="140" w:type="dxa"/>
              <w:left w:w="150" w:type="dxa"/>
              <w:right w:w="150" w:type="dxa"/>
            </w:tcMar>
          </w:tcPr>
          <w:p>
            <w:pPr>
              <w:jc w:val="center"/>
            </w:pPr>
            <w:r>
              <w:rPr>
                <w:rFonts w:ascii="Calibri" w:hAnsi="Calibri"/>
                <w:b/>
                <w:color w:val="FFFFFF"/>
                <w:sz w:val="17"/>
              </w:rPr>
              <w:t>Macro Recall</w:t>
            </w:r>
          </w:p>
        </w:tc>
        <w:tc>
          <w:tcPr>
            <w:tcW w:type="dxa" w:w="1008"/>
            <w:shd w:fill="1A365D"/>
            <w:tcMar>
              <w:top w:w="140" w:type="dxa"/>
              <w:bottom w:w="140" w:type="dxa"/>
              <w:left w:w="150" w:type="dxa"/>
              <w:right w:w="150" w:type="dxa"/>
            </w:tcMar>
          </w:tcPr>
          <w:p>
            <w:pPr>
              <w:jc w:val="center"/>
            </w:pPr>
            <w:r>
              <w:rPr>
                <w:rFonts w:ascii="Calibri" w:hAnsi="Calibri"/>
                <w:b/>
                <w:color w:val="FFFFFF"/>
                <w:sz w:val="17"/>
              </w:rPr>
              <w:t>Macro F1 Mean</w:t>
            </w:r>
          </w:p>
        </w:tc>
        <w:tc>
          <w:tcPr>
            <w:tcW w:type="dxa" w:w="864"/>
            <w:shd w:fill="1A365D"/>
            <w:tcMar>
              <w:top w:w="140" w:type="dxa"/>
              <w:bottom w:w="140" w:type="dxa"/>
              <w:left w:w="150" w:type="dxa"/>
              <w:right w:w="150" w:type="dxa"/>
            </w:tcMar>
          </w:tcPr>
          <w:p>
            <w:pPr>
              <w:jc w:val="center"/>
            </w:pPr>
            <w:r>
              <w:rPr>
                <w:rFonts w:ascii="Calibri" w:hAnsi="Calibri"/>
                <w:b/>
                <w:color w:val="FFFFFF"/>
                <w:sz w:val="17"/>
              </w:rPr>
              <w:t>Macro F1 SD</w:t>
            </w:r>
          </w:p>
        </w:tc>
        <w:tc>
          <w:tcPr>
            <w:tcW w:type="dxa" w:w="1008"/>
            <w:shd w:fill="1A365D"/>
            <w:tcMar>
              <w:top w:w="140" w:type="dxa"/>
              <w:bottom w:w="140" w:type="dxa"/>
              <w:left w:w="150" w:type="dxa"/>
              <w:right w:w="150" w:type="dxa"/>
            </w:tcMar>
          </w:tcPr>
          <w:p>
            <w:pPr>
              <w:jc w:val="center"/>
            </w:pPr>
            <w:r>
              <w:rPr>
                <w:rFonts w:ascii="Calibri" w:hAnsi="Calibri"/>
                <w:b/>
                <w:color w:val="FFFFFF"/>
                <w:sz w:val="17"/>
              </w:rPr>
              <w:t>Weighted F1</w:t>
            </w:r>
          </w:p>
        </w:tc>
        <w:tc>
          <w:tcPr>
            <w:tcW w:type="dxa" w:w="864"/>
            <w:shd w:fill="1A365D"/>
            <w:tcMar>
              <w:top w:w="140" w:type="dxa"/>
              <w:bottom w:w="140" w:type="dxa"/>
              <w:left w:w="150" w:type="dxa"/>
              <w:right w:w="150" w:type="dxa"/>
            </w:tcMar>
          </w:tcPr>
          <w:p>
            <w:pPr>
              <w:jc w:val="center"/>
            </w:pPr>
            <w:r>
              <w:rPr>
                <w:rFonts w:ascii="Calibri" w:hAnsi="Calibri"/>
                <w:b/>
                <w:color w:val="FFFFFF"/>
                <w:sz w:val="17"/>
              </w:rPr>
              <w:t>CV Time (s)</w:t>
            </w:r>
          </w:p>
        </w:tc>
      </w:tr>
      <w:tr>
        <w:tc>
          <w:tcPr>
            <w:tcW w:type="dxa" w:w="1872"/>
            <w:shd w:fill="F7FAFC"/>
            <w:tcMar>
              <w:top w:w="100" w:type="dxa"/>
              <w:bottom w:w="100" w:type="dxa"/>
              <w:left w:w="130" w:type="dxa"/>
              <w:right w:w="130" w:type="dxa"/>
            </w:tcMar>
            <w:vAlign w:val="center"/>
          </w:tcPr>
          <w:p>
            <w:r>
              <w:rPr>
                <w:rFonts w:ascii="Calibri" w:hAnsi="Calibri"/>
                <w:color w:val="2D3748"/>
                <w:sz w:val="17"/>
              </w:rPr>
              <w:t>CategoricalNB_mixed</w:t>
            </w:r>
          </w:p>
        </w:tc>
        <w:tc>
          <w:tcPr>
            <w:tcW w:type="dxa" w:w="1872"/>
            <w:shd w:fill="F7FAFC"/>
            <w:tcMar>
              <w:top w:w="100" w:type="dxa"/>
              <w:bottom w:w="100" w:type="dxa"/>
              <w:left w:w="130" w:type="dxa"/>
              <w:right w:w="130" w:type="dxa"/>
            </w:tcMar>
            <w:vAlign w:val="center"/>
          </w:tcPr>
          <w:p>
            <w:r>
              <w:rPr>
                <w:rFonts w:ascii="Calibri" w:hAnsi="Calibri"/>
                <w:color w:val="2D3748"/>
                <w:sz w:val="17"/>
              </w:rPr>
              <w:t>Ordinal Binned + SafeOrdinal</w:t>
            </w:r>
          </w:p>
        </w:tc>
        <w:tc>
          <w:tcPr>
            <w:tcW w:type="dxa" w:w="864"/>
            <w:shd w:fill="F7FAFC"/>
            <w:tcMar>
              <w:top w:w="100" w:type="dxa"/>
              <w:bottom w:w="100" w:type="dxa"/>
              <w:left w:w="130" w:type="dxa"/>
              <w:right w:w="130" w:type="dxa"/>
            </w:tcMar>
            <w:vAlign w:val="center"/>
          </w:tcPr>
          <w:p>
            <w:r>
              <w:rPr>
                <w:rFonts w:ascii="Calibri" w:hAnsi="Calibri"/>
                <w:color w:val="2D3748"/>
                <w:sz w:val="17"/>
              </w:rPr>
              <w:t>0.9990</w:t>
            </w:r>
          </w:p>
        </w:tc>
        <w:tc>
          <w:tcPr>
            <w:tcW w:type="dxa" w:w="864"/>
            <w:shd w:fill="F7FAFC"/>
            <w:tcMar>
              <w:top w:w="100" w:type="dxa"/>
              <w:bottom w:w="100" w:type="dxa"/>
              <w:left w:w="130" w:type="dxa"/>
              <w:right w:w="130" w:type="dxa"/>
            </w:tcMar>
            <w:vAlign w:val="center"/>
          </w:tcPr>
          <w:p>
            <w:r>
              <w:rPr>
                <w:rFonts w:ascii="Calibri" w:hAnsi="Calibri"/>
                <w:color w:val="2D3748"/>
                <w:sz w:val="17"/>
              </w:rPr>
              <w:t>0.9991</w:t>
            </w:r>
          </w:p>
        </w:tc>
        <w:tc>
          <w:tcPr>
            <w:tcW w:type="dxa" w:w="864"/>
            <w:shd w:fill="F7FAFC"/>
            <w:tcMar>
              <w:top w:w="100" w:type="dxa"/>
              <w:bottom w:w="100" w:type="dxa"/>
              <w:left w:w="130" w:type="dxa"/>
              <w:right w:w="130" w:type="dxa"/>
            </w:tcMar>
            <w:vAlign w:val="center"/>
          </w:tcPr>
          <w:p>
            <w:r>
              <w:rPr>
                <w:rFonts w:ascii="Calibri" w:hAnsi="Calibri"/>
                <w:color w:val="2D3748"/>
                <w:sz w:val="17"/>
              </w:rPr>
              <w:t>0.9992</w:t>
            </w:r>
          </w:p>
        </w:tc>
        <w:tc>
          <w:tcPr>
            <w:tcW w:type="dxa" w:w="1008"/>
            <w:shd w:fill="F7FAFC"/>
            <w:tcMar>
              <w:top w:w="100" w:type="dxa"/>
              <w:bottom w:w="100" w:type="dxa"/>
              <w:left w:w="130" w:type="dxa"/>
              <w:right w:w="130" w:type="dxa"/>
            </w:tcMar>
            <w:vAlign w:val="center"/>
          </w:tcPr>
          <w:p>
            <w:r>
              <w:rPr>
                <w:rFonts w:ascii="Calibri" w:hAnsi="Calibri"/>
                <w:color w:val="2D3748"/>
                <w:sz w:val="17"/>
              </w:rPr>
              <w:t>0.9992</w:t>
            </w:r>
          </w:p>
        </w:tc>
        <w:tc>
          <w:tcPr>
            <w:tcW w:type="dxa" w:w="864"/>
            <w:shd w:fill="F7FAFC"/>
            <w:tcMar>
              <w:top w:w="100" w:type="dxa"/>
              <w:bottom w:w="100" w:type="dxa"/>
              <w:left w:w="130" w:type="dxa"/>
              <w:right w:w="130" w:type="dxa"/>
            </w:tcMar>
            <w:vAlign w:val="center"/>
          </w:tcPr>
          <w:p>
            <w:r>
              <w:rPr>
                <w:rFonts w:ascii="Calibri" w:hAnsi="Calibri"/>
                <w:color w:val="2D3748"/>
                <w:sz w:val="17"/>
              </w:rPr>
              <w:t>±0.0005</w:t>
            </w:r>
          </w:p>
        </w:tc>
        <w:tc>
          <w:tcPr>
            <w:tcW w:type="dxa" w:w="1008"/>
            <w:shd w:fill="F7FAFC"/>
            <w:tcMar>
              <w:top w:w="100" w:type="dxa"/>
              <w:bottom w:w="100" w:type="dxa"/>
              <w:left w:w="130" w:type="dxa"/>
              <w:right w:w="130" w:type="dxa"/>
            </w:tcMar>
            <w:vAlign w:val="center"/>
          </w:tcPr>
          <w:p>
            <w:r>
              <w:rPr>
                <w:rFonts w:ascii="Calibri" w:hAnsi="Calibri"/>
                <w:color w:val="2D3748"/>
                <w:sz w:val="17"/>
              </w:rPr>
              <w:t>0.9990</w:t>
            </w:r>
          </w:p>
        </w:tc>
        <w:tc>
          <w:tcPr>
            <w:tcW w:type="dxa" w:w="864"/>
            <w:shd w:fill="F7FAFC"/>
            <w:tcMar>
              <w:top w:w="100" w:type="dxa"/>
              <w:bottom w:w="100" w:type="dxa"/>
              <w:left w:w="130" w:type="dxa"/>
              <w:right w:w="130" w:type="dxa"/>
            </w:tcMar>
            <w:vAlign w:val="center"/>
          </w:tcPr>
          <w:p>
            <w:r>
              <w:rPr>
                <w:rFonts w:ascii="Calibri" w:hAnsi="Calibri"/>
                <w:color w:val="2D3748"/>
                <w:sz w:val="17"/>
              </w:rPr>
              <w:t>0.53s</w:t>
            </w:r>
          </w:p>
        </w:tc>
      </w:tr>
      <w:tr>
        <w:tc>
          <w:tcPr>
            <w:tcW w:type="dxa" w:w="1872"/>
            <w:shd w:fill="FFFFFF"/>
            <w:tcMar>
              <w:top w:w="100" w:type="dxa"/>
              <w:bottom w:w="100" w:type="dxa"/>
              <w:left w:w="130" w:type="dxa"/>
              <w:right w:w="130" w:type="dxa"/>
            </w:tcMar>
            <w:vAlign w:val="center"/>
          </w:tcPr>
          <w:p>
            <w:r>
              <w:rPr>
                <w:rFonts w:ascii="Calibri" w:hAnsi="Calibri"/>
                <w:color w:val="2D3748"/>
                <w:sz w:val="17"/>
              </w:rPr>
              <w:t>BernoulliNB</w:t>
            </w:r>
          </w:p>
        </w:tc>
        <w:tc>
          <w:tcPr>
            <w:tcW w:type="dxa" w:w="1872"/>
            <w:shd w:fill="FFFFFF"/>
            <w:tcMar>
              <w:top w:w="100" w:type="dxa"/>
              <w:bottom w:w="100" w:type="dxa"/>
              <w:left w:w="130" w:type="dxa"/>
              <w:right w:w="130" w:type="dxa"/>
            </w:tcMar>
            <w:vAlign w:val="center"/>
          </w:tcPr>
          <w:p>
            <w:r>
              <w:rPr>
                <w:rFonts w:ascii="Calibri" w:hAnsi="Calibri"/>
                <w:color w:val="2D3748"/>
                <w:sz w:val="17"/>
              </w:rPr>
              <w:t>OneHot Binned + OneHot Cat</w:t>
            </w:r>
          </w:p>
        </w:tc>
        <w:tc>
          <w:tcPr>
            <w:tcW w:type="dxa" w:w="864"/>
            <w:shd w:fill="FFFFFF"/>
            <w:tcMar>
              <w:top w:w="100" w:type="dxa"/>
              <w:bottom w:w="100" w:type="dxa"/>
              <w:left w:w="130" w:type="dxa"/>
              <w:right w:w="130" w:type="dxa"/>
            </w:tcMar>
            <w:vAlign w:val="center"/>
          </w:tcPr>
          <w:p>
            <w:r>
              <w:rPr>
                <w:rFonts w:ascii="Calibri" w:hAnsi="Calibri"/>
                <w:color w:val="2D3748"/>
                <w:sz w:val="17"/>
              </w:rPr>
              <w:t>0.9995</w:t>
            </w:r>
          </w:p>
        </w:tc>
        <w:tc>
          <w:tcPr>
            <w:tcW w:type="dxa" w:w="864"/>
            <w:shd w:fill="FFFFFF"/>
            <w:tcMar>
              <w:top w:w="100" w:type="dxa"/>
              <w:bottom w:w="100" w:type="dxa"/>
              <w:left w:w="130" w:type="dxa"/>
              <w:right w:w="130" w:type="dxa"/>
            </w:tcMar>
            <w:vAlign w:val="center"/>
          </w:tcPr>
          <w:p>
            <w:r>
              <w:rPr>
                <w:rFonts w:ascii="Calibri" w:hAnsi="Calibri"/>
                <w:color w:val="2D3748"/>
                <w:sz w:val="17"/>
              </w:rPr>
              <w:t>0.9995</w:t>
            </w:r>
          </w:p>
        </w:tc>
        <w:tc>
          <w:tcPr>
            <w:tcW w:type="dxa" w:w="864"/>
            <w:shd w:fill="FFFFFF"/>
            <w:tcMar>
              <w:top w:w="100" w:type="dxa"/>
              <w:bottom w:w="100" w:type="dxa"/>
              <w:left w:w="130" w:type="dxa"/>
              <w:right w:w="130" w:type="dxa"/>
            </w:tcMar>
            <w:vAlign w:val="center"/>
          </w:tcPr>
          <w:p>
            <w:r>
              <w:rPr>
                <w:rFonts w:ascii="Calibri" w:hAnsi="Calibri"/>
                <w:color w:val="2D3748"/>
                <w:sz w:val="17"/>
              </w:rPr>
              <w:t>0.9996</w:t>
            </w:r>
          </w:p>
        </w:tc>
        <w:tc>
          <w:tcPr>
            <w:tcW w:type="dxa" w:w="1008"/>
            <w:shd w:fill="FFFFFF"/>
            <w:tcMar>
              <w:top w:w="100" w:type="dxa"/>
              <w:bottom w:w="100" w:type="dxa"/>
              <w:left w:w="130" w:type="dxa"/>
              <w:right w:w="130" w:type="dxa"/>
            </w:tcMar>
            <w:vAlign w:val="center"/>
          </w:tcPr>
          <w:p>
            <w:r>
              <w:rPr>
                <w:rFonts w:ascii="Calibri" w:hAnsi="Calibri"/>
                <w:color w:val="2D3748"/>
                <w:sz w:val="17"/>
              </w:rPr>
              <w:t>0.9996</w:t>
            </w:r>
          </w:p>
        </w:tc>
        <w:tc>
          <w:tcPr>
            <w:tcW w:type="dxa" w:w="864"/>
            <w:shd w:fill="FFFFFF"/>
            <w:tcMar>
              <w:top w:w="100" w:type="dxa"/>
              <w:bottom w:w="100" w:type="dxa"/>
              <w:left w:w="130" w:type="dxa"/>
              <w:right w:w="130" w:type="dxa"/>
            </w:tcMar>
            <w:vAlign w:val="center"/>
          </w:tcPr>
          <w:p>
            <w:r>
              <w:rPr>
                <w:rFonts w:ascii="Calibri" w:hAnsi="Calibri"/>
                <w:color w:val="2D3748"/>
                <w:sz w:val="17"/>
              </w:rPr>
              <w:t>±0.0006</w:t>
            </w:r>
          </w:p>
        </w:tc>
        <w:tc>
          <w:tcPr>
            <w:tcW w:type="dxa" w:w="1008"/>
            <w:shd w:fill="FFFFFF"/>
            <w:tcMar>
              <w:top w:w="100" w:type="dxa"/>
              <w:bottom w:w="100" w:type="dxa"/>
              <w:left w:w="130" w:type="dxa"/>
              <w:right w:w="130" w:type="dxa"/>
            </w:tcMar>
            <w:vAlign w:val="center"/>
          </w:tcPr>
          <w:p>
            <w:r>
              <w:rPr>
                <w:rFonts w:ascii="Calibri" w:hAnsi="Calibri"/>
                <w:color w:val="2D3748"/>
                <w:sz w:val="17"/>
              </w:rPr>
              <w:t>0.9995</w:t>
            </w:r>
          </w:p>
        </w:tc>
        <w:tc>
          <w:tcPr>
            <w:tcW w:type="dxa" w:w="864"/>
            <w:shd w:fill="FFFFFF"/>
            <w:tcMar>
              <w:top w:w="100" w:type="dxa"/>
              <w:bottom w:w="100" w:type="dxa"/>
              <w:left w:w="130" w:type="dxa"/>
              <w:right w:w="130" w:type="dxa"/>
            </w:tcMar>
            <w:vAlign w:val="center"/>
          </w:tcPr>
          <w:p>
            <w:r>
              <w:rPr>
                <w:rFonts w:ascii="Calibri" w:hAnsi="Calibri"/>
                <w:color w:val="2D3748"/>
                <w:sz w:val="17"/>
              </w:rPr>
              <w:t>0.73s</w:t>
            </w:r>
          </w:p>
        </w:tc>
      </w:tr>
      <w:tr>
        <w:tc>
          <w:tcPr>
            <w:tcW w:type="dxa" w:w="1872"/>
            <w:shd w:fill="F7FAFC"/>
            <w:tcMar>
              <w:top w:w="100" w:type="dxa"/>
              <w:bottom w:w="100" w:type="dxa"/>
              <w:left w:w="130" w:type="dxa"/>
              <w:right w:w="130" w:type="dxa"/>
            </w:tcMar>
            <w:vAlign w:val="center"/>
          </w:tcPr>
          <w:p>
            <w:r>
              <w:rPr>
                <w:rFonts w:ascii="Calibri" w:hAnsi="Calibri"/>
                <w:color w:val="2D3748"/>
                <w:sz w:val="17"/>
              </w:rPr>
              <w:t>LogisticRegression (Ext)</w:t>
            </w:r>
          </w:p>
        </w:tc>
        <w:tc>
          <w:tcPr>
            <w:tcW w:type="dxa" w:w="1872"/>
            <w:shd w:fill="F7FAFC"/>
            <w:tcMar>
              <w:top w:w="100" w:type="dxa"/>
              <w:bottom w:w="100" w:type="dxa"/>
              <w:left w:w="130" w:type="dxa"/>
              <w:right w:w="130" w:type="dxa"/>
            </w:tcMar>
            <w:vAlign w:val="center"/>
          </w:tcPr>
          <w:p>
            <w:r>
              <w:rPr>
                <w:rFonts w:ascii="Calibri" w:hAnsi="Calibri"/>
                <w:color w:val="2D3748"/>
                <w:sz w:val="17"/>
              </w:rPr>
              <w:t>StandardScaler + OneHot</w:t>
            </w:r>
          </w:p>
        </w:tc>
        <w:tc>
          <w:tcPr>
            <w:tcW w:type="dxa" w:w="864"/>
            <w:shd w:fill="F7FAFC"/>
            <w:tcMar>
              <w:top w:w="100" w:type="dxa"/>
              <w:bottom w:w="100" w:type="dxa"/>
              <w:left w:w="130" w:type="dxa"/>
              <w:right w:w="130" w:type="dxa"/>
            </w:tcMar>
            <w:vAlign w:val="center"/>
          </w:tcPr>
          <w:p>
            <w:r>
              <w:rPr>
                <w:rFonts w:ascii="Calibri" w:hAnsi="Calibri"/>
                <w:color w:val="2D3748"/>
                <w:sz w:val="17"/>
              </w:rPr>
              <w:t>0.9988</w:t>
            </w:r>
          </w:p>
        </w:tc>
        <w:tc>
          <w:tcPr>
            <w:tcW w:type="dxa" w:w="864"/>
            <w:shd w:fill="F7FAFC"/>
            <w:tcMar>
              <w:top w:w="100" w:type="dxa"/>
              <w:bottom w:w="100" w:type="dxa"/>
              <w:left w:w="130" w:type="dxa"/>
              <w:right w:w="130" w:type="dxa"/>
            </w:tcMar>
            <w:vAlign w:val="center"/>
          </w:tcPr>
          <w:p>
            <w:r>
              <w:rPr>
                <w:rFonts w:ascii="Calibri" w:hAnsi="Calibri"/>
                <w:color w:val="2D3748"/>
                <w:sz w:val="17"/>
              </w:rPr>
              <w:t>0.9988</w:t>
            </w:r>
          </w:p>
        </w:tc>
        <w:tc>
          <w:tcPr>
            <w:tcW w:type="dxa" w:w="864"/>
            <w:shd w:fill="F7FAFC"/>
            <w:tcMar>
              <w:top w:w="100" w:type="dxa"/>
              <w:bottom w:w="100" w:type="dxa"/>
              <w:left w:w="130" w:type="dxa"/>
              <w:right w:w="130" w:type="dxa"/>
            </w:tcMar>
            <w:vAlign w:val="center"/>
          </w:tcPr>
          <w:p>
            <w:r>
              <w:rPr>
                <w:rFonts w:ascii="Calibri" w:hAnsi="Calibri"/>
                <w:color w:val="2D3748"/>
                <w:sz w:val="17"/>
              </w:rPr>
              <w:t>0.9989</w:t>
            </w:r>
          </w:p>
        </w:tc>
        <w:tc>
          <w:tcPr>
            <w:tcW w:type="dxa" w:w="1008"/>
            <w:shd w:fill="F7FAFC"/>
            <w:tcMar>
              <w:top w:w="100" w:type="dxa"/>
              <w:bottom w:w="100" w:type="dxa"/>
              <w:left w:w="130" w:type="dxa"/>
              <w:right w:w="130" w:type="dxa"/>
            </w:tcMar>
            <w:vAlign w:val="center"/>
          </w:tcPr>
          <w:p>
            <w:r>
              <w:rPr>
                <w:rFonts w:ascii="Calibri" w:hAnsi="Calibri"/>
                <w:color w:val="2D3748"/>
                <w:sz w:val="17"/>
              </w:rPr>
              <w:t>0.9989</w:t>
            </w:r>
          </w:p>
        </w:tc>
        <w:tc>
          <w:tcPr>
            <w:tcW w:type="dxa" w:w="864"/>
            <w:shd w:fill="F7FAFC"/>
            <w:tcMar>
              <w:top w:w="100" w:type="dxa"/>
              <w:bottom w:w="100" w:type="dxa"/>
              <w:left w:w="130" w:type="dxa"/>
              <w:right w:w="130" w:type="dxa"/>
            </w:tcMar>
            <w:vAlign w:val="center"/>
          </w:tcPr>
          <w:p>
            <w:r>
              <w:rPr>
                <w:rFonts w:ascii="Calibri" w:hAnsi="Calibri"/>
                <w:color w:val="2D3748"/>
                <w:sz w:val="17"/>
              </w:rPr>
              <w:t>±0.0007</w:t>
            </w:r>
          </w:p>
        </w:tc>
        <w:tc>
          <w:tcPr>
            <w:tcW w:type="dxa" w:w="1008"/>
            <w:shd w:fill="F7FAFC"/>
            <w:tcMar>
              <w:top w:w="100" w:type="dxa"/>
              <w:bottom w:w="100" w:type="dxa"/>
              <w:left w:w="130" w:type="dxa"/>
              <w:right w:w="130" w:type="dxa"/>
            </w:tcMar>
            <w:vAlign w:val="center"/>
          </w:tcPr>
          <w:p>
            <w:r>
              <w:rPr>
                <w:rFonts w:ascii="Calibri" w:hAnsi="Calibri"/>
                <w:color w:val="2D3748"/>
                <w:sz w:val="17"/>
              </w:rPr>
              <w:t>0.9987</w:t>
            </w:r>
          </w:p>
        </w:tc>
        <w:tc>
          <w:tcPr>
            <w:tcW w:type="dxa" w:w="864"/>
            <w:shd w:fill="F7FAFC"/>
            <w:tcMar>
              <w:top w:w="100" w:type="dxa"/>
              <w:bottom w:w="100" w:type="dxa"/>
              <w:left w:w="130" w:type="dxa"/>
              <w:right w:w="130" w:type="dxa"/>
            </w:tcMar>
            <w:vAlign w:val="center"/>
          </w:tcPr>
          <w:p>
            <w:r>
              <w:rPr>
                <w:rFonts w:ascii="Calibri" w:hAnsi="Calibri"/>
                <w:color w:val="2D3748"/>
                <w:sz w:val="17"/>
              </w:rPr>
              <w:t>1.00s</w:t>
            </w:r>
          </w:p>
        </w:tc>
      </w:tr>
      <w:tr>
        <w:tc>
          <w:tcPr>
            <w:tcW w:type="dxa" w:w="1872"/>
            <w:shd w:fill="FFFFFF"/>
            <w:tcMar>
              <w:top w:w="100" w:type="dxa"/>
              <w:bottom w:w="100" w:type="dxa"/>
              <w:left w:w="130" w:type="dxa"/>
              <w:right w:w="130" w:type="dxa"/>
            </w:tcMar>
            <w:vAlign w:val="center"/>
          </w:tcPr>
          <w:p>
            <w:r>
              <w:rPr>
                <w:rFonts w:ascii="Calibri" w:hAnsi="Calibri"/>
                <w:color w:val="2D3748"/>
                <w:sz w:val="17"/>
              </w:rPr>
              <w:t>GaussianNB_numeric</w:t>
            </w:r>
          </w:p>
        </w:tc>
        <w:tc>
          <w:tcPr>
            <w:tcW w:type="dxa" w:w="1872"/>
            <w:shd w:fill="FFFFFF"/>
            <w:tcMar>
              <w:top w:w="100" w:type="dxa"/>
              <w:bottom w:w="100" w:type="dxa"/>
              <w:left w:w="130" w:type="dxa"/>
              <w:right w:w="130" w:type="dxa"/>
            </w:tcMar>
            <w:vAlign w:val="center"/>
          </w:tcPr>
          <w:p>
            <w:r>
              <w:rPr>
                <w:rFonts w:ascii="Calibri" w:hAnsi="Calibri"/>
                <w:color w:val="2D3748"/>
                <w:sz w:val="17"/>
              </w:rPr>
              <w:t>Continuous Numeric Only</w:t>
            </w:r>
          </w:p>
        </w:tc>
        <w:tc>
          <w:tcPr>
            <w:tcW w:type="dxa" w:w="864"/>
            <w:shd w:fill="FFFFFF"/>
            <w:tcMar>
              <w:top w:w="100" w:type="dxa"/>
              <w:bottom w:w="100" w:type="dxa"/>
              <w:left w:w="130" w:type="dxa"/>
              <w:right w:w="130" w:type="dxa"/>
            </w:tcMar>
            <w:vAlign w:val="center"/>
          </w:tcPr>
          <w:p>
            <w:r>
              <w:rPr>
                <w:rFonts w:ascii="Calibri" w:hAnsi="Calibri"/>
                <w:color w:val="2D3748"/>
                <w:sz w:val="17"/>
              </w:rPr>
              <w:t>0.9865</w:t>
            </w:r>
          </w:p>
        </w:tc>
        <w:tc>
          <w:tcPr>
            <w:tcW w:type="dxa" w:w="864"/>
            <w:shd w:fill="FFFFFF"/>
            <w:tcMar>
              <w:top w:w="100" w:type="dxa"/>
              <w:bottom w:w="100" w:type="dxa"/>
              <w:left w:w="130" w:type="dxa"/>
              <w:right w:w="130" w:type="dxa"/>
            </w:tcMar>
            <w:vAlign w:val="center"/>
          </w:tcPr>
          <w:p>
            <w:r>
              <w:rPr>
                <w:rFonts w:ascii="Calibri" w:hAnsi="Calibri"/>
                <w:color w:val="2D3748"/>
                <w:sz w:val="17"/>
              </w:rPr>
              <w:t>0.9881</w:t>
            </w:r>
          </w:p>
        </w:tc>
        <w:tc>
          <w:tcPr>
            <w:tcW w:type="dxa" w:w="864"/>
            <w:shd w:fill="FFFFFF"/>
            <w:tcMar>
              <w:top w:w="100" w:type="dxa"/>
              <w:bottom w:w="100" w:type="dxa"/>
              <w:left w:w="130" w:type="dxa"/>
              <w:right w:w="130" w:type="dxa"/>
            </w:tcMar>
            <w:vAlign w:val="center"/>
          </w:tcPr>
          <w:p>
            <w:r>
              <w:rPr>
                <w:rFonts w:ascii="Calibri" w:hAnsi="Calibri"/>
                <w:color w:val="2D3748"/>
                <w:sz w:val="17"/>
              </w:rPr>
              <w:t>0.9888</w:t>
            </w:r>
          </w:p>
        </w:tc>
        <w:tc>
          <w:tcPr>
            <w:tcW w:type="dxa" w:w="1008"/>
            <w:shd w:fill="FFFFFF"/>
            <w:tcMar>
              <w:top w:w="100" w:type="dxa"/>
              <w:bottom w:w="100" w:type="dxa"/>
              <w:left w:w="130" w:type="dxa"/>
              <w:right w:w="130" w:type="dxa"/>
            </w:tcMar>
            <w:vAlign w:val="center"/>
          </w:tcPr>
          <w:p>
            <w:r>
              <w:rPr>
                <w:rFonts w:ascii="Calibri" w:hAnsi="Calibri"/>
                <w:color w:val="2D3748"/>
                <w:sz w:val="17"/>
              </w:rPr>
              <w:t>0.9885</w:t>
            </w:r>
          </w:p>
        </w:tc>
        <w:tc>
          <w:tcPr>
            <w:tcW w:type="dxa" w:w="864"/>
            <w:shd w:fill="FFFFFF"/>
            <w:tcMar>
              <w:top w:w="100" w:type="dxa"/>
              <w:bottom w:w="100" w:type="dxa"/>
              <w:left w:w="130" w:type="dxa"/>
              <w:right w:w="130" w:type="dxa"/>
            </w:tcMar>
            <w:vAlign w:val="center"/>
          </w:tcPr>
          <w:p>
            <w:r>
              <w:rPr>
                <w:rFonts w:ascii="Calibri" w:hAnsi="Calibri"/>
                <w:color w:val="2D3748"/>
                <w:sz w:val="17"/>
              </w:rPr>
              <w:t>±0.0025</w:t>
            </w:r>
          </w:p>
        </w:tc>
        <w:tc>
          <w:tcPr>
            <w:tcW w:type="dxa" w:w="1008"/>
            <w:shd w:fill="FFFFFF"/>
            <w:tcMar>
              <w:top w:w="100" w:type="dxa"/>
              <w:bottom w:w="100" w:type="dxa"/>
              <w:left w:w="130" w:type="dxa"/>
              <w:right w:w="130" w:type="dxa"/>
            </w:tcMar>
            <w:vAlign w:val="center"/>
          </w:tcPr>
          <w:p>
            <w:r>
              <w:rPr>
                <w:rFonts w:ascii="Calibri" w:hAnsi="Calibri"/>
                <w:color w:val="2D3748"/>
                <w:sz w:val="17"/>
              </w:rPr>
              <w:t>0.9865</w:t>
            </w:r>
          </w:p>
        </w:tc>
        <w:tc>
          <w:tcPr>
            <w:tcW w:type="dxa" w:w="864"/>
            <w:shd w:fill="FFFFFF"/>
            <w:tcMar>
              <w:top w:w="100" w:type="dxa"/>
              <w:bottom w:w="100" w:type="dxa"/>
              <w:left w:w="130" w:type="dxa"/>
              <w:right w:w="130" w:type="dxa"/>
            </w:tcMar>
            <w:vAlign w:val="center"/>
          </w:tcPr>
          <w:p>
            <w:r>
              <w:rPr>
                <w:rFonts w:ascii="Calibri" w:hAnsi="Calibri"/>
                <w:color w:val="2D3748"/>
                <w:sz w:val="17"/>
              </w:rPr>
              <w:t>0.38s</w:t>
            </w:r>
          </w:p>
        </w:tc>
      </w:tr>
      <w:tr>
        <w:tc>
          <w:tcPr>
            <w:tcW w:type="dxa" w:w="1872"/>
            <w:shd w:fill="F7FAFC"/>
            <w:tcMar>
              <w:top w:w="100" w:type="dxa"/>
              <w:bottom w:w="100" w:type="dxa"/>
              <w:left w:w="130" w:type="dxa"/>
              <w:right w:w="130" w:type="dxa"/>
            </w:tcMar>
            <w:vAlign w:val="center"/>
          </w:tcPr>
          <w:p>
            <w:r>
              <w:rPr>
                <w:rFonts w:ascii="Calibri" w:hAnsi="Calibri"/>
                <w:color w:val="2D3748"/>
                <w:sz w:val="17"/>
              </w:rPr>
              <w:t>ComplementNB (Ext)</w:t>
            </w:r>
          </w:p>
        </w:tc>
        <w:tc>
          <w:tcPr>
            <w:tcW w:type="dxa" w:w="1872"/>
            <w:shd w:fill="F7FAFC"/>
            <w:tcMar>
              <w:top w:w="100" w:type="dxa"/>
              <w:bottom w:w="100" w:type="dxa"/>
              <w:left w:w="130" w:type="dxa"/>
              <w:right w:w="130" w:type="dxa"/>
            </w:tcMar>
            <w:vAlign w:val="center"/>
          </w:tcPr>
          <w:p>
            <w:r>
              <w:rPr>
                <w:rFonts w:ascii="Calibri" w:hAnsi="Calibri"/>
                <w:color w:val="2D3748"/>
                <w:sz w:val="17"/>
              </w:rPr>
              <w:t>MinMax Scaled + OneHot</w:t>
            </w:r>
          </w:p>
        </w:tc>
        <w:tc>
          <w:tcPr>
            <w:tcW w:type="dxa" w:w="864"/>
            <w:shd w:fill="F7FAFC"/>
            <w:tcMar>
              <w:top w:w="100" w:type="dxa"/>
              <w:bottom w:w="100" w:type="dxa"/>
              <w:left w:w="130" w:type="dxa"/>
              <w:right w:w="130" w:type="dxa"/>
            </w:tcMar>
            <w:vAlign w:val="center"/>
          </w:tcPr>
          <w:p>
            <w:r>
              <w:rPr>
                <w:rFonts w:ascii="Calibri" w:hAnsi="Calibri"/>
                <w:color w:val="2D3748"/>
                <w:sz w:val="17"/>
              </w:rPr>
              <w:t>0.9377</w:t>
            </w:r>
          </w:p>
        </w:tc>
        <w:tc>
          <w:tcPr>
            <w:tcW w:type="dxa" w:w="864"/>
            <w:shd w:fill="F7FAFC"/>
            <w:tcMar>
              <w:top w:w="100" w:type="dxa"/>
              <w:bottom w:w="100" w:type="dxa"/>
              <w:left w:w="130" w:type="dxa"/>
              <w:right w:w="130" w:type="dxa"/>
            </w:tcMar>
            <w:vAlign w:val="center"/>
          </w:tcPr>
          <w:p>
            <w:r>
              <w:rPr>
                <w:rFonts w:ascii="Calibri" w:hAnsi="Calibri"/>
                <w:color w:val="2D3748"/>
                <w:sz w:val="17"/>
              </w:rPr>
              <w:t>0.9412</w:t>
            </w:r>
          </w:p>
        </w:tc>
        <w:tc>
          <w:tcPr>
            <w:tcW w:type="dxa" w:w="864"/>
            <w:shd w:fill="F7FAFC"/>
            <w:tcMar>
              <w:top w:w="100" w:type="dxa"/>
              <w:bottom w:w="100" w:type="dxa"/>
              <w:left w:w="130" w:type="dxa"/>
              <w:right w:w="130" w:type="dxa"/>
            </w:tcMar>
            <w:vAlign w:val="center"/>
          </w:tcPr>
          <w:p>
            <w:r>
              <w:rPr>
                <w:rFonts w:ascii="Calibri" w:hAnsi="Calibri"/>
                <w:color w:val="2D3748"/>
                <w:sz w:val="17"/>
              </w:rPr>
              <w:t>0.9025</w:t>
            </w:r>
          </w:p>
        </w:tc>
        <w:tc>
          <w:tcPr>
            <w:tcW w:type="dxa" w:w="1008"/>
            <w:shd w:fill="F7FAFC"/>
            <w:tcMar>
              <w:top w:w="100" w:type="dxa"/>
              <w:bottom w:w="100" w:type="dxa"/>
              <w:left w:w="130" w:type="dxa"/>
              <w:right w:w="130" w:type="dxa"/>
            </w:tcMar>
            <w:vAlign w:val="center"/>
          </w:tcPr>
          <w:p>
            <w:r>
              <w:rPr>
                <w:rFonts w:ascii="Calibri" w:hAnsi="Calibri"/>
                <w:color w:val="2D3748"/>
                <w:sz w:val="17"/>
              </w:rPr>
              <w:t>0.9189</w:t>
            </w:r>
          </w:p>
        </w:tc>
        <w:tc>
          <w:tcPr>
            <w:tcW w:type="dxa" w:w="864"/>
            <w:shd w:fill="F7FAFC"/>
            <w:tcMar>
              <w:top w:w="100" w:type="dxa"/>
              <w:bottom w:w="100" w:type="dxa"/>
              <w:left w:w="130" w:type="dxa"/>
              <w:right w:w="130" w:type="dxa"/>
            </w:tcMar>
            <w:vAlign w:val="center"/>
          </w:tcPr>
          <w:p>
            <w:r>
              <w:rPr>
                <w:rFonts w:ascii="Calibri" w:hAnsi="Calibri"/>
                <w:color w:val="2D3748"/>
                <w:sz w:val="17"/>
              </w:rPr>
              <w:t>±0.0144</w:t>
            </w:r>
          </w:p>
        </w:tc>
        <w:tc>
          <w:tcPr>
            <w:tcW w:type="dxa" w:w="1008"/>
            <w:shd w:fill="F7FAFC"/>
            <w:tcMar>
              <w:top w:w="100" w:type="dxa"/>
              <w:bottom w:w="100" w:type="dxa"/>
              <w:left w:w="130" w:type="dxa"/>
              <w:right w:w="130" w:type="dxa"/>
            </w:tcMar>
            <w:vAlign w:val="center"/>
          </w:tcPr>
          <w:p>
            <w:r>
              <w:rPr>
                <w:rFonts w:ascii="Calibri" w:hAnsi="Calibri"/>
                <w:color w:val="2D3748"/>
                <w:sz w:val="17"/>
              </w:rPr>
              <w:t>0.9354</w:t>
            </w:r>
          </w:p>
        </w:tc>
        <w:tc>
          <w:tcPr>
            <w:tcW w:type="dxa" w:w="864"/>
            <w:shd w:fill="F7FAFC"/>
            <w:tcMar>
              <w:top w:w="100" w:type="dxa"/>
              <w:bottom w:w="100" w:type="dxa"/>
              <w:left w:w="130" w:type="dxa"/>
              <w:right w:w="130" w:type="dxa"/>
            </w:tcMar>
            <w:vAlign w:val="center"/>
          </w:tcPr>
          <w:p>
            <w:r>
              <w:rPr>
                <w:rFonts w:ascii="Calibri" w:hAnsi="Calibri"/>
                <w:color w:val="2D3748"/>
                <w:sz w:val="17"/>
              </w:rPr>
              <w:t>0.56s</w:t>
            </w:r>
          </w:p>
        </w:tc>
      </w:tr>
      <w:tr>
        <w:tc>
          <w:tcPr>
            <w:tcW w:type="dxa" w:w="1872"/>
            <w:shd w:fill="FFFFFF"/>
            <w:tcMar>
              <w:top w:w="100" w:type="dxa"/>
              <w:bottom w:w="100" w:type="dxa"/>
              <w:left w:w="130" w:type="dxa"/>
              <w:right w:w="130" w:type="dxa"/>
            </w:tcMar>
            <w:vAlign w:val="center"/>
          </w:tcPr>
          <w:p>
            <w:r>
              <w:rPr>
                <w:rFonts w:ascii="Calibri" w:hAnsi="Calibri"/>
                <w:color w:val="2D3748"/>
                <w:sz w:val="17"/>
              </w:rPr>
              <w:t>DummyClassifier</w:t>
            </w:r>
          </w:p>
        </w:tc>
        <w:tc>
          <w:tcPr>
            <w:tcW w:type="dxa" w:w="1872"/>
            <w:shd w:fill="FFFFFF"/>
            <w:tcMar>
              <w:top w:w="100" w:type="dxa"/>
              <w:bottom w:w="100" w:type="dxa"/>
              <w:left w:w="130" w:type="dxa"/>
              <w:right w:w="130" w:type="dxa"/>
            </w:tcMar>
            <w:vAlign w:val="center"/>
          </w:tcPr>
          <w:p>
            <w:r>
              <w:rPr>
                <w:rFonts w:ascii="Calibri" w:hAnsi="Calibri"/>
                <w:color w:val="2D3748"/>
                <w:sz w:val="17"/>
              </w:rPr>
              <w:t>Most Frequent Class</w:t>
            </w:r>
          </w:p>
        </w:tc>
        <w:tc>
          <w:tcPr>
            <w:tcW w:type="dxa" w:w="864"/>
            <w:shd w:fill="FFFFFF"/>
            <w:tcMar>
              <w:top w:w="100" w:type="dxa"/>
              <w:bottom w:w="100" w:type="dxa"/>
              <w:left w:w="130" w:type="dxa"/>
              <w:right w:w="130" w:type="dxa"/>
            </w:tcMar>
            <w:vAlign w:val="center"/>
          </w:tcPr>
          <w:p>
            <w:r>
              <w:rPr>
                <w:rFonts w:ascii="Calibri" w:hAnsi="Calibri"/>
                <w:color w:val="2D3748"/>
                <w:sz w:val="17"/>
              </w:rPr>
              <w:t>0.3373</w:t>
            </w:r>
          </w:p>
        </w:tc>
        <w:tc>
          <w:tcPr>
            <w:tcW w:type="dxa" w:w="864"/>
            <w:shd w:fill="FFFFFF"/>
            <w:tcMar>
              <w:top w:w="100" w:type="dxa"/>
              <w:bottom w:w="100" w:type="dxa"/>
              <w:left w:w="130" w:type="dxa"/>
              <w:right w:w="130" w:type="dxa"/>
            </w:tcMar>
            <w:vAlign w:val="center"/>
          </w:tcPr>
          <w:p>
            <w:r>
              <w:rPr>
                <w:rFonts w:ascii="Calibri" w:hAnsi="Calibri"/>
                <w:color w:val="2D3748"/>
                <w:sz w:val="17"/>
              </w:rPr>
              <w:t>0.0843</w:t>
            </w:r>
          </w:p>
        </w:tc>
        <w:tc>
          <w:tcPr>
            <w:tcW w:type="dxa" w:w="864"/>
            <w:shd w:fill="FFFFFF"/>
            <w:tcMar>
              <w:top w:w="100" w:type="dxa"/>
              <w:bottom w:w="100" w:type="dxa"/>
              <w:left w:w="130" w:type="dxa"/>
              <w:right w:w="130" w:type="dxa"/>
            </w:tcMar>
            <w:vAlign w:val="center"/>
          </w:tcPr>
          <w:p>
            <w:r>
              <w:rPr>
                <w:rFonts w:ascii="Calibri" w:hAnsi="Calibri"/>
                <w:color w:val="2D3748"/>
                <w:sz w:val="17"/>
              </w:rPr>
              <w:t>0.2500</w:t>
            </w:r>
          </w:p>
        </w:tc>
        <w:tc>
          <w:tcPr>
            <w:tcW w:type="dxa" w:w="1008"/>
            <w:shd w:fill="FFFFFF"/>
            <w:tcMar>
              <w:top w:w="100" w:type="dxa"/>
              <w:bottom w:w="100" w:type="dxa"/>
              <w:left w:w="130" w:type="dxa"/>
              <w:right w:w="130" w:type="dxa"/>
            </w:tcMar>
            <w:vAlign w:val="center"/>
          </w:tcPr>
          <w:p>
            <w:r>
              <w:rPr>
                <w:rFonts w:ascii="Calibri" w:hAnsi="Calibri"/>
                <w:color w:val="2D3748"/>
                <w:sz w:val="17"/>
              </w:rPr>
              <w:t>0.1261</w:t>
            </w:r>
          </w:p>
        </w:tc>
        <w:tc>
          <w:tcPr>
            <w:tcW w:type="dxa" w:w="864"/>
            <w:shd w:fill="FFFFFF"/>
            <w:tcMar>
              <w:top w:w="100" w:type="dxa"/>
              <w:bottom w:w="100" w:type="dxa"/>
              <w:left w:w="130" w:type="dxa"/>
              <w:right w:w="130" w:type="dxa"/>
            </w:tcMar>
            <w:vAlign w:val="center"/>
          </w:tcPr>
          <w:p>
            <w:r>
              <w:rPr>
                <w:rFonts w:ascii="Calibri" w:hAnsi="Calibri"/>
                <w:color w:val="2D3748"/>
                <w:sz w:val="17"/>
              </w:rPr>
              <w:t>±0.0002</w:t>
            </w:r>
          </w:p>
        </w:tc>
        <w:tc>
          <w:tcPr>
            <w:tcW w:type="dxa" w:w="1008"/>
            <w:shd w:fill="FFFFFF"/>
            <w:tcMar>
              <w:top w:w="100" w:type="dxa"/>
              <w:bottom w:w="100" w:type="dxa"/>
              <w:left w:w="130" w:type="dxa"/>
              <w:right w:w="130" w:type="dxa"/>
            </w:tcMar>
            <w:vAlign w:val="center"/>
          </w:tcPr>
          <w:p>
            <w:r>
              <w:rPr>
                <w:rFonts w:ascii="Calibri" w:hAnsi="Calibri"/>
                <w:color w:val="2D3748"/>
                <w:sz w:val="17"/>
              </w:rPr>
              <w:t>0.1701</w:t>
            </w:r>
          </w:p>
        </w:tc>
        <w:tc>
          <w:tcPr>
            <w:tcW w:type="dxa" w:w="864"/>
            <w:shd w:fill="FFFFFF"/>
            <w:tcMar>
              <w:top w:w="100" w:type="dxa"/>
              <w:bottom w:w="100" w:type="dxa"/>
              <w:left w:w="130" w:type="dxa"/>
              <w:right w:w="130" w:type="dxa"/>
            </w:tcMar>
            <w:vAlign w:val="center"/>
          </w:tcPr>
          <w:p>
            <w:r>
              <w:rPr>
                <w:rFonts w:ascii="Calibri" w:hAnsi="Calibri"/>
                <w:color w:val="2D3748"/>
                <w:sz w:val="17"/>
              </w:rPr>
              <w:t>0.63s</w:t>
            </w:r>
          </w:p>
        </w:tc>
      </w:tr>
    </w:tbl>
    <w:p/>
    <w:p>
      <w:r>
        <w:rPr>
          <w:b/>
          <w:color w:val="2B6CB0"/>
        </w:rPr>
        <w:t>Table 8. Feature Group Ablation Study (CategoricalNB on Identical CV Folds)</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440"/>
        <w:gridCol w:w="1440"/>
        <w:gridCol w:w="1440"/>
        <w:gridCol w:w="1440"/>
        <w:gridCol w:w="1440"/>
        <w:gridCol w:w="1440"/>
        <w:gridCol w:w="1440"/>
      </w:tblGrid>
      <w:tr>
        <w:tc>
          <w:tcPr>
            <w:tcW w:type="dxa" w:w="1584"/>
            <w:shd w:fill="1A365D"/>
            <w:tcMar>
              <w:top w:w="140" w:type="dxa"/>
              <w:bottom w:w="140" w:type="dxa"/>
              <w:left w:w="150" w:type="dxa"/>
              <w:right w:w="150" w:type="dxa"/>
            </w:tcMar>
          </w:tcPr>
          <w:p>
            <w:pPr>
              <w:jc w:val="center"/>
            </w:pPr>
            <w:r>
              <w:rPr>
                <w:rFonts w:ascii="Calibri" w:hAnsi="Calibri"/>
                <w:b/>
                <w:color w:val="FFFFFF"/>
                <w:sz w:val="17"/>
              </w:rPr>
              <w:t>Feature Group Subset</w:t>
            </w:r>
          </w:p>
        </w:tc>
        <w:tc>
          <w:tcPr>
            <w:tcW w:type="dxa" w:w="2304"/>
            <w:shd w:fill="1A365D"/>
            <w:tcMar>
              <w:top w:w="140" w:type="dxa"/>
              <w:bottom w:w="140" w:type="dxa"/>
              <w:left w:w="150" w:type="dxa"/>
              <w:right w:w="150" w:type="dxa"/>
            </w:tcMar>
          </w:tcPr>
          <w:p>
            <w:pPr>
              <w:jc w:val="center"/>
            </w:pPr>
            <w:r>
              <w:rPr>
                <w:rFonts w:ascii="Calibri" w:hAnsi="Calibri"/>
                <w:b/>
                <w:color w:val="FFFFFF"/>
                <w:sz w:val="17"/>
              </w:rPr>
              <w:t>Included Features</w:t>
            </w:r>
          </w:p>
        </w:tc>
        <w:tc>
          <w:tcPr>
            <w:tcW w:type="dxa" w:w="864"/>
            <w:shd w:fill="1A365D"/>
            <w:tcMar>
              <w:top w:w="140" w:type="dxa"/>
              <w:bottom w:w="140" w:type="dxa"/>
              <w:left w:w="150" w:type="dxa"/>
              <w:right w:w="150" w:type="dxa"/>
            </w:tcMar>
          </w:tcPr>
          <w:p>
            <w:pPr>
              <w:jc w:val="center"/>
            </w:pPr>
            <w:r>
              <w:rPr>
                <w:rFonts w:ascii="Calibri" w:hAnsi="Calibri"/>
                <w:b/>
                <w:color w:val="FFFFFF"/>
                <w:sz w:val="17"/>
              </w:rPr>
              <w:t>Features Count</w:t>
            </w:r>
          </w:p>
        </w:tc>
        <w:tc>
          <w:tcPr>
            <w:tcW w:type="dxa" w:w="1008"/>
            <w:shd w:fill="1A365D"/>
            <w:tcMar>
              <w:top w:w="140" w:type="dxa"/>
              <w:bottom w:w="140" w:type="dxa"/>
              <w:left w:w="150" w:type="dxa"/>
              <w:right w:w="150" w:type="dxa"/>
            </w:tcMar>
          </w:tcPr>
          <w:p>
            <w:pPr>
              <w:jc w:val="center"/>
            </w:pPr>
            <w:r>
              <w:rPr>
                <w:rFonts w:ascii="Calibri" w:hAnsi="Calibri"/>
                <w:b/>
                <w:color w:val="FFFFFF"/>
                <w:sz w:val="17"/>
              </w:rPr>
              <w:t>Macro F1 Mean</w:t>
            </w:r>
          </w:p>
        </w:tc>
        <w:tc>
          <w:tcPr>
            <w:tcW w:type="dxa" w:w="864"/>
            <w:shd w:fill="1A365D"/>
            <w:tcMar>
              <w:top w:w="140" w:type="dxa"/>
              <w:bottom w:w="140" w:type="dxa"/>
              <w:left w:w="150" w:type="dxa"/>
              <w:right w:w="150" w:type="dxa"/>
            </w:tcMar>
          </w:tcPr>
          <w:p>
            <w:pPr>
              <w:jc w:val="center"/>
            </w:pPr>
            <w:r>
              <w:rPr>
                <w:rFonts w:ascii="Calibri" w:hAnsi="Calibri"/>
                <w:b/>
                <w:color w:val="FFFFFF"/>
                <w:sz w:val="17"/>
              </w:rPr>
              <w:t>Macro F1 SD</w:t>
            </w:r>
          </w:p>
        </w:tc>
        <w:tc>
          <w:tcPr>
            <w:tcW w:type="dxa" w:w="1008"/>
            <w:shd w:fill="1A365D"/>
            <w:tcMar>
              <w:top w:w="140" w:type="dxa"/>
              <w:bottom w:w="140" w:type="dxa"/>
              <w:left w:w="150" w:type="dxa"/>
              <w:right w:w="150" w:type="dxa"/>
            </w:tcMar>
          </w:tcPr>
          <w:p>
            <w:pPr>
              <w:jc w:val="center"/>
            </w:pPr>
            <w:r>
              <w:rPr>
                <w:rFonts w:ascii="Calibri" w:hAnsi="Calibri"/>
                <w:b/>
                <w:color w:val="FFFFFF"/>
                <w:sz w:val="17"/>
              </w:rPr>
              <w:t>Weighted F1</w:t>
            </w:r>
          </w:p>
        </w:tc>
        <w:tc>
          <w:tcPr>
            <w:tcW w:type="dxa" w:w="2448"/>
            <w:shd w:fill="1A365D"/>
            <w:tcMar>
              <w:top w:w="140" w:type="dxa"/>
              <w:bottom w:w="140" w:type="dxa"/>
              <w:left w:w="150" w:type="dxa"/>
              <w:right w:w="150" w:type="dxa"/>
            </w:tcMar>
          </w:tcPr>
          <w:p>
            <w:pPr>
              <w:jc w:val="center"/>
            </w:pPr>
            <w:r>
              <w:rPr>
                <w:rFonts w:ascii="Calibri" w:hAnsi="Calibri"/>
                <w:b/>
                <w:color w:val="FFFFFF"/>
                <w:sz w:val="17"/>
              </w:rPr>
              <w:t>Key Domain Observation</w:t>
            </w:r>
          </w:p>
        </w:tc>
      </w:tr>
      <w:tr>
        <w:tc>
          <w:tcPr>
            <w:tcW w:type="dxa" w:w="1584"/>
            <w:shd w:fill="F7FAFC"/>
            <w:tcMar>
              <w:top w:w="100" w:type="dxa"/>
              <w:bottom w:w="100" w:type="dxa"/>
              <w:left w:w="130" w:type="dxa"/>
              <w:right w:w="130" w:type="dxa"/>
            </w:tcMar>
            <w:vAlign w:val="center"/>
          </w:tcPr>
          <w:p>
            <w:r>
              <w:rPr>
                <w:rFonts w:ascii="Calibri" w:hAnsi="Calibri"/>
                <w:color w:val="2D3748"/>
                <w:sz w:val="17"/>
              </w:rPr>
              <w:t>Demographic Only</w:t>
            </w:r>
          </w:p>
        </w:tc>
        <w:tc>
          <w:tcPr>
            <w:tcW w:type="dxa" w:w="2304"/>
            <w:shd w:fill="F7FAFC"/>
            <w:tcMar>
              <w:top w:w="100" w:type="dxa"/>
              <w:bottom w:w="100" w:type="dxa"/>
              <w:left w:w="130" w:type="dxa"/>
              <w:right w:w="130" w:type="dxa"/>
            </w:tcMar>
            <w:vAlign w:val="center"/>
          </w:tcPr>
          <w:p>
            <w:r>
              <w:rPr>
                <w:rFonts w:ascii="Calibri" w:hAnsi="Calibri"/>
                <w:color w:val="2D3748"/>
                <w:sz w:val="17"/>
              </w:rPr>
              <w:t>Age, Profession, Exp, Graduated, Gender, Married, Family, Var_1</w:t>
            </w:r>
          </w:p>
        </w:tc>
        <w:tc>
          <w:tcPr>
            <w:tcW w:type="dxa" w:w="864"/>
            <w:shd w:fill="F7FAFC"/>
            <w:tcMar>
              <w:top w:w="100" w:type="dxa"/>
              <w:bottom w:w="100" w:type="dxa"/>
              <w:left w:w="130" w:type="dxa"/>
              <w:right w:w="130" w:type="dxa"/>
            </w:tcMar>
            <w:vAlign w:val="center"/>
          </w:tcPr>
          <w:p>
            <w:r>
              <w:rPr>
                <w:rFonts w:ascii="Calibri" w:hAnsi="Calibri"/>
                <w:color w:val="2D3748"/>
                <w:sz w:val="17"/>
              </w:rPr>
              <w:t>8</w:t>
            </w:r>
          </w:p>
        </w:tc>
        <w:tc>
          <w:tcPr>
            <w:tcW w:type="dxa" w:w="1008"/>
            <w:shd w:fill="F7FAFC"/>
            <w:tcMar>
              <w:top w:w="100" w:type="dxa"/>
              <w:bottom w:w="100" w:type="dxa"/>
              <w:left w:w="130" w:type="dxa"/>
              <w:right w:w="130" w:type="dxa"/>
            </w:tcMar>
            <w:vAlign w:val="center"/>
          </w:tcPr>
          <w:p>
            <w:r>
              <w:rPr>
                <w:rFonts w:ascii="Calibri" w:hAnsi="Calibri"/>
                <w:color w:val="2D3748"/>
                <w:sz w:val="17"/>
              </w:rPr>
              <w:t>0.9040</w:t>
            </w:r>
          </w:p>
        </w:tc>
        <w:tc>
          <w:tcPr>
            <w:tcW w:type="dxa" w:w="864"/>
            <w:shd w:fill="F7FAFC"/>
            <w:tcMar>
              <w:top w:w="100" w:type="dxa"/>
              <w:bottom w:w="100" w:type="dxa"/>
              <w:left w:w="130" w:type="dxa"/>
              <w:right w:w="130" w:type="dxa"/>
            </w:tcMar>
            <w:vAlign w:val="center"/>
          </w:tcPr>
          <w:p>
            <w:r>
              <w:rPr>
                <w:rFonts w:ascii="Calibri" w:hAnsi="Calibri"/>
                <w:color w:val="2D3748"/>
                <w:sz w:val="17"/>
              </w:rPr>
              <w:t>±0.0079</w:t>
            </w:r>
          </w:p>
        </w:tc>
        <w:tc>
          <w:tcPr>
            <w:tcW w:type="dxa" w:w="1008"/>
            <w:shd w:fill="F7FAFC"/>
            <w:tcMar>
              <w:top w:w="100" w:type="dxa"/>
              <w:bottom w:w="100" w:type="dxa"/>
              <w:left w:w="130" w:type="dxa"/>
              <w:right w:w="130" w:type="dxa"/>
            </w:tcMar>
            <w:vAlign w:val="center"/>
          </w:tcPr>
          <w:p>
            <w:r>
              <w:rPr>
                <w:rFonts w:ascii="Calibri" w:hAnsi="Calibri"/>
                <w:color w:val="2D3748"/>
                <w:sz w:val="17"/>
              </w:rPr>
              <w:t>0.9038</w:t>
            </w:r>
          </w:p>
        </w:tc>
        <w:tc>
          <w:tcPr>
            <w:tcW w:type="dxa" w:w="2448"/>
            <w:shd w:fill="F7FAFC"/>
            <w:tcMar>
              <w:top w:w="100" w:type="dxa"/>
              <w:bottom w:w="100" w:type="dxa"/>
              <w:left w:w="130" w:type="dxa"/>
              <w:right w:w="130" w:type="dxa"/>
            </w:tcMar>
            <w:vAlign w:val="center"/>
          </w:tcPr>
          <w:p>
            <w:r>
              <w:rPr>
                <w:rFonts w:ascii="Calibri" w:hAnsi="Calibri"/>
                <w:color w:val="2D3748"/>
                <w:sz w:val="17"/>
              </w:rPr>
              <w:t>Static population traits establish strong baseline separation</w:t>
            </w:r>
          </w:p>
        </w:tc>
      </w:tr>
      <w:tr>
        <w:tc>
          <w:tcPr>
            <w:tcW w:type="dxa" w:w="1584"/>
            <w:shd w:fill="FFFFFF"/>
            <w:tcMar>
              <w:top w:w="100" w:type="dxa"/>
              <w:bottom w:w="100" w:type="dxa"/>
              <w:left w:w="130" w:type="dxa"/>
              <w:right w:w="130" w:type="dxa"/>
            </w:tcMar>
            <w:vAlign w:val="center"/>
          </w:tcPr>
          <w:p>
            <w:r>
              <w:rPr>
                <w:rFonts w:ascii="Calibri" w:hAnsi="Calibri"/>
                <w:color w:val="2D3748"/>
                <w:sz w:val="17"/>
              </w:rPr>
              <w:t>Psychographic Only</w:t>
            </w:r>
          </w:p>
        </w:tc>
        <w:tc>
          <w:tcPr>
            <w:tcW w:type="dxa" w:w="2304"/>
            <w:shd w:fill="FFFFFF"/>
            <w:tcMar>
              <w:top w:w="100" w:type="dxa"/>
              <w:bottom w:w="100" w:type="dxa"/>
              <w:left w:w="130" w:type="dxa"/>
              <w:right w:w="130" w:type="dxa"/>
            </w:tcMar>
            <w:vAlign w:val="center"/>
          </w:tcPr>
          <w:p>
            <w:r>
              <w:rPr>
                <w:rFonts w:ascii="Calibri" w:hAnsi="Calibri"/>
                <w:color w:val="2D3748"/>
                <w:sz w:val="17"/>
              </w:rPr>
              <w:t>Spending_Score, Lifestyle, Price_Sens, Brand_Cons, Tech_Affinity</w:t>
            </w:r>
          </w:p>
        </w:tc>
        <w:tc>
          <w:tcPr>
            <w:tcW w:type="dxa" w:w="864"/>
            <w:shd w:fill="FFFFFF"/>
            <w:tcMar>
              <w:top w:w="100" w:type="dxa"/>
              <w:bottom w:w="100" w:type="dxa"/>
              <w:left w:w="130" w:type="dxa"/>
              <w:right w:w="130" w:type="dxa"/>
            </w:tcMar>
            <w:vAlign w:val="center"/>
          </w:tcPr>
          <w:p>
            <w:r>
              <w:rPr>
                <w:rFonts w:ascii="Calibri" w:hAnsi="Calibri"/>
                <w:color w:val="2D3748"/>
                <w:sz w:val="17"/>
              </w:rPr>
              <w:t>5</w:t>
            </w:r>
          </w:p>
        </w:tc>
        <w:tc>
          <w:tcPr>
            <w:tcW w:type="dxa" w:w="1008"/>
            <w:shd w:fill="FFFFFF"/>
            <w:tcMar>
              <w:top w:w="100" w:type="dxa"/>
              <w:bottom w:w="100" w:type="dxa"/>
              <w:left w:w="130" w:type="dxa"/>
              <w:right w:w="130" w:type="dxa"/>
            </w:tcMar>
            <w:vAlign w:val="center"/>
          </w:tcPr>
          <w:p>
            <w:r>
              <w:rPr>
                <w:rFonts w:ascii="Calibri" w:hAnsi="Calibri"/>
                <w:color w:val="2D3748"/>
                <w:sz w:val="17"/>
              </w:rPr>
              <w:t>0.9064</w:t>
            </w:r>
          </w:p>
        </w:tc>
        <w:tc>
          <w:tcPr>
            <w:tcW w:type="dxa" w:w="864"/>
            <w:shd w:fill="FFFFFF"/>
            <w:tcMar>
              <w:top w:w="100" w:type="dxa"/>
              <w:bottom w:w="100" w:type="dxa"/>
              <w:left w:w="130" w:type="dxa"/>
              <w:right w:w="130" w:type="dxa"/>
            </w:tcMar>
            <w:vAlign w:val="center"/>
          </w:tcPr>
          <w:p>
            <w:r>
              <w:rPr>
                <w:rFonts w:ascii="Calibri" w:hAnsi="Calibri"/>
                <w:color w:val="2D3748"/>
                <w:sz w:val="17"/>
              </w:rPr>
              <w:t>±0.0080</w:t>
            </w:r>
          </w:p>
        </w:tc>
        <w:tc>
          <w:tcPr>
            <w:tcW w:type="dxa" w:w="1008"/>
            <w:shd w:fill="FFFFFF"/>
            <w:tcMar>
              <w:top w:w="100" w:type="dxa"/>
              <w:bottom w:w="100" w:type="dxa"/>
              <w:left w:w="130" w:type="dxa"/>
              <w:right w:w="130" w:type="dxa"/>
            </w:tcMar>
            <w:vAlign w:val="center"/>
          </w:tcPr>
          <w:p>
            <w:r>
              <w:rPr>
                <w:rFonts w:ascii="Calibri" w:hAnsi="Calibri"/>
                <w:color w:val="2D3748"/>
                <w:sz w:val="17"/>
              </w:rPr>
              <w:t>0.9061</w:t>
            </w:r>
          </w:p>
        </w:tc>
        <w:tc>
          <w:tcPr>
            <w:tcW w:type="dxa" w:w="2448"/>
            <w:shd w:fill="FFFFFF"/>
            <w:tcMar>
              <w:top w:w="100" w:type="dxa"/>
              <w:bottom w:w="100" w:type="dxa"/>
              <w:left w:w="130" w:type="dxa"/>
              <w:right w:w="130" w:type="dxa"/>
            </w:tcMar>
            <w:vAlign w:val="center"/>
          </w:tcPr>
          <w:p>
            <w:r>
              <w:rPr>
                <w:rFonts w:ascii="Calibri" w:hAnsi="Calibri"/>
                <w:color w:val="2D3748"/>
                <w:sz w:val="17"/>
              </w:rPr>
              <w:t>Stated consumer mindsets &amp; brand affinities effectively isolate VIP tier</w:t>
            </w:r>
          </w:p>
        </w:tc>
      </w:tr>
      <w:tr>
        <w:tc>
          <w:tcPr>
            <w:tcW w:type="dxa" w:w="1584"/>
            <w:shd w:fill="F7FAFC"/>
            <w:tcMar>
              <w:top w:w="100" w:type="dxa"/>
              <w:bottom w:w="100" w:type="dxa"/>
              <w:left w:w="130" w:type="dxa"/>
              <w:right w:w="130" w:type="dxa"/>
            </w:tcMar>
            <w:vAlign w:val="center"/>
          </w:tcPr>
          <w:p>
            <w:r>
              <w:rPr>
                <w:rFonts w:ascii="Calibri" w:hAnsi="Calibri"/>
                <w:color w:val="2D3748"/>
                <w:sz w:val="17"/>
              </w:rPr>
              <w:t>Behavioral Only</w:t>
            </w:r>
          </w:p>
        </w:tc>
        <w:tc>
          <w:tcPr>
            <w:tcW w:type="dxa" w:w="2304"/>
            <w:shd w:fill="F7FAFC"/>
            <w:tcMar>
              <w:top w:w="100" w:type="dxa"/>
              <w:bottom w:w="100" w:type="dxa"/>
              <w:left w:w="130" w:type="dxa"/>
              <w:right w:w="130" w:type="dxa"/>
            </w:tcMar>
            <w:vAlign w:val="center"/>
          </w:tcPr>
          <w:p>
            <w:r>
              <w:rPr>
                <w:rFonts w:ascii="Calibri" w:hAnsi="Calibri"/>
                <w:color w:val="2D3748"/>
                <w:sz w:val="17"/>
              </w:rPr>
              <w:t>Frequency, AOV, Total_Spend, Recency, Discount, Campaign, Eng</w:t>
            </w:r>
          </w:p>
        </w:tc>
        <w:tc>
          <w:tcPr>
            <w:tcW w:type="dxa" w:w="864"/>
            <w:shd w:fill="F7FAFC"/>
            <w:tcMar>
              <w:top w:w="100" w:type="dxa"/>
              <w:bottom w:w="100" w:type="dxa"/>
              <w:left w:w="130" w:type="dxa"/>
              <w:right w:w="130" w:type="dxa"/>
            </w:tcMar>
            <w:vAlign w:val="center"/>
          </w:tcPr>
          <w:p>
            <w:r>
              <w:rPr>
                <w:rFonts w:ascii="Calibri" w:hAnsi="Calibri"/>
                <w:color w:val="2D3748"/>
                <w:sz w:val="17"/>
              </w:rPr>
              <w:t>7</w:t>
            </w:r>
          </w:p>
        </w:tc>
        <w:tc>
          <w:tcPr>
            <w:tcW w:type="dxa" w:w="1008"/>
            <w:shd w:fill="F7FAFC"/>
            <w:tcMar>
              <w:top w:w="100" w:type="dxa"/>
              <w:bottom w:w="100" w:type="dxa"/>
              <w:left w:w="130" w:type="dxa"/>
              <w:right w:w="130" w:type="dxa"/>
            </w:tcMar>
            <w:vAlign w:val="center"/>
          </w:tcPr>
          <w:p>
            <w:r>
              <w:rPr>
                <w:rFonts w:ascii="Calibri" w:hAnsi="Calibri"/>
                <w:color w:val="2D3748"/>
                <w:sz w:val="17"/>
              </w:rPr>
              <w:t>0.9644</w:t>
            </w:r>
          </w:p>
        </w:tc>
        <w:tc>
          <w:tcPr>
            <w:tcW w:type="dxa" w:w="864"/>
            <w:shd w:fill="F7FAFC"/>
            <w:tcMar>
              <w:top w:w="100" w:type="dxa"/>
              <w:bottom w:w="100" w:type="dxa"/>
              <w:left w:w="130" w:type="dxa"/>
              <w:right w:w="130" w:type="dxa"/>
            </w:tcMar>
            <w:vAlign w:val="center"/>
          </w:tcPr>
          <w:p>
            <w:r>
              <w:rPr>
                <w:rFonts w:ascii="Calibri" w:hAnsi="Calibri"/>
                <w:color w:val="2D3748"/>
                <w:sz w:val="17"/>
              </w:rPr>
              <w:t>±0.0050</w:t>
            </w:r>
          </w:p>
        </w:tc>
        <w:tc>
          <w:tcPr>
            <w:tcW w:type="dxa" w:w="1008"/>
            <w:shd w:fill="F7FAFC"/>
            <w:tcMar>
              <w:top w:w="100" w:type="dxa"/>
              <w:bottom w:w="100" w:type="dxa"/>
              <w:left w:w="130" w:type="dxa"/>
              <w:right w:w="130" w:type="dxa"/>
            </w:tcMar>
            <w:vAlign w:val="center"/>
          </w:tcPr>
          <w:p>
            <w:r>
              <w:rPr>
                <w:rFonts w:ascii="Calibri" w:hAnsi="Calibri"/>
                <w:color w:val="2D3748"/>
                <w:sz w:val="17"/>
              </w:rPr>
              <w:t>0.9642</w:t>
            </w:r>
          </w:p>
        </w:tc>
        <w:tc>
          <w:tcPr>
            <w:tcW w:type="dxa" w:w="2448"/>
            <w:shd w:fill="F7FAFC"/>
            <w:tcMar>
              <w:top w:w="100" w:type="dxa"/>
              <w:bottom w:w="100" w:type="dxa"/>
              <w:left w:w="130" w:type="dxa"/>
              <w:right w:w="130" w:type="dxa"/>
            </w:tcMar>
            <w:vAlign w:val="center"/>
          </w:tcPr>
          <w:p>
            <w:r>
              <w:rPr>
                <w:rFonts w:ascii="Calibri" w:hAnsi="Calibri"/>
                <w:color w:val="2D3748"/>
                <w:sz w:val="17"/>
              </w:rPr>
              <w:t>Actual purchase cadence &amp; spend volume provide strongest single signal</w:t>
            </w:r>
          </w:p>
        </w:tc>
      </w:tr>
      <w:tr>
        <w:tc>
          <w:tcPr>
            <w:tcW w:type="dxa" w:w="1584"/>
            <w:shd w:fill="FFFFFF"/>
            <w:tcMar>
              <w:top w:w="100" w:type="dxa"/>
              <w:bottom w:w="100" w:type="dxa"/>
              <w:left w:w="130" w:type="dxa"/>
              <w:right w:w="130" w:type="dxa"/>
            </w:tcMar>
            <w:vAlign w:val="center"/>
          </w:tcPr>
          <w:p>
            <w:r>
              <w:rPr>
                <w:rFonts w:ascii="Calibri" w:hAnsi="Calibri"/>
                <w:color w:val="2D3748"/>
                <w:sz w:val="17"/>
              </w:rPr>
              <w:t>Combined (All Groups)</w:t>
            </w:r>
          </w:p>
        </w:tc>
        <w:tc>
          <w:tcPr>
            <w:tcW w:type="dxa" w:w="2304"/>
            <w:shd w:fill="FFFFFF"/>
            <w:tcMar>
              <w:top w:w="100" w:type="dxa"/>
              <w:bottom w:w="100" w:type="dxa"/>
              <w:left w:w="130" w:type="dxa"/>
              <w:right w:w="130" w:type="dxa"/>
            </w:tcMar>
            <w:vAlign w:val="center"/>
          </w:tcPr>
          <w:p>
            <w:r>
              <w:rPr>
                <w:rFonts w:ascii="Calibri" w:hAnsi="Calibri"/>
                <w:color w:val="2D3748"/>
                <w:sz w:val="17"/>
              </w:rPr>
              <w:t>Full Multi-Modal Feature Vector (Demographic + Psycho + Behavior)</w:t>
            </w:r>
          </w:p>
        </w:tc>
        <w:tc>
          <w:tcPr>
            <w:tcW w:type="dxa" w:w="864"/>
            <w:shd w:fill="FFFFFF"/>
            <w:tcMar>
              <w:top w:w="100" w:type="dxa"/>
              <w:bottom w:w="100" w:type="dxa"/>
              <w:left w:w="130" w:type="dxa"/>
              <w:right w:w="130" w:type="dxa"/>
            </w:tcMar>
            <w:vAlign w:val="center"/>
          </w:tcPr>
          <w:p>
            <w:r>
              <w:rPr>
                <w:rFonts w:ascii="Calibri" w:hAnsi="Calibri"/>
                <w:color w:val="2D3748"/>
                <w:sz w:val="17"/>
              </w:rPr>
              <w:t>20</w:t>
            </w:r>
          </w:p>
        </w:tc>
        <w:tc>
          <w:tcPr>
            <w:tcW w:type="dxa" w:w="1008"/>
            <w:shd w:fill="FFFFFF"/>
            <w:tcMar>
              <w:top w:w="100" w:type="dxa"/>
              <w:bottom w:w="100" w:type="dxa"/>
              <w:left w:w="130" w:type="dxa"/>
              <w:right w:w="130" w:type="dxa"/>
            </w:tcMar>
            <w:vAlign w:val="center"/>
          </w:tcPr>
          <w:p>
            <w:r>
              <w:rPr>
                <w:rFonts w:ascii="Calibri" w:hAnsi="Calibri"/>
                <w:color w:val="2D3748"/>
                <w:sz w:val="17"/>
              </w:rPr>
              <w:t>0.9992</w:t>
            </w:r>
          </w:p>
        </w:tc>
        <w:tc>
          <w:tcPr>
            <w:tcW w:type="dxa" w:w="864"/>
            <w:shd w:fill="FFFFFF"/>
            <w:tcMar>
              <w:top w:w="100" w:type="dxa"/>
              <w:bottom w:w="100" w:type="dxa"/>
              <w:left w:w="130" w:type="dxa"/>
              <w:right w:w="130" w:type="dxa"/>
            </w:tcMar>
            <w:vAlign w:val="center"/>
          </w:tcPr>
          <w:p>
            <w:r>
              <w:rPr>
                <w:rFonts w:ascii="Calibri" w:hAnsi="Calibri"/>
                <w:color w:val="2D3748"/>
                <w:sz w:val="17"/>
              </w:rPr>
              <w:t>±0.0005</w:t>
            </w:r>
          </w:p>
        </w:tc>
        <w:tc>
          <w:tcPr>
            <w:tcW w:type="dxa" w:w="1008"/>
            <w:shd w:fill="FFFFFF"/>
            <w:tcMar>
              <w:top w:w="100" w:type="dxa"/>
              <w:bottom w:w="100" w:type="dxa"/>
              <w:left w:w="130" w:type="dxa"/>
              <w:right w:w="130" w:type="dxa"/>
            </w:tcMar>
            <w:vAlign w:val="center"/>
          </w:tcPr>
          <w:p>
            <w:r>
              <w:rPr>
                <w:rFonts w:ascii="Calibri" w:hAnsi="Calibri"/>
                <w:color w:val="2D3748"/>
                <w:sz w:val="17"/>
              </w:rPr>
              <w:t>0.9990</w:t>
            </w:r>
          </w:p>
        </w:tc>
        <w:tc>
          <w:tcPr>
            <w:tcW w:type="dxa" w:w="2448"/>
            <w:shd w:fill="FFFFFF"/>
            <w:tcMar>
              <w:top w:w="100" w:type="dxa"/>
              <w:bottom w:w="100" w:type="dxa"/>
              <w:left w:w="130" w:type="dxa"/>
              <w:right w:w="130" w:type="dxa"/>
            </w:tcMar>
            <w:vAlign w:val="center"/>
          </w:tcPr>
          <w:p>
            <w:r>
              <w:rPr>
                <w:rFonts w:ascii="Calibri" w:hAnsi="Calibri"/>
                <w:color w:val="2D3748"/>
                <w:sz w:val="17"/>
              </w:rPr>
              <w:t>Full integration resolves boundary ambiguities &amp; maximizes recall across all 4 segments</w:t>
            </w:r>
          </w:p>
        </w:tc>
      </w:tr>
    </w:tbl>
    <w:p/>
    <w:p>
      <w:r>
        <w:rPr>
          <w:b/>
        </w:rPr>
        <w:t>Figure 5. 5-Fold Cross-Validation Macro F1 Performance Comparison Across Classifiers</w:t>
      </w:r>
    </w:p>
    <w:p>
      <w:r>
        <w:drawing>
          <wp:inline xmlns:a="http://schemas.openxmlformats.org/drawingml/2006/main" xmlns:pic="http://schemas.openxmlformats.org/drawingml/2006/picture">
            <wp:extent cx="5943600" cy="2701636"/>
            <wp:docPr id="5" name="Picture 5"/>
            <wp:cNvGraphicFramePr>
              <a:graphicFrameLocks noChangeAspect="1"/>
            </wp:cNvGraphicFramePr>
            <a:graphic>
              <a:graphicData uri="http://schemas.openxmlformats.org/drawingml/2006/picture">
                <pic:pic>
                  <pic:nvPicPr>
                    <pic:cNvPr id="0" name="cv_comparison.png"/>
                    <pic:cNvPicPr/>
                  </pic:nvPicPr>
                  <pic:blipFill>
                    <a:blip r:embed="rId15"/>
                    <a:stretch>
                      <a:fillRect/>
                    </a:stretch>
                  </pic:blipFill>
                  <pic:spPr>
                    <a:xfrm>
                      <a:off x="0" y="0"/>
                      <a:ext cx="5943600" cy="2701636"/>
                    </a:xfrm>
                    <a:prstGeom prst="rect"/>
                  </pic:spPr>
                </pic:pic>
              </a:graphicData>
            </a:graphic>
          </wp:inline>
        </w:drawing>
      </w:r>
    </w:p>
    <w:p/>
    <w:p>
      <w:r>
        <w:rPr>
          <w:b/>
        </w:rPr>
        <w:t>Figure 6. Feature Group Macro F1 Ablation Study Comparison</w:t>
      </w:r>
    </w:p>
    <w:p>
      <w:r>
        <w:drawing>
          <wp:inline xmlns:a="http://schemas.openxmlformats.org/drawingml/2006/main" xmlns:pic="http://schemas.openxmlformats.org/drawingml/2006/picture">
            <wp:extent cx="5943600" cy="3302000"/>
            <wp:docPr id="6" name="Picture 6"/>
            <wp:cNvGraphicFramePr>
              <a:graphicFrameLocks noChangeAspect="1"/>
            </wp:cNvGraphicFramePr>
            <a:graphic>
              <a:graphicData uri="http://schemas.openxmlformats.org/drawingml/2006/picture">
                <pic:pic>
                  <pic:nvPicPr>
                    <pic:cNvPr id="0" name="feature_group_ablation.png"/>
                    <pic:cNvPicPr/>
                  </pic:nvPicPr>
                  <pic:blipFill>
                    <a:blip r:embed="rId16"/>
                    <a:stretch>
                      <a:fillRect/>
                    </a:stretch>
                  </pic:blipFill>
                  <pic:spPr>
                    <a:xfrm>
                      <a:off x="0" y="0"/>
                      <a:ext cx="5943600" cy="3302000"/>
                    </a:xfrm>
                    <a:prstGeom prst="rect"/>
                  </pic:spPr>
                </pic:pic>
              </a:graphicData>
            </a:graphic>
          </wp:inline>
        </w:drawing>
      </w:r>
    </w:p>
    <w:p/>
    <w:p>
      <w:pPr>
        <w:pStyle w:val="Heading1"/>
      </w:pPr>
      <w:r>
        <w:rPr>
          <w:color w:val="1A365D"/>
          <w:sz w:val="26"/>
        </w:rPr>
        <w:t>6. One-Time Locked Holdout Test Evaluation</w:t>
      </w:r>
    </w:p>
    <w:p>
      <w:pPr>
        <w:spacing w:line="276" w:lineRule="auto"/>
      </w:pPr>
      <w:r>
        <w:t>Following pre-test model selection, the winning CategoricalNB_mixed pipeline was fitted on the full training set (N=4,000) and evaluated exactly once on the locked holdout test set (N=1,000). A stratified bootstrap 95% confidence interval was computed over 1,000 resamples to quantify generalization uncertainty without parametric assumptions.</w:t>
      </w:r>
    </w:p>
    <w:p>
      <w:r>
        <w:rPr>
          <w:b/>
          <w:color w:val="2B6CB0"/>
        </w:rPr>
        <w:t>Table 6. Locked Holdout Test Performance Summary (N=1,000 Customers)</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120"/>
        <w:gridCol w:w="1120"/>
        <w:gridCol w:w="1120"/>
        <w:gridCol w:w="1120"/>
        <w:gridCol w:w="1120"/>
        <w:gridCol w:w="1120"/>
        <w:gridCol w:w="1120"/>
        <w:gridCol w:w="1120"/>
        <w:gridCol w:w="1120"/>
      </w:tblGrid>
      <w:tr>
        <w:tc>
          <w:tcPr>
            <w:tcW w:type="dxa" w:w="1872"/>
            <w:shd w:fill="1A365D"/>
            <w:tcMar>
              <w:top w:w="140" w:type="dxa"/>
              <w:bottom w:w="140" w:type="dxa"/>
              <w:left w:w="150" w:type="dxa"/>
              <w:right w:w="150" w:type="dxa"/>
            </w:tcMar>
          </w:tcPr>
          <w:p>
            <w:pPr>
              <w:jc w:val="center"/>
            </w:pPr>
            <w:r>
              <w:rPr>
                <w:rFonts w:ascii="Calibri" w:hAnsi="Calibri"/>
                <w:b/>
                <w:color w:val="FFFFFF"/>
                <w:sz w:val="17"/>
              </w:rPr>
              <w:t>Selected Model</w:t>
            </w:r>
          </w:p>
        </w:tc>
        <w:tc>
          <w:tcPr>
            <w:tcW w:type="dxa" w:w="1152"/>
            <w:shd w:fill="1A365D"/>
            <w:tcMar>
              <w:top w:w="140" w:type="dxa"/>
              <w:bottom w:w="140" w:type="dxa"/>
              <w:left w:w="150" w:type="dxa"/>
              <w:right w:w="150" w:type="dxa"/>
            </w:tcMar>
          </w:tcPr>
          <w:p>
            <w:pPr>
              <w:jc w:val="center"/>
            </w:pPr>
            <w:r>
              <w:rPr>
                <w:rFonts w:ascii="Calibri" w:hAnsi="Calibri"/>
                <w:b/>
                <w:color w:val="FFFFFF"/>
                <w:sz w:val="17"/>
              </w:rPr>
              <w:t>Test Accuracy</w:t>
            </w:r>
          </w:p>
        </w:tc>
        <w:tc>
          <w:tcPr>
            <w:tcW w:type="dxa" w:w="1008"/>
            <w:shd w:fill="1A365D"/>
            <w:tcMar>
              <w:top w:w="140" w:type="dxa"/>
              <w:bottom w:w="140" w:type="dxa"/>
              <w:left w:w="150" w:type="dxa"/>
              <w:right w:w="150" w:type="dxa"/>
            </w:tcMar>
          </w:tcPr>
          <w:p>
            <w:pPr>
              <w:jc w:val="center"/>
            </w:pPr>
            <w:r>
              <w:rPr>
                <w:rFonts w:ascii="Calibri" w:hAnsi="Calibri"/>
                <w:b/>
                <w:color w:val="FFFFFF"/>
                <w:sz w:val="17"/>
              </w:rPr>
              <w:t>Macro Precision</w:t>
            </w:r>
          </w:p>
        </w:tc>
        <w:tc>
          <w:tcPr>
            <w:tcW w:type="dxa" w:w="1008"/>
            <w:shd w:fill="1A365D"/>
            <w:tcMar>
              <w:top w:w="140" w:type="dxa"/>
              <w:bottom w:w="140" w:type="dxa"/>
              <w:left w:w="150" w:type="dxa"/>
              <w:right w:w="150" w:type="dxa"/>
            </w:tcMar>
          </w:tcPr>
          <w:p>
            <w:pPr>
              <w:jc w:val="center"/>
            </w:pPr>
            <w:r>
              <w:rPr>
                <w:rFonts w:ascii="Calibri" w:hAnsi="Calibri"/>
                <w:b/>
                <w:color w:val="FFFFFF"/>
                <w:sz w:val="17"/>
              </w:rPr>
              <w:t>Macro Recall</w:t>
            </w:r>
          </w:p>
        </w:tc>
        <w:tc>
          <w:tcPr>
            <w:tcW w:type="dxa" w:w="1008"/>
            <w:shd w:fill="1A365D"/>
            <w:tcMar>
              <w:top w:w="140" w:type="dxa"/>
              <w:bottom w:w="140" w:type="dxa"/>
              <w:left w:w="150" w:type="dxa"/>
              <w:right w:w="150" w:type="dxa"/>
            </w:tcMar>
          </w:tcPr>
          <w:p>
            <w:pPr>
              <w:jc w:val="center"/>
            </w:pPr>
            <w:r>
              <w:rPr>
                <w:rFonts w:ascii="Calibri" w:hAnsi="Calibri"/>
                <w:b/>
                <w:color w:val="FFFFFF"/>
                <w:sz w:val="17"/>
              </w:rPr>
              <w:t>Macro F1 Score</w:t>
            </w:r>
          </w:p>
        </w:tc>
        <w:tc>
          <w:tcPr>
            <w:tcW w:type="dxa" w:w="1296"/>
            <w:shd w:fill="1A365D"/>
            <w:tcMar>
              <w:top w:w="140" w:type="dxa"/>
              <w:bottom w:w="140" w:type="dxa"/>
              <w:left w:w="150" w:type="dxa"/>
              <w:right w:w="150" w:type="dxa"/>
            </w:tcMar>
          </w:tcPr>
          <w:p>
            <w:pPr>
              <w:jc w:val="center"/>
            </w:pPr>
            <w:r>
              <w:rPr>
                <w:rFonts w:ascii="Calibri" w:hAnsi="Calibri"/>
                <w:b/>
                <w:color w:val="FFFFFF"/>
                <w:sz w:val="17"/>
              </w:rPr>
              <w:t>95% Bootstrap CI</w:t>
            </w:r>
          </w:p>
        </w:tc>
        <w:tc>
          <w:tcPr>
            <w:tcW w:type="dxa" w:w="1008"/>
            <w:shd w:fill="1A365D"/>
            <w:tcMar>
              <w:top w:w="140" w:type="dxa"/>
              <w:bottom w:w="140" w:type="dxa"/>
              <w:left w:w="150" w:type="dxa"/>
              <w:right w:w="150" w:type="dxa"/>
            </w:tcMar>
          </w:tcPr>
          <w:p>
            <w:pPr>
              <w:jc w:val="center"/>
            </w:pPr>
            <w:r>
              <w:rPr>
                <w:rFonts w:ascii="Calibri" w:hAnsi="Calibri"/>
                <w:b/>
                <w:color w:val="FFFFFF"/>
                <w:sz w:val="17"/>
              </w:rPr>
              <w:t>Weighted F1</w:t>
            </w:r>
          </w:p>
        </w:tc>
        <w:tc>
          <w:tcPr>
            <w:tcW w:type="dxa" w:w="864"/>
            <w:shd w:fill="1A365D"/>
            <w:tcMar>
              <w:top w:w="140" w:type="dxa"/>
              <w:bottom w:w="140" w:type="dxa"/>
              <w:left w:w="150" w:type="dxa"/>
              <w:right w:w="150" w:type="dxa"/>
            </w:tcMar>
          </w:tcPr>
          <w:p>
            <w:pPr>
              <w:jc w:val="center"/>
            </w:pPr>
            <w:r>
              <w:rPr>
                <w:rFonts w:ascii="Calibri" w:hAnsi="Calibri"/>
                <w:b/>
                <w:color w:val="FFFFFF"/>
                <w:sz w:val="17"/>
              </w:rPr>
              <w:t>Train Latency</w:t>
            </w:r>
          </w:p>
        </w:tc>
        <w:tc>
          <w:tcPr>
            <w:tcW w:type="dxa" w:w="864"/>
            <w:shd w:fill="1A365D"/>
            <w:tcMar>
              <w:top w:w="140" w:type="dxa"/>
              <w:bottom w:w="140" w:type="dxa"/>
              <w:left w:w="150" w:type="dxa"/>
              <w:right w:w="150" w:type="dxa"/>
            </w:tcMar>
          </w:tcPr>
          <w:p>
            <w:pPr>
              <w:jc w:val="center"/>
            </w:pPr>
            <w:r>
              <w:rPr>
                <w:rFonts w:ascii="Calibri" w:hAnsi="Calibri"/>
                <w:b/>
                <w:color w:val="FFFFFF"/>
                <w:sz w:val="17"/>
              </w:rPr>
              <w:t>Inference Latency</w:t>
            </w:r>
          </w:p>
        </w:tc>
      </w:tr>
      <w:tr>
        <w:tc>
          <w:tcPr>
            <w:tcW w:type="dxa" w:w="1872"/>
            <w:shd w:fill="F7FAFC"/>
            <w:tcMar>
              <w:top w:w="100" w:type="dxa"/>
              <w:bottom w:w="100" w:type="dxa"/>
              <w:left w:w="130" w:type="dxa"/>
              <w:right w:w="130" w:type="dxa"/>
            </w:tcMar>
            <w:vAlign w:val="center"/>
          </w:tcPr>
          <w:p>
            <w:r>
              <w:rPr>
                <w:rFonts w:ascii="Calibri" w:hAnsi="Calibri"/>
                <w:color w:val="2D3748"/>
                <w:sz w:val="17"/>
              </w:rPr>
              <w:t>CategoricalNB_mixed</w:t>
            </w:r>
          </w:p>
        </w:tc>
        <w:tc>
          <w:tcPr>
            <w:tcW w:type="dxa" w:w="1152"/>
            <w:shd w:fill="F7FAFC"/>
            <w:tcMar>
              <w:top w:w="100" w:type="dxa"/>
              <w:bottom w:w="100" w:type="dxa"/>
              <w:left w:w="130" w:type="dxa"/>
              <w:right w:w="130" w:type="dxa"/>
            </w:tcMar>
            <w:vAlign w:val="center"/>
          </w:tcPr>
          <w:p>
            <w:r>
              <w:rPr>
                <w:rFonts w:ascii="Calibri" w:hAnsi="Calibri"/>
                <w:color w:val="2D3748"/>
                <w:sz w:val="17"/>
              </w:rPr>
              <w:t>0.9980 (99.80%)</w:t>
            </w:r>
          </w:p>
        </w:tc>
        <w:tc>
          <w:tcPr>
            <w:tcW w:type="dxa" w:w="1008"/>
            <w:shd w:fill="F7FAFC"/>
            <w:tcMar>
              <w:top w:w="100" w:type="dxa"/>
              <w:bottom w:w="100" w:type="dxa"/>
              <w:left w:w="130" w:type="dxa"/>
              <w:right w:w="130" w:type="dxa"/>
            </w:tcMar>
            <w:vAlign w:val="center"/>
          </w:tcPr>
          <w:p>
            <w:r>
              <w:rPr>
                <w:rFonts w:ascii="Calibri" w:hAnsi="Calibri"/>
                <w:color w:val="2D3748"/>
                <w:sz w:val="17"/>
              </w:rPr>
              <w:t>0.9981</w:t>
            </w:r>
          </w:p>
        </w:tc>
        <w:tc>
          <w:tcPr>
            <w:tcW w:type="dxa" w:w="1008"/>
            <w:shd w:fill="F7FAFC"/>
            <w:tcMar>
              <w:top w:w="100" w:type="dxa"/>
              <w:bottom w:w="100" w:type="dxa"/>
              <w:left w:w="130" w:type="dxa"/>
              <w:right w:w="130" w:type="dxa"/>
            </w:tcMar>
            <w:vAlign w:val="center"/>
          </w:tcPr>
          <w:p>
            <w:r>
              <w:rPr>
                <w:rFonts w:ascii="Calibri" w:hAnsi="Calibri"/>
                <w:color w:val="2D3748"/>
                <w:sz w:val="17"/>
              </w:rPr>
              <w:t>0.9985</w:t>
            </w:r>
          </w:p>
        </w:tc>
        <w:tc>
          <w:tcPr>
            <w:tcW w:type="dxa" w:w="1008"/>
            <w:shd w:fill="F7FAFC"/>
            <w:tcMar>
              <w:top w:w="100" w:type="dxa"/>
              <w:bottom w:w="100" w:type="dxa"/>
              <w:left w:w="130" w:type="dxa"/>
              <w:right w:w="130" w:type="dxa"/>
            </w:tcMar>
            <w:vAlign w:val="center"/>
          </w:tcPr>
          <w:p>
            <w:r>
              <w:rPr>
                <w:rFonts w:ascii="Calibri" w:hAnsi="Calibri"/>
                <w:color w:val="2D3748"/>
                <w:sz w:val="17"/>
              </w:rPr>
              <w:t>0.9983</w:t>
            </w:r>
          </w:p>
        </w:tc>
        <w:tc>
          <w:tcPr>
            <w:tcW w:type="dxa" w:w="1296"/>
            <w:shd w:fill="F7FAFC"/>
            <w:tcMar>
              <w:top w:w="100" w:type="dxa"/>
              <w:bottom w:w="100" w:type="dxa"/>
              <w:left w:w="130" w:type="dxa"/>
              <w:right w:w="130" w:type="dxa"/>
            </w:tcMar>
            <w:vAlign w:val="center"/>
          </w:tcPr>
          <w:p>
            <w:r>
              <w:rPr>
                <w:rFonts w:ascii="Calibri" w:hAnsi="Calibri"/>
                <w:color w:val="2D3748"/>
                <w:sz w:val="17"/>
              </w:rPr>
              <w:t>[0.9957, 1.0000]</w:t>
            </w:r>
          </w:p>
        </w:tc>
        <w:tc>
          <w:tcPr>
            <w:tcW w:type="dxa" w:w="1008"/>
            <w:shd w:fill="F7FAFC"/>
            <w:tcMar>
              <w:top w:w="100" w:type="dxa"/>
              <w:bottom w:w="100" w:type="dxa"/>
              <w:left w:w="130" w:type="dxa"/>
              <w:right w:w="130" w:type="dxa"/>
            </w:tcMar>
            <w:vAlign w:val="center"/>
          </w:tcPr>
          <w:p>
            <w:r>
              <w:rPr>
                <w:rFonts w:ascii="Calibri" w:hAnsi="Calibri"/>
                <w:color w:val="2D3748"/>
                <w:sz w:val="17"/>
              </w:rPr>
              <w:t>0.9980</w:t>
            </w:r>
          </w:p>
        </w:tc>
        <w:tc>
          <w:tcPr>
            <w:tcW w:type="dxa" w:w="864"/>
            <w:shd w:fill="F7FAFC"/>
            <w:tcMar>
              <w:top w:w="100" w:type="dxa"/>
              <w:bottom w:w="100" w:type="dxa"/>
              <w:left w:w="130" w:type="dxa"/>
              <w:right w:w="130" w:type="dxa"/>
            </w:tcMar>
            <w:vAlign w:val="center"/>
          </w:tcPr>
          <w:p>
            <w:r>
              <w:rPr>
                <w:rFonts w:ascii="Calibri" w:hAnsi="Calibri"/>
                <w:color w:val="2D3748"/>
                <w:sz w:val="17"/>
              </w:rPr>
              <w:t>107.78 ms</w:t>
            </w:r>
          </w:p>
        </w:tc>
        <w:tc>
          <w:tcPr>
            <w:tcW w:type="dxa" w:w="864"/>
            <w:shd w:fill="F7FAFC"/>
            <w:tcMar>
              <w:top w:w="100" w:type="dxa"/>
              <w:bottom w:w="100" w:type="dxa"/>
              <w:left w:w="130" w:type="dxa"/>
              <w:right w:w="130" w:type="dxa"/>
            </w:tcMar>
            <w:vAlign w:val="center"/>
          </w:tcPr>
          <w:p>
            <w:r>
              <w:rPr>
                <w:rFonts w:ascii="Calibri" w:hAnsi="Calibri"/>
                <w:color w:val="2D3748"/>
                <w:sz w:val="17"/>
              </w:rPr>
              <w:t>0.0369 ms/rec</w:t>
            </w:r>
          </w:p>
        </w:tc>
      </w:tr>
    </w:tbl>
    <w:p/>
    <w:p>
      <w:r>
        <w:rPr>
          <w:b/>
          <w:color w:val="2B6CB0"/>
        </w:rPr>
        <w:t>Table 7. Class-Wise Granular Performance Breakdown</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680"/>
        <w:gridCol w:w="1680"/>
        <w:gridCol w:w="1680"/>
        <w:gridCol w:w="1680"/>
        <w:gridCol w:w="1680"/>
        <w:gridCol w:w="1680"/>
      </w:tblGrid>
      <w:tr>
        <w:tc>
          <w:tcPr>
            <w:tcW w:type="dxa" w:w="2160"/>
            <w:shd w:fill="1A365D"/>
            <w:tcMar>
              <w:top w:w="140" w:type="dxa"/>
              <w:bottom w:w="140" w:type="dxa"/>
              <w:left w:w="150" w:type="dxa"/>
              <w:right w:w="150" w:type="dxa"/>
            </w:tcMar>
          </w:tcPr>
          <w:p>
            <w:pPr>
              <w:jc w:val="center"/>
            </w:pPr>
            <w:r>
              <w:rPr>
                <w:rFonts w:ascii="Calibri" w:hAnsi="Calibri"/>
                <w:b/>
                <w:color w:val="FFFFFF"/>
                <w:sz w:val="17"/>
              </w:rPr>
              <w:t>Target Customer Segment</w:t>
            </w:r>
          </w:p>
        </w:tc>
        <w:tc>
          <w:tcPr>
            <w:tcW w:type="dxa" w:w="1008"/>
            <w:shd w:fill="1A365D"/>
            <w:tcMar>
              <w:top w:w="140" w:type="dxa"/>
              <w:bottom w:w="140" w:type="dxa"/>
              <w:left w:w="150" w:type="dxa"/>
              <w:right w:w="150" w:type="dxa"/>
            </w:tcMar>
          </w:tcPr>
          <w:p>
            <w:pPr>
              <w:jc w:val="center"/>
            </w:pPr>
            <w:r>
              <w:rPr>
                <w:rFonts w:ascii="Calibri" w:hAnsi="Calibri"/>
                <w:b/>
                <w:color w:val="FFFFFF"/>
                <w:sz w:val="17"/>
              </w:rPr>
              <w:t>Precision</w:t>
            </w:r>
          </w:p>
        </w:tc>
        <w:tc>
          <w:tcPr>
            <w:tcW w:type="dxa" w:w="1008"/>
            <w:shd w:fill="1A365D"/>
            <w:tcMar>
              <w:top w:w="140" w:type="dxa"/>
              <w:bottom w:w="140" w:type="dxa"/>
              <w:left w:w="150" w:type="dxa"/>
              <w:right w:w="150" w:type="dxa"/>
            </w:tcMar>
          </w:tcPr>
          <w:p>
            <w:pPr>
              <w:jc w:val="center"/>
            </w:pPr>
            <w:r>
              <w:rPr>
                <w:rFonts w:ascii="Calibri" w:hAnsi="Calibri"/>
                <w:b/>
                <w:color w:val="FFFFFF"/>
                <w:sz w:val="17"/>
              </w:rPr>
              <w:t>Recall</w:t>
            </w:r>
          </w:p>
        </w:tc>
        <w:tc>
          <w:tcPr>
            <w:tcW w:type="dxa" w:w="1008"/>
            <w:shd w:fill="1A365D"/>
            <w:tcMar>
              <w:top w:w="140" w:type="dxa"/>
              <w:bottom w:w="140" w:type="dxa"/>
              <w:left w:w="150" w:type="dxa"/>
              <w:right w:w="150" w:type="dxa"/>
            </w:tcMar>
          </w:tcPr>
          <w:p>
            <w:pPr>
              <w:jc w:val="center"/>
            </w:pPr>
            <w:r>
              <w:rPr>
                <w:rFonts w:ascii="Calibri" w:hAnsi="Calibri"/>
                <w:b/>
                <w:color w:val="FFFFFF"/>
                <w:sz w:val="17"/>
              </w:rPr>
              <w:t>F1-Score</w:t>
            </w:r>
          </w:p>
        </w:tc>
        <w:tc>
          <w:tcPr>
            <w:tcW w:type="dxa" w:w="1008"/>
            <w:shd w:fill="1A365D"/>
            <w:tcMar>
              <w:top w:w="140" w:type="dxa"/>
              <w:bottom w:w="140" w:type="dxa"/>
              <w:left w:w="150" w:type="dxa"/>
              <w:right w:w="150" w:type="dxa"/>
            </w:tcMar>
          </w:tcPr>
          <w:p>
            <w:pPr>
              <w:jc w:val="center"/>
            </w:pPr>
            <w:r>
              <w:rPr>
                <w:rFonts w:ascii="Calibri" w:hAnsi="Calibri"/>
                <w:b/>
                <w:color w:val="FFFFFF"/>
                <w:sz w:val="17"/>
              </w:rPr>
              <w:t>Support (N)</w:t>
            </w:r>
          </w:p>
        </w:tc>
        <w:tc>
          <w:tcPr>
            <w:tcW w:type="dxa" w:w="3888"/>
            <w:shd w:fill="1A365D"/>
            <w:tcMar>
              <w:top w:w="140" w:type="dxa"/>
              <w:bottom w:w="140" w:type="dxa"/>
              <w:left w:w="150" w:type="dxa"/>
              <w:right w:w="150" w:type="dxa"/>
            </w:tcMar>
          </w:tcPr>
          <w:p>
            <w:pPr>
              <w:jc w:val="center"/>
            </w:pPr>
            <w:r>
              <w:rPr>
                <w:rFonts w:ascii="Calibri" w:hAnsi="Calibri"/>
                <w:b/>
                <w:color w:val="FFFFFF"/>
                <w:sz w:val="17"/>
              </w:rPr>
              <w:t>Segment Diagnostic Assessment</w:t>
            </w:r>
          </w:p>
        </w:tc>
      </w:tr>
      <w:tr>
        <w:tc>
          <w:tcPr>
            <w:tcW w:type="dxa" w:w="2160"/>
            <w:shd w:fill="F7FAFC"/>
            <w:tcMar>
              <w:top w:w="100" w:type="dxa"/>
              <w:bottom w:w="100" w:type="dxa"/>
              <w:left w:w="130" w:type="dxa"/>
              <w:right w:w="130" w:type="dxa"/>
            </w:tcMar>
            <w:vAlign w:val="center"/>
          </w:tcPr>
          <w:p>
            <w:r>
              <w:rPr>
                <w:rFonts w:ascii="Calibri" w:hAnsi="Calibri"/>
                <w:color w:val="2D3748"/>
                <w:sz w:val="17"/>
              </w:rPr>
              <w:t>Segment A (Affluent VIP)</w:t>
            </w:r>
          </w:p>
        </w:tc>
        <w:tc>
          <w:tcPr>
            <w:tcW w:type="dxa" w:w="1008"/>
            <w:shd w:fill="F7FAFC"/>
            <w:tcMar>
              <w:top w:w="100" w:type="dxa"/>
              <w:bottom w:w="100" w:type="dxa"/>
              <w:left w:w="130" w:type="dxa"/>
              <w:right w:w="130" w:type="dxa"/>
            </w:tcMar>
            <w:vAlign w:val="center"/>
          </w:tcPr>
          <w:p>
            <w:r>
              <w:rPr>
                <w:rFonts w:ascii="Calibri" w:hAnsi="Calibri"/>
                <w:color w:val="2D3748"/>
                <w:sz w:val="17"/>
              </w:rPr>
              <w:t>0.9924</w:t>
            </w:r>
          </w:p>
        </w:tc>
        <w:tc>
          <w:tcPr>
            <w:tcW w:type="dxa" w:w="1008"/>
            <w:shd w:fill="F7FAFC"/>
            <w:tcMar>
              <w:top w:w="100" w:type="dxa"/>
              <w:bottom w:w="100" w:type="dxa"/>
              <w:left w:w="130" w:type="dxa"/>
              <w:right w:w="130" w:type="dxa"/>
            </w:tcMar>
            <w:vAlign w:val="center"/>
          </w:tcPr>
          <w:p>
            <w:r>
              <w:rPr>
                <w:rFonts w:ascii="Calibri" w:hAnsi="Calibri"/>
                <w:color w:val="2D3748"/>
                <w:sz w:val="17"/>
              </w:rPr>
              <w:t>1.0000</w:t>
            </w:r>
          </w:p>
        </w:tc>
        <w:tc>
          <w:tcPr>
            <w:tcW w:type="dxa" w:w="1008"/>
            <w:shd w:fill="F7FAFC"/>
            <w:tcMar>
              <w:top w:w="100" w:type="dxa"/>
              <w:bottom w:w="100" w:type="dxa"/>
              <w:left w:w="130" w:type="dxa"/>
              <w:right w:w="130" w:type="dxa"/>
            </w:tcMar>
            <w:vAlign w:val="center"/>
          </w:tcPr>
          <w:p>
            <w:r>
              <w:rPr>
                <w:rFonts w:ascii="Calibri" w:hAnsi="Calibri"/>
                <w:color w:val="2D3748"/>
                <w:sz w:val="17"/>
              </w:rPr>
              <w:t>0.9962</w:t>
            </w:r>
          </w:p>
        </w:tc>
        <w:tc>
          <w:tcPr>
            <w:tcW w:type="dxa" w:w="1008"/>
            <w:shd w:fill="F7FAFC"/>
            <w:tcMar>
              <w:top w:w="100" w:type="dxa"/>
              <w:bottom w:w="100" w:type="dxa"/>
              <w:left w:w="130" w:type="dxa"/>
              <w:right w:w="130" w:type="dxa"/>
            </w:tcMar>
            <w:vAlign w:val="center"/>
          </w:tcPr>
          <w:p>
            <w:r>
              <w:rPr>
                <w:rFonts w:ascii="Calibri" w:hAnsi="Calibri"/>
                <w:color w:val="2D3748"/>
                <w:sz w:val="17"/>
              </w:rPr>
              <w:t>257</w:t>
            </w:r>
          </w:p>
        </w:tc>
        <w:tc>
          <w:tcPr>
            <w:tcW w:type="dxa" w:w="3888"/>
            <w:shd w:fill="F7FAFC"/>
            <w:tcMar>
              <w:top w:w="100" w:type="dxa"/>
              <w:bottom w:w="100" w:type="dxa"/>
              <w:left w:w="130" w:type="dxa"/>
              <w:right w:w="130" w:type="dxa"/>
            </w:tcMar>
            <w:vAlign w:val="center"/>
          </w:tcPr>
          <w:p>
            <w:r>
              <w:rPr>
                <w:rFonts w:ascii="Calibri" w:hAnsi="Calibri"/>
                <w:color w:val="2D3748"/>
                <w:sz w:val="17"/>
              </w:rPr>
              <w:t>Perfect recall (100.0%); zero high-value VIP customers lost</w:t>
            </w:r>
          </w:p>
        </w:tc>
      </w:tr>
      <w:tr>
        <w:tc>
          <w:tcPr>
            <w:tcW w:type="dxa" w:w="2160"/>
            <w:shd w:fill="FFFFFF"/>
            <w:tcMar>
              <w:top w:w="100" w:type="dxa"/>
              <w:bottom w:w="100" w:type="dxa"/>
              <w:left w:w="130" w:type="dxa"/>
              <w:right w:w="130" w:type="dxa"/>
            </w:tcMar>
            <w:vAlign w:val="center"/>
          </w:tcPr>
          <w:p>
            <w:r>
              <w:rPr>
                <w:rFonts w:ascii="Calibri" w:hAnsi="Calibri"/>
                <w:color w:val="2D3748"/>
                <w:sz w:val="17"/>
              </w:rPr>
              <w:t>Segment B (Upward Mobile)</w:t>
            </w:r>
          </w:p>
        </w:tc>
        <w:tc>
          <w:tcPr>
            <w:tcW w:type="dxa" w:w="1008"/>
            <w:shd w:fill="FFFFFF"/>
            <w:tcMar>
              <w:top w:w="100" w:type="dxa"/>
              <w:bottom w:w="100" w:type="dxa"/>
              <w:left w:w="130" w:type="dxa"/>
              <w:right w:w="130" w:type="dxa"/>
            </w:tcMar>
            <w:vAlign w:val="center"/>
          </w:tcPr>
          <w:p>
            <w:r>
              <w:rPr>
                <w:rFonts w:ascii="Calibri" w:hAnsi="Calibri"/>
                <w:color w:val="2D3748"/>
                <w:sz w:val="17"/>
              </w:rPr>
              <w:t>1.0000</w:t>
            </w:r>
          </w:p>
        </w:tc>
        <w:tc>
          <w:tcPr>
            <w:tcW w:type="dxa" w:w="1008"/>
            <w:shd w:fill="FFFFFF"/>
            <w:tcMar>
              <w:top w:w="100" w:type="dxa"/>
              <w:bottom w:w="100" w:type="dxa"/>
              <w:left w:w="130" w:type="dxa"/>
              <w:right w:w="130" w:type="dxa"/>
            </w:tcMar>
            <w:vAlign w:val="center"/>
          </w:tcPr>
          <w:p>
            <w:r>
              <w:rPr>
                <w:rFonts w:ascii="Calibri" w:hAnsi="Calibri"/>
                <w:color w:val="2D3748"/>
                <w:sz w:val="17"/>
              </w:rPr>
              <w:t>0.9942</w:t>
            </w:r>
          </w:p>
        </w:tc>
        <w:tc>
          <w:tcPr>
            <w:tcW w:type="dxa" w:w="1008"/>
            <w:shd w:fill="FFFFFF"/>
            <w:tcMar>
              <w:top w:w="100" w:type="dxa"/>
              <w:bottom w:w="100" w:type="dxa"/>
              <w:left w:w="130" w:type="dxa"/>
              <w:right w:w="130" w:type="dxa"/>
            </w:tcMar>
            <w:vAlign w:val="center"/>
          </w:tcPr>
          <w:p>
            <w:r>
              <w:rPr>
                <w:rFonts w:ascii="Calibri" w:hAnsi="Calibri"/>
                <w:color w:val="2D3748"/>
                <w:sz w:val="17"/>
              </w:rPr>
              <w:t>0.9971</w:t>
            </w:r>
          </w:p>
        </w:tc>
        <w:tc>
          <w:tcPr>
            <w:tcW w:type="dxa" w:w="1008"/>
            <w:shd w:fill="FFFFFF"/>
            <w:tcMar>
              <w:top w:w="100" w:type="dxa"/>
              <w:bottom w:w="100" w:type="dxa"/>
              <w:left w:w="130" w:type="dxa"/>
              <w:right w:w="130" w:type="dxa"/>
            </w:tcMar>
            <w:vAlign w:val="center"/>
          </w:tcPr>
          <w:p>
            <w:r>
              <w:rPr>
                <w:rFonts w:ascii="Calibri" w:hAnsi="Calibri"/>
                <w:color w:val="2D3748"/>
                <w:sz w:val="17"/>
              </w:rPr>
              <w:t>343</w:t>
            </w:r>
          </w:p>
        </w:tc>
        <w:tc>
          <w:tcPr>
            <w:tcW w:type="dxa" w:w="3888"/>
            <w:shd w:fill="FFFFFF"/>
            <w:tcMar>
              <w:top w:w="100" w:type="dxa"/>
              <w:bottom w:w="100" w:type="dxa"/>
              <w:left w:w="130" w:type="dxa"/>
              <w:right w:w="130" w:type="dxa"/>
            </w:tcMar>
            <w:vAlign w:val="center"/>
          </w:tcPr>
          <w:p>
            <w:r>
              <w:rPr>
                <w:rFonts w:ascii="Calibri" w:hAnsi="Calibri"/>
                <w:color w:val="2D3748"/>
                <w:sz w:val="17"/>
              </w:rPr>
              <w:t>Exceptional precision (100.0%); minor boundary overlap with A</w:t>
            </w:r>
          </w:p>
        </w:tc>
      </w:tr>
      <w:tr>
        <w:tc>
          <w:tcPr>
            <w:tcW w:type="dxa" w:w="2160"/>
            <w:shd w:fill="F7FAFC"/>
            <w:tcMar>
              <w:top w:w="100" w:type="dxa"/>
              <w:bottom w:w="100" w:type="dxa"/>
              <w:left w:w="130" w:type="dxa"/>
              <w:right w:w="130" w:type="dxa"/>
            </w:tcMar>
            <w:vAlign w:val="center"/>
          </w:tcPr>
          <w:p>
            <w:r>
              <w:rPr>
                <w:rFonts w:ascii="Calibri" w:hAnsi="Calibri"/>
                <w:color w:val="2D3748"/>
                <w:sz w:val="17"/>
              </w:rPr>
              <w:t>Segment C (Budget Conscious)</w:t>
            </w:r>
          </w:p>
        </w:tc>
        <w:tc>
          <w:tcPr>
            <w:tcW w:type="dxa" w:w="1008"/>
            <w:shd w:fill="F7FAFC"/>
            <w:tcMar>
              <w:top w:w="100" w:type="dxa"/>
              <w:bottom w:w="100" w:type="dxa"/>
              <w:left w:w="130" w:type="dxa"/>
              <w:right w:w="130" w:type="dxa"/>
            </w:tcMar>
            <w:vAlign w:val="center"/>
          </w:tcPr>
          <w:p>
            <w:r>
              <w:rPr>
                <w:rFonts w:ascii="Calibri" w:hAnsi="Calibri"/>
                <w:color w:val="2D3748"/>
                <w:sz w:val="17"/>
              </w:rPr>
              <w:t>1.0000</w:t>
            </w:r>
          </w:p>
        </w:tc>
        <w:tc>
          <w:tcPr>
            <w:tcW w:type="dxa" w:w="1008"/>
            <w:shd w:fill="F7FAFC"/>
            <w:tcMar>
              <w:top w:w="100" w:type="dxa"/>
              <w:bottom w:w="100" w:type="dxa"/>
              <w:left w:w="130" w:type="dxa"/>
              <w:right w:w="130" w:type="dxa"/>
            </w:tcMar>
            <w:vAlign w:val="center"/>
          </w:tcPr>
          <w:p>
            <w:r>
              <w:rPr>
                <w:rFonts w:ascii="Calibri" w:hAnsi="Calibri"/>
                <w:color w:val="2D3748"/>
                <w:sz w:val="17"/>
              </w:rPr>
              <w:t>1.0000</w:t>
            </w:r>
          </w:p>
        </w:tc>
        <w:tc>
          <w:tcPr>
            <w:tcW w:type="dxa" w:w="1008"/>
            <w:shd w:fill="F7FAFC"/>
            <w:tcMar>
              <w:top w:w="100" w:type="dxa"/>
              <w:bottom w:w="100" w:type="dxa"/>
              <w:left w:w="130" w:type="dxa"/>
              <w:right w:w="130" w:type="dxa"/>
            </w:tcMar>
            <w:vAlign w:val="center"/>
          </w:tcPr>
          <w:p>
            <w:r>
              <w:rPr>
                <w:rFonts w:ascii="Calibri" w:hAnsi="Calibri"/>
                <w:color w:val="2D3748"/>
                <w:sz w:val="17"/>
              </w:rPr>
              <w:t>1.0000</w:t>
            </w:r>
          </w:p>
        </w:tc>
        <w:tc>
          <w:tcPr>
            <w:tcW w:type="dxa" w:w="1008"/>
            <w:shd w:fill="F7FAFC"/>
            <w:tcMar>
              <w:top w:w="100" w:type="dxa"/>
              <w:bottom w:w="100" w:type="dxa"/>
              <w:left w:w="130" w:type="dxa"/>
              <w:right w:w="130" w:type="dxa"/>
            </w:tcMar>
            <w:vAlign w:val="center"/>
          </w:tcPr>
          <w:p>
            <w:r>
              <w:rPr>
                <w:rFonts w:ascii="Calibri" w:hAnsi="Calibri"/>
                <w:color w:val="2D3748"/>
                <w:sz w:val="17"/>
              </w:rPr>
              <w:t>254</w:t>
            </w:r>
          </w:p>
        </w:tc>
        <w:tc>
          <w:tcPr>
            <w:tcW w:type="dxa" w:w="3888"/>
            <w:shd w:fill="F7FAFC"/>
            <w:tcMar>
              <w:top w:w="100" w:type="dxa"/>
              <w:bottom w:w="100" w:type="dxa"/>
              <w:left w:w="130" w:type="dxa"/>
              <w:right w:w="130" w:type="dxa"/>
            </w:tcMar>
            <w:vAlign w:val="center"/>
          </w:tcPr>
          <w:p>
            <w:r>
              <w:rPr>
                <w:rFonts w:ascii="Calibri" w:hAnsi="Calibri"/>
                <w:color w:val="2D3748"/>
                <w:sz w:val="17"/>
              </w:rPr>
              <w:t>Flawless classification (1.0000 F1); distinct price sensitivity</w:t>
            </w:r>
          </w:p>
        </w:tc>
      </w:tr>
      <w:tr>
        <w:tc>
          <w:tcPr>
            <w:tcW w:type="dxa" w:w="2160"/>
            <w:shd w:fill="FFFFFF"/>
            <w:tcMar>
              <w:top w:w="100" w:type="dxa"/>
              <w:bottom w:w="100" w:type="dxa"/>
              <w:left w:w="130" w:type="dxa"/>
              <w:right w:w="130" w:type="dxa"/>
            </w:tcMar>
            <w:vAlign w:val="center"/>
          </w:tcPr>
          <w:p>
            <w:r>
              <w:rPr>
                <w:rFonts w:ascii="Calibri" w:hAnsi="Calibri"/>
                <w:color w:val="2D3748"/>
                <w:sz w:val="17"/>
              </w:rPr>
              <w:t>Segment D (At-Risk / Churned)</w:t>
            </w:r>
          </w:p>
        </w:tc>
        <w:tc>
          <w:tcPr>
            <w:tcW w:type="dxa" w:w="1008"/>
            <w:shd w:fill="FFFFFF"/>
            <w:tcMar>
              <w:top w:w="100" w:type="dxa"/>
              <w:bottom w:w="100" w:type="dxa"/>
              <w:left w:w="130" w:type="dxa"/>
              <w:right w:w="130" w:type="dxa"/>
            </w:tcMar>
            <w:vAlign w:val="center"/>
          </w:tcPr>
          <w:p>
            <w:r>
              <w:rPr>
                <w:rFonts w:ascii="Calibri" w:hAnsi="Calibri"/>
                <w:color w:val="2D3748"/>
                <w:sz w:val="17"/>
              </w:rPr>
              <w:t>1.0000</w:t>
            </w:r>
          </w:p>
        </w:tc>
        <w:tc>
          <w:tcPr>
            <w:tcW w:type="dxa" w:w="1008"/>
            <w:shd w:fill="FFFFFF"/>
            <w:tcMar>
              <w:top w:w="100" w:type="dxa"/>
              <w:bottom w:w="100" w:type="dxa"/>
              <w:left w:w="130" w:type="dxa"/>
              <w:right w:w="130" w:type="dxa"/>
            </w:tcMar>
            <w:vAlign w:val="center"/>
          </w:tcPr>
          <w:p>
            <w:r>
              <w:rPr>
                <w:rFonts w:ascii="Calibri" w:hAnsi="Calibri"/>
                <w:color w:val="2D3748"/>
                <w:sz w:val="17"/>
              </w:rPr>
              <w:t>1.0000</w:t>
            </w:r>
          </w:p>
        </w:tc>
        <w:tc>
          <w:tcPr>
            <w:tcW w:type="dxa" w:w="1008"/>
            <w:shd w:fill="FFFFFF"/>
            <w:tcMar>
              <w:top w:w="100" w:type="dxa"/>
              <w:bottom w:w="100" w:type="dxa"/>
              <w:left w:w="130" w:type="dxa"/>
              <w:right w:w="130" w:type="dxa"/>
            </w:tcMar>
            <w:vAlign w:val="center"/>
          </w:tcPr>
          <w:p>
            <w:r>
              <w:rPr>
                <w:rFonts w:ascii="Calibri" w:hAnsi="Calibri"/>
                <w:color w:val="2D3748"/>
                <w:sz w:val="17"/>
              </w:rPr>
              <w:t>1.0000</w:t>
            </w:r>
          </w:p>
        </w:tc>
        <w:tc>
          <w:tcPr>
            <w:tcW w:type="dxa" w:w="1008"/>
            <w:shd w:fill="FFFFFF"/>
            <w:tcMar>
              <w:top w:w="100" w:type="dxa"/>
              <w:bottom w:w="100" w:type="dxa"/>
              <w:left w:w="130" w:type="dxa"/>
              <w:right w:w="130" w:type="dxa"/>
            </w:tcMar>
            <w:vAlign w:val="center"/>
          </w:tcPr>
          <w:p>
            <w:r>
              <w:rPr>
                <w:rFonts w:ascii="Calibri" w:hAnsi="Calibri"/>
                <w:color w:val="2D3748"/>
                <w:sz w:val="17"/>
              </w:rPr>
              <w:t>146</w:t>
            </w:r>
          </w:p>
        </w:tc>
        <w:tc>
          <w:tcPr>
            <w:tcW w:type="dxa" w:w="3888"/>
            <w:shd w:fill="FFFFFF"/>
            <w:tcMar>
              <w:top w:w="100" w:type="dxa"/>
              <w:bottom w:w="100" w:type="dxa"/>
              <w:left w:w="130" w:type="dxa"/>
              <w:right w:w="130" w:type="dxa"/>
            </w:tcMar>
            <w:vAlign w:val="center"/>
          </w:tcPr>
          <w:p>
            <w:r>
              <w:rPr>
                <w:rFonts w:ascii="Calibri" w:hAnsi="Calibri"/>
                <w:color w:val="2D3748"/>
                <w:sz w:val="17"/>
              </w:rPr>
              <w:t>Minority segment perfectly isolated; zero False Positives</w:t>
            </w:r>
          </w:p>
        </w:tc>
      </w:tr>
      <w:tr>
        <w:tc>
          <w:tcPr>
            <w:tcW w:type="dxa" w:w="2160"/>
            <w:shd w:fill="F7FAFC"/>
            <w:tcMar>
              <w:top w:w="100" w:type="dxa"/>
              <w:bottom w:w="100" w:type="dxa"/>
              <w:left w:w="130" w:type="dxa"/>
              <w:right w:w="130" w:type="dxa"/>
            </w:tcMar>
            <w:vAlign w:val="center"/>
          </w:tcPr>
          <w:p>
            <w:r>
              <w:rPr>
                <w:rFonts w:ascii="Calibri" w:hAnsi="Calibri"/>
                <w:color w:val="2D3748"/>
                <w:sz w:val="17"/>
              </w:rPr>
              <w:t>Macro Average</w:t>
            </w:r>
          </w:p>
        </w:tc>
        <w:tc>
          <w:tcPr>
            <w:tcW w:type="dxa" w:w="1008"/>
            <w:shd w:fill="F7FAFC"/>
            <w:tcMar>
              <w:top w:w="100" w:type="dxa"/>
              <w:bottom w:w="100" w:type="dxa"/>
              <w:left w:w="130" w:type="dxa"/>
              <w:right w:w="130" w:type="dxa"/>
            </w:tcMar>
            <w:vAlign w:val="center"/>
          </w:tcPr>
          <w:p>
            <w:r>
              <w:rPr>
                <w:rFonts w:ascii="Calibri" w:hAnsi="Calibri"/>
                <w:color w:val="2D3748"/>
                <w:sz w:val="17"/>
              </w:rPr>
              <w:t>0.9981</w:t>
            </w:r>
          </w:p>
        </w:tc>
        <w:tc>
          <w:tcPr>
            <w:tcW w:type="dxa" w:w="1008"/>
            <w:shd w:fill="F7FAFC"/>
            <w:tcMar>
              <w:top w:w="100" w:type="dxa"/>
              <w:bottom w:w="100" w:type="dxa"/>
              <w:left w:w="130" w:type="dxa"/>
              <w:right w:w="130" w:type="dxa"/>
            </w:tcMar>
            <w:vAlign w:val="center"/>
          </w:tcPr>
          <w:p>
            <w:r>
              <w:rPr>
                <w:rFonts w:ascii="Calibri" w:hAnsi="Calibri"/>
                <w:color w:val="2D3748"/>
                <w:sz w:val="17"/>
              </w:rPr>
              <w:t>0.9985</w:t>
            </w:r>
          </w:p>
        </w:tc>
        <w:tc>
          <w:tcPr>
            <w:tcW w:type="dxa" w:w="1008"/>
            <w:shd w:fill="F7FAFC"/>
            <w:tcMar>
              <w:top w:w="100" w:type="dxa"/>
              <w:bottom w:w="100" w:type="dxa"/>
              <w:left w:w="130" w:type="dxa"/>
              <w:right w:w="130" w:type="dxa"/>
            </w:tcMar>
            <w:vAlign w:val="center"/>
          </w:tcPr>
          <w:p>
            <w:r>
              <w:rPr>
                <w:rFonts w:ascii="Calibri" w:hAnsi="Calibri"/>
                <w:color w:val="2D3748"/>
                <w:sz w:val="17"/>
              </w:rPr>
              <w:t>0.9983</w:t>
            </w:r>
          </w:p>
        </w:tc>
        <w:tc>
          <w:tcPr>
            <w:tcW w:type="dxa" w:w="1008"/>
            <w:shd w:fill="F7FAFC"/>
            <w:tcMar>
              <w:top w:w="100" w:type="dxa"/>
              <w:bottom w:w="100" w:type="dxa"/>
              <w:left w:w="130" w:type="dxa"/>
              <w:right w:w="130" w:type="dxa"/>
            </w:tcMar>
            <w:vAlign w:val="center"/>
          </w:tcPr>
          <w:p>
            <w:r>
              <w:rPr>
                <w:rFonts w:ascii="Calibri" w:hAnsi="Calibri"/>
                <w:color w:val="2D3748"/>
                <w:sz w:val="17"/>
              </w:rPr>
              <w:t>1,000</w:t>
            </w:r>
          </w:p>
        </w:tc>
        <w:tc>
          <w:tcPr>
            <w:tcW w:type="dxa" w:w="3888"/>
            <w:shd w:fill="F7FAFC"/>
            <w:tcMar>
              <w:top w:w="100" w:type="dxa"/>
              <w:bottom w:w="100" w:type="dxa"/>
              <w:left w:w="130" w:type="dxa"/>
              <w:right w:w="130" w:type="dxa"/>
            </w:tcMar>
            <w:vAlign w:val="center"/>
          </w:tcPr>
          <w:p>
            <w:r>
              <w:rPr>
                <w:rFonts w:ascii="Calibri" w:hAnsi="Calibri"/>
                <w:color w:val="2D3748"/>
                <w:sz w:val="17"/>
              </w:rPr>
              <w:t>Equal weighting across all 4 customer cohorts</w:t>
            </w:r>
          </w:p>
        </w:tc>
      </w:tr>
      <w:tr>
        <w:tc>
          <w:tcPr>
            <w:tcW w:type="dxa" w:w="2160"/>
            <w:shd w:fill="FFFFFF"/>
            <w:tcMar>
              <w:top w:w="100" w:type="dxa"/>
              <w:bottom w:w="100" w:type="dxa"/>
              <w:left w:w="130" w:type="dxa"/>
              <w:right w:w="130" w:type="dxa"/>
            </w:tcMar>
            <w:vAlign w:val="center"/>
          </w:tcPr>
          <w:p>
            <w:r>
              <w:rPr>
                <w:rFonts w:ascii="Calibri" w:hAnsi="Calibri"/>
                <w:color w:val="2D3748"/>
                <w:sz w:val="17"/>
              </w:rPr>
              <w:t>Weighted Average</w:t>
            </w:r>
          </w:p>
        </w:tc>
        <w:tc>
          <w:tcPr>
            <w:tcW w:type="dxa" w:w="1008"/>
            <w:shd w:fill="FFFFFF"/>
            <w:tcMar>
              <w:top w:w="100" w:type="dxa"/>
              <w:bottom w:w="100" w:type="dxa"/>
              <w:left w:w="130" w:type="dxa"/>
              <w:right w:w="130" w:type="dxa"/>
            </w:tcMar>
            <w:vAlign w:val="center"/>
          </w:tcPr>
          <w:p>
            <w:r>
              <w:rPr>
                <w:rFonts w:ascii="Calibri" w:hAnsi="Calibri"/>
                <w:color w:val="2D3748"/>
                <w:sz w:val="17"/>
              </w:rPr>
              <w:t>0.9980</w:t>
            </w:r>
          </w:p>
        </w:tc>
        <w:tc>
          <w:tcPr>
            <w:tcW w:type="dxa" w:w="1008"/>
            <w:shd w:fill="FFFFFF"/>
            <w:tcMar>
              <w:top w:w="100" w:type="dxa"/>
              <w:bottom w:w="100" w:type="dxa"/>
              <w:left w:w="130" w:type="dxa"/>
              <w:right w:w="130" w:type="dxa"/>
            </w:tcMar>
            <w:vAlign w:val="center"/>
          </w:tcPr>
          <w:p>
            <w:r>
              <w:rPr>
                <w:rFonts w:ascii="Calibri" w:hAnsi="Calibri"/>
                <w:color w:val="2D3748"/>
                <w:sz w:val="17"/>
              </w:rPr>
              <w:t>0.9980</w:t>
            </w:r>
          </w:p>
        </w:tc>
        <w:tc>
          <w:tcPr>
            <w:tcW w:type="dxa" w:w="1008"/>
            <w:shd w:fill="FFFFFF"/>
            <w:tcMar>
              <w:top w:w="100" w:type="dxa"/>
              <w:bottom w:w="100" w:type="dxa"/>
              <w:left w:w="130" w:type="dxa"/>
              <w:right w:w="130" w:type="dxa"/>
            </w:tcMar>
            <w:vAlign w:val="center"/>
          </w:tcPr>
          <w:p>
            <w:r>
              <w:rPr>
                <w:rFonts w:ascii="Calibri" w:hAnsi="Calibri"/>
                <w:color w:val="2D3748"/>
                <w:sz w:val="17"/>
              </w:rPr>
              <w:t>0.9980</w:t>
            </w:r>
          </w:p>
        </w:tc>
        <w:tc>
          <w:tcPr>
            <w:tcW w:type="dxa" w:w="1008"/>
            <w:shd w:fill="FFFFFF"/>
            <w:tcMar>
              <w:top w:w="100" w:type="dxa"/>
              <w:bottom w:w="100" w:type="dxa"/>
              <w:left w:w="130" w:type="dxa"/>
              <w:right w:w="130" w:type="dxa"/>
            </w:tcMar>
            <w:vAlign w:val="center"/>
          </w:tcPr>
          <w:p>
            <w:r>
              <w:rPr>
                <w:rFonts w:ascii="Calibri" w:hAnsi="Calibri"/>
                <w:color w:val="2D3748"/>
                <w:sz w:val="17"/>
              </w:rPr>
              <w:t>1,000</w:t>
            </w:r>
          </w:p>
        </w:tc>
        <w:tc>
          <w:tcPr>
            <w:tcW w:type="dxa" w:w="3888"/>
            <w:shd w:fill="FFFFFF"/>
            <w:tcMar>
              <w:top w:w="100" w:type="dxa"/>
              <w:bottom w:w="100" w:type="dxa"/>
              <w:left w:w="130" w:type="dxa"/>
              <w:right w:w="130" w:type="dxa"/>
            </w:tcMar>
            <w:vAlign w:val="center"/>
          </w:tcPr>
          <w:p>
            <w:r>
              <w:rPr>
                <w:rFonts w:ascii="Calibri" w:hAnsi="Calibri"/>
                <w:color w:val="2D3748"/>
                <w:sz w:val="17"/>
              </w:rPr>
              <w:t>Support-weighted aggregate customer classification score</w:t>
            </w:r>
          </w:p>
        </w:tc>
      </w:tr>
    </w:tbl>
    <w:p/>
    <w:p>
      <w:r>
        <w:rPr>
          <w:b/>
        </w:rPr>
        <w:t>Figure 7. Raw Count and Row-Normalized Percentage Confusion Matrices</w:t>
      </w:r>
    </w:p>
    <w:p>
      <w:r>
        <w:drawing>
          <wp:inline xmlns:a="http://schemas.openxmlformats.org/drawingml/2006/main" xmlns:pic="http://schemas.openxmlformats.org/drawingml/2006/picture">
            <wp:extent cx="5943600" cy="2334986"/>
            <wp:docPr id="7" name="Picture 7"/>
            <wp:cNvGraphicFramePr>
              <a:graphicFrameLocks noChangeAspect="1"/>
            </wp:cNvGraphicFramePr>
            <a:graphic>
              <a:graphicData uri="http://schemas.openxmlformats.org/drawingml/2006/picture">
                <pic:pic>
                  <pic:nvPicPr>
                    <pic:cNvPr id="0" name="confusion_matrices.png"/>
                    <pic:cNvPicPr/>
                  </pic:nvPicPr>
                  <pic:blipFill>
                    <a:blip r:embed="rId17"/>
                    <a:stretch>
                      <a:fillRect/>
                    </a:stretch>
                  </pic:blipFill>
                  <pic:spPr>
                    <a:xfrm>
                      <a:off x="0" y="0"/>
                      <a:ext cx="5943600" cy="2334986"/>
                    </a:xfrm>
                    <a:prstGeom prst="rect"/>
                  </pic:spPr>
                </pic:pic>
              </a:graphicData>
            </a:graphic>
          </wp:inline>
        </w:drawing>
      </w:r>
    </w:p>
    <w:p/>
    <w:p>
      <w:r>
        <w:rPr>
          <w:b/>
        </w:rPr>
        <w:t>Figure 8. Per-Class Precision, Recall, and F1-Score Breakdown</w:t>
      </w:r>
    </w:p>
    <w:p>
      <w:r>
        <w:drawing>
          <wp:inline xmlns:a="http://schemas.openxmlformats.org/drawingml/2006/main" xmlns:pic="http://schemas.openxmlformats.org/drawingml/2006/picture">
            <wp:extent cx="5943600" cy="3302000"/>
            <wp:docPr id="8" name="Picture 8"/>
            <wp:cNvGraphicFramePr>
              <a:graphicFrameLocks noChangeAspect="1"/>
            </wp:cNvGraphicFramePr>
            <a:graphic>
              <a:graphicData uri="http://schemas.openxmlformats.org/drawingml/2006/picture">
                <pic:pic>
                  <pic:nvPicPr>
                    <pic:cNvPr id="0" name="per_class_metrics.png"/>
                    <pic:cNvPicPr/>
                  </pic:nvPicPr>
                  <pic:blipFill>
                    <a:blip r:embed="rId18"/>
                    <a:stretch>
                      <a:fillRect/>
                    </a:stretch>
                  </pic:blipFill>
                  <pic:spPr>
                    <a:xfrm>
                      <a:off x="0" y="0"/>
                      <a:ext cx="5943600" cy="3302000"/>
                    </a:xfrm>
                    <a:prstGeom prst="rect"/>
                  </pic:spPr>
                </pic:pic>
              </a:graphicData>
            </a:graphic>
          </wp:inline>
        </w:drawing>
      </w:r>
    </w:p>
    <w:p/>
    <w:p>
      <w:pPr>
        <w:pStyle w:val="Heading1"/>
      </w:pPr>
      <w:r>
        <w:rPr>
          <w:color w:val="1A365D"/>
          <w:sz w:val="26"/>
        </w:rPr>
        <w:t>7. Posterior Probability Calibration &amp; Selective Review Policy</w:t>
      </w:r>
    </w:p>
    <w:p>
      <w:pPr>
        <w:spacing w:line="276" w:lineRule="auto"/>
      </w:pPr>
      <w:r>
        <w:t>In practical decision-support deployments, model probability cannot be equated with absolute real-world certainty. Naive Bayes posterior probabilities can exhibit overconfidence when feature correlations exist. Rather than executing fully autonomous marketing actions, we establish an out-of-fold validation-selected tri-level selective review policy based on the maximum posterior probability P(Ĉk | x) to govern human-in-the-loop escalation.</w:t>
      </w:r>
    </w:p>
    <w:p>
      <w:r>
        <w:rPr>
          <w:b/>
          <w:color w:val="2B6CB0"/>
        </w:rPr>
        <w:t>Table E2.2. Validation Coverage–Error Trade-Off Across Decision Thresholds</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016"/>
        <w:gridCol w:w="2016"/>
        <w:gridCol w:w="2016"/>
        <w:gridCol w:w="2016"/>
        <w:gridCol w:w="2016"/>
      </w:tblGrid>
      <w:tr>
        <w:tc>
          <w:tcPr>
            <w:tcW w:type="dxa" w:w="1872"/>
            <w:shd w:fill="1A365D"/>
            <w:tcMar>
              <w:top w:w="140" w:type="dxa"/>
              <w:bottom w:w="140" w:type="dxa"/>
              <w:left w:w="150" w:type="dxa"/>
              <w:right w:w="150" w:type="dxa"/>
            </w:tcMar>
          </w:tcPr>
          <w:p>
            <w:pPr>
              <w:jc w:val="center"/>
            </w:pPr>
            <w:r>
              <w:rPr>
                <w:rFonts w:ascii="Calibri" w:hAnsi="Calibri"/>
                <w:b/>
                <w:color w:val="FFFFFF"/>
                <w:sz w:val="17"/>
              </w:rPr>
              <w:t>Posterior Threshold (τ)</w:t>
            </w:r>
          </w:p>
        </w:tc>
        <w:tc>
          <w:tcPr>
            <w:tcW w:type="dxa" w:w="1440"/>
            <w:shd w:fill="1A365D"/>
            <w:tcMar>
              <w:top w:w="140" w:type="dxa"/>
              <w:bottom w:w="140" w:type="dxa"/>
              <w:left w:w="150" w:type="dxa"/>
              <w:right w:w="150" w:type="dxa"/>
            </w:tcMar>
          </w:tcPr>
          <w:p>
            <w:pPr>
              <w:jc w:val="center"/>
            </w:pPr>
            <w:r>
              <w:rPr>
                <w:rFonts w:ascii="Calibri" w:hAnsi="Calibri"/>
                <w:b/>
                <w:color w:val="FFFFFF"/>
                <w:sz w:val="17"/>
              </w:rPr>
              <w:t>Coverage Rate (%)</w:t>
            </w:r>
          </w:p>
        </w:tc>
        <w:tc>
          <w:tcPr>
            <w:tcW w:type="dxa" w:w="1440"/>
            <w:shd w:fill="1A365D"/>
            <w:tcMar>
              <w:top w:w="140" w:type="dxa"/>
              <w:bottom w:w="140" w:type="dxa"/>
              <w:left w:w="150" w:type="dxa"/>
              <w:right w:w="150" w:type="dxa"/>
            </w:tcMar>
          </w:tcPr>
          <w:p>
            <w:pPr>
              <w:jc w:val="center"/>
            </w:pPr>
            <w:r>
              <w:rPr>
                <w:rFonts w:ascii="Calibri" w:hAnsi="Calibri"/>
                <w:b/>
                <w:color w:val="FFFFFF"/>
                <w:sz w:val="17"/>
              </w:rPr>
              <w:t>Selective Error (%)</w:t>
            </w:r>
          </w:p>
        </w:tc>
        <w:tc>
          <w:tcPr>
            <w:tcW w:type="dxa" w:w="1440"/>
            <w:shd w:fill="1A365D"/>
            <w:tcMar>
              <w:top w:w="140" w:type="dxa"/>
              <w:bottom w:w="140" w:type="dxa"/>
              <w:left w:w="150" w:type="dxa"/>
              <w:right w:w="150" w:type="dxa"/>
            </w:tcMar>
          </w:tcPr>
          <w:p>
            <w:pPr>
              <w:jc w:val="center"/>
            </w:pPr>
            <w:r>
              <w:rPr>
                <w:rFonts w:ascii="Calibri" w:hAnsi="Calibri"/>
                <w:b/>
                <w:color w:val="FFFFFF"/>
                <w:sz w:val="17"/>
              </w:rPr>
              <w:t>Review Rate (%)</w:t>
            </w:r>
          </w:p>
        </w:tc>
        <w:tc>
          <w:tcPr>
            <w:tcW w:type="dxa" w:w="3888"/>
            <w:shd w:fill="1A365D"/>
            <w:tcMar>
              <w:top w:w="140" w:type="dxa"/>
              <w:bottom w:w="140" w:type="dxa"/>
              <w:left w:w="150" w:type="dxa"/>
              <w:right w:w="150" w:type="dxa"/>
            </w:tcMar>
          </w:tcPr>
          <w:p>
            <w:pPr>
              <w:jc w:val="center"/>
            </w:pPr>
            <w:r>
              <w:rPr>
                <w:rFonts w:ascii="Calibri" w:hAnsi="Calibri"/>
                <w:b/>
                <w:color w:val="FFFFFF"/>
                <w:sz w:val="17"/>
              </w:rPr>
              <w:t>Operational Business Interpretation</w:t>
            </w:r>
          </w:p>
        </w:tc>
      </w:tr>
      <w:tr>
        <w:tc>
          <w:tcPr>
            <w:tcW w:type="dxa" w:w="1872"/>
            <w:shd w:fill="F7FAFC"/>
            <w:tcMar>
              <w:top w:w="100" w:type="dxa"/>
              <w:bottom w:w="100" w:type="dxa"/>
              <w:left w:w="130" w:type="dxa"/>
              <w:right w:w="130" w:type="dxa"/>
            </w:tcMar>
            <w:vAlign w:val="center"/>
          </w:tcPr>
          <w:p>
            <w:r>
              <w:rPr>
                <w:rFonts w:ascii="Calibri" w:hAnsi="Calibri"/>
                <w:color w:val="2D3748"/>
                <w:sz w:val="17"/>
              </w:rPr>
              <w:t>τ &gt;= 0.35</w:t>
            </w:r>
          </w:p>
        </w:tc>
        <w:tc>
          <w:tcPr>
            <w:tcW w:type="dxa" w:w="1440"/>
            <w:shd w:fill="F7FAFC"/>
            <w:tcMar>
              <w:top w:w="100" w:type="dxa"/>
              <w:bottom w:w="100" w:type="dxa"/>
              <w:left w:w="130" w:type="dxa"/>
              <w:right w:w="130" w:type="dxa"/>
            </w:tcMar>
            <w:vAlign w:val="center"/>
          </w:tcPr>
          <w:p>
            <w:r>
              <w:rPr>
                <w:rFonts w:ascii="Calibri" w:hAnsi="Calibri"/>
                <w:color w:val="2D3748"/>
                <w:sz w:val="17"/>
              </w:rPr>
              <w:t>100.00%</w:t>
            </w:r>
          </w:p>
        </w:tc>
        <w:tc>
          <w:tcPr>
            <w:tcW w:type="dxa" w:w="1440"/>
            <w:shd w:fill="F7FAFC"/>
            <w:tcMar>
              <w:top w:w="100" w:type="dxa"/>
              <w:bottom w:w="100" w:type="dxa"/>
              <w:left w:w="130" w:type="dxa"/>
              <w:right w:w="130" w:type="dxa"/>
            </w:tcMar>
            <w:vAlign w:val="center"/>
          </w:tcPr>
          <w:p>
            <w:r>
              <w:rPr>
                <w:rFonts w:ascii="Calibri" w:hAnsi="Calibri"/>
                <w:color w:val="2D3748"/>
                <w:sz w:val="17"/>
              </w:rPr>
              <w:t>0.20%</w:t>
            </w:r>
          </w:p>
        </w:tc>
        <w:tc>
          <w:tcPr>
            <w:tcW w:type="dxa" w:w="1440"/>
            <w:shd w:fill="F7FAFC"/>
            <w:tcMar>
              <w:top w:w="100" w:type="dxa"/>
              <w:bottom w:w="100" w:type="dxa"/>
              <w:left w:w="130" w:type="dxa"/>
              <w:right w:w="130" w:type="dxa"/>
            </w:tcMar>
            <w:vAlign w:val="center"/>
          </w:tcPr>
          <w:p>
            <w:r>
              <w:rPr>
                <w:rFonts w:ascii="Calibri" w:hAnsi="Calibri"/>
                <w:color w:val="2D3748"/>
                <w:sz w:val="17"/>
              </w:rPr>
              <w:t>0.00%</w:t>
            </w:r>
          </w:p>
        </w:tc>
        <w:tc>
          <w:tcPr>
            <w:tcW w:type="dxa" w:w="3888"/>
            <w:shd w:fill="F7FAFC"/>
            <w:tcMar>
              <w:top w:w="100" w:type="dxa"/>
              <w:bottom w:w="100" w:type="dxa"/>
              <w:left w:w="130" w:type="dxa"/>
              <w:right w:w="130" w:type="dxa"/>
            </w:tcMar>
            <w:vAlign w:val="center"/>
          </w:tcPr>
          <w:p>
            <w:r>
              <w:rPr>
                <w:rFonts w:ascii="Calibri" w:hAnsi="Calibri"/>
                <w:color w:val="2D3748"/>
                <w:sz w:val="17"/>
              </w:rPr>
              <w:t>Full automation; accepts all predictions with baseline 0.20% error rate</w:t>
            </w:r>
          </w:p>
        </w:tc>
      </w:tr>
      <w:tr>
        <w:tc>
          <w:tcPr>
            <w:tcW w:type="dxa" w:w="1872"/>
            <w:shd w:fill="FFFFFF"/>
            <w:tcMar>
              <w:top w:w="100" w:type="dxa"/>
              <w:bottom w:w="100" w:type="dxa"/>
              <w:left w:w="130" w:type="dxa"/>
              <w:right w:w="130" w:type="dxa"/>
            </w:tcMar>
            <w:vAlign w:val="center"/>
          </w:tcPr>
          <w:p>
            <w:r>
              <w:rPr>
                <w:rFonts w:ascii="Calibri" w:hAnsi="Calibri"/>
                <w:color w:val="2D3748"/>
                <w:sz w:val="17"/>
              </w:rPr>
              <w:t>τ &gt;= 0.50 (Moderate)</w:t>
            </w:r>
          </w:p>
        </w:tc>
        <w:tc>
          <w:tcPr>
            <w:tcW w:type="dxa" w:w="1440"/>
            <w:shd w:fill="FFFFFF"/>
            <w:tcMar>
              <w:top w:w="100" w:type="dxa"/>
              <w:bottom w:w="100" w:type="dxa"/>
              <w:left w:w="130" w:type="dxa"/>
              <w:right w:w="130" w:type="dxa"/>
            </w:tcMar>
            <w:vAlign w:val="center"/>
          </w:tcPr>
          <w:p>
            <w:r>
              <w:rPr>
                <w:rFonts w:ascii="Calibri" w:hAnsi="Calibri"/>
                <w:color w:val="2D3748"/>
                <w:sz w:val="17"/>
              </w:rPr>
              <w:t>99.60%</w:t>
            </w:r>
          </w:p>
        </w:tc>
        <w:tc>
          <w:tcPr>
            <w:tcW w:type="dxa" w:w="1440"/>
            <w:shd w:fill="FFFFFF"/>
            <w:tcMar>
              <w:top w:w="100" w:type="dxa"/>
              <w:bottom w:w="100" w:type="dxa"/>
              <w:left w:w="130" w:type="dxa"/>
              <w:right w:w="130" w:type="dxa"/>
            </w:tcMar>
            <w:vAlign w:val="center"/>
          </w:tcPr>
          <w:p>
            <w:r>
              <w:rPr>
                <w:rFonts w:ascii="Calibri" w:hAnsi="Calibri"/>
                <w:color w:val="2D3748"/>
                <w:sz w:val="17"/>
              </w:rPr>
              <w:t>0.10%</w:t>
            </w:r>
          </w:p>
        </w:tc>
        <w:tc>
          <w:tcPr>
            <w:tcW w:type="dxa" w:w="1440"/>
            <w:shd w:fill="FFFFFF"/>
            <w:tcMar>
              <w:top w:w="100" w:type="dxa"/>
              <w:bottom w:w="100" w:type="dxa"/>
              <w:left w:w="130" w:type="dxa"/>
              <w:right w:w="130" w:type="dxa"/>
            </w:tcMar>
            <w:vAlign w:val="center"/>
          </w:tcPr>
          <w:p>
            <w:r>
              <w:rPr>
                <w:rFonts w:ascii="Calibri" w:hAnsi="Calibri"/>
                <w:color w:val="2D3748"/>
                <w:sz w:val="17"/>
              </w:rPr>
              <w:t>0.40%</w:t>
            </w:r>
          </w:p>
        </w:tc>
        <w:tc>
          <w:tcPr>
            <w:tcW w:type="dxa" w:w="3888"/>
            <w:shd w:fill="FFFFFF"/>
            <w:tcMar>
              <w:top w:w="100" w:type="dxa"/>
              <w:bottom w:w="100" w:type="dxa"/>
              <w:left w:w="130" w:type="dxa"/>
              <w:right w:w="130" w:type="dxa"/>
            </w:tcMar>
            <w:vAlign w:val="center"/>
          </w:tcPr>
          <w:p>
            <w:r>
              <w:rPr>
                <w:rFonts w:ascii="Calibri" w:hAnsi="Calibri"/>
                <w:color w:val="2D3748"/>
                <w:sz w:val="17"/>
              </w:rPr>
              <w:t>High throughput; flags borderline cases for secondary marketing review</w:t>
            </w:r>
          </w:p>
        </w:tc>
      </w:tr>
      <w:tr>
        <w:tc>
          <w:tcPr>
            <w:tcW w:type="dxa" w:w="1872"/>
            <w:shd w:fill="F7FAFC"/>
            <w:tcMar>
              <w:top w:w="100" w:type="dxa"/>
              <w:bottom w:w="100" w:type="dxa"/>
              <w:left w:w="130" w:type="dxa"/>
              <w:right w:w="130" w:type="dxa"/>
            </w:tcMar>
            <w:vAlign w:val="center"/>
          </w:tcPr>
          <w:p>
            <w:r>
              <w:rPr>
                <w:rFonts w:ascii="Calibri" w:hAnsi="Calibri"/>
                <w:color w:val="2D3748"/>
                <w:sz w:val="17"/>
              </w:rPr>
              <w:t>τ &gt;= 0.75 (High)</w:t>
            </w:r>
          </w:p>
        </w:tc>
        <w:tc>
          <w:tcPr>
            <w:tcW w:type="dxa" w:w="1440"/>
            <w:shd w:fill="F7FAFC"/>
            <w:tcMar>
              <w:top w:w="100" w:type="dxa"/>
              <w:bottom w:w="100" w:type="dxa"/>
              <w:left w:w="130" w:type="dxa"/>
              <w:right w:w="130" w:type="dxa"/>
            </w:tcMar>
            <w:vAlign w:val="center"/>
          </w:tcPr>
          <w:p>
            <w:r>
              <w:rPr>
                <w:rFonts w:ascii="Calibri" w:hAnsi="Calibri"/>
                <w:color w:val="2D3748"/>
                <w:sz w:val="17"/>
              </w:rPr>
              <w:t>97.80%</w:t>
            </w:r>
          </w:p>
        </w:tc>
        <w:tc>
          <w:tcPr>
            <w:tcW w:type="dxa" w:w="1440"/>
            <w:shd w:fill="F7FAFC"/>
            <w:tcMar>
              <w:top w:w="100" w:type="dxa"/>
              <w:bottom w:w="100" w:type="dxa"/>
              <w:left w:w="130" w:type="dxa"/>
              <w:right w:w="130" w:type="dxa"/>
            </w:tcMar>
            <w:vAlign w:val="center"/>
          </w:tcPr>
          <w:p>
            <w:r>
              <w:rPr>
                <w:rFonts w:ascii="Calibri" w:hAnsi="Calibri"/>
                <w:color w:val="2D3748"/>
                <w:sz w:val="17"/>
              </w:rPr>
              <w:t>0.00%</w:t>
            </w:r>
          </w:p>
        </w:tc>
        <w:tc>
          <w:tcPr>
            <w:tcW w:type="dxa" w:w="1440"/>
            <w:shd w:fill="F7FAFC"/>
            <w:tcMar>
              <w:top w:w="100" w:type="dxa"/>
              <w:bottom w:w="100" w:type="dxa"/>
              <w:left w:w="130" w:type="dxa"/>
              <w:right w:w="130" w:type="dxa"/>
            </w:tcMar>
            <w:vAlign w:val="center"/>
          </w:tcPr>
          <w:p>
            <w:r>
              <w:rPr>
                <w:rFonts w:ascii="Calibri" w:hAnsi="Calibri"/>
                <w:color w:val="2D3748"/>
                <w:sz w:val="17"/>
              </w:rPr>
              <w:t>2.20%</w:t>
            </w:r>
          </w:p>
        </w:tc>
        <w:tc>
          <w:tcPr>
            <w:tcW w:type="dxa" w:w="3888"/>
            <w:shd w:fill="F7FAFC"/>
            <w:tcMar>
              <w:top w:w="100" w:type="dxa"/>
              <w:bottom w:w="100" w:type="dxa"/>
              <w:left w:w="130" w:type="dxa"/>
              <w:right w:w="130" w:type="dxa"/>
            </w:tcMar>
            <w:vAlign w:val="center"/>
          </w:tcPr>
          <w:p>
            <w:r>
              <w:rPr>
                <w:rFonts w:ascii="Calibri" w:hAnsi="Calibri"/>
                <w:color w:val="2D3748"/>
                <w:sz w:val="17"/>
              </w:rPr>
              <w:t>Zero-error automated zone; routes 2.2% lower-confidence cases to staff</w:t>
            </w:r>
          </w:p>
        </w:tc>
      </w:tr>
      <w:tr>
        <w:tc>
          <w:tcPr>
            <w:tcW w:type="dxa" w:w="1872"/>
            <w:shd w:fill="FFFFFF"/>
            <w:tcMar>
              <w:top w:w="100" w:type="dxa"/>
              <w:bottom w:w="100" w:type="dxa"/>
              <w:left w:w="130" w:type="dxa"/>
              <w:right w:w="130" w:type="dxa"/>
            </w:tcMar>
            <w:vAlign w:val="center"/>
          </w:tcPr>
          <w:p>
            <w:r>
              <w:rPr>
                <w:rFonts w:ascii="Calibri" w:hAnsi="Calibri"/>
                <w:color w:val="2D3748"/>
                <w:sz w:val="17"/>
              </w:rPr>
              <w:t>τ &gt;= 0.90 (Conservative)</w:t>
            </w:r>
          </w:p>
        </w:tc>
        <w:tc>
          <w:tcPr>
            <w:tcW w:type="dxa" w:w="1440"/>
            <w:shd w:fill="FFFFFF"/>
            <w:tcMar>
              <w:top w:w="100" w:type="dxa"/>
              <w:bottom w:w="100" w:type="dxa"/>
              <w:left w:w="130" w:type="dxa"/>
              <w:right w:w="130" w:type="dxa"/>
            </w:tcMar>
            <w:vAlign w:val="center"/>
          </w:tcPr>
          <w:p>
            <w:r>
              <w:rPr>
                <w:rFonts w:ascii="Calibri" w:hAnsi="Calibri"/>
                <w:color w:val="2D3748"/>
                <w:sz w:val="17"/>
              </w:rPr>
              <w:t>91.20%</w:t>
            </w:r>
          </w:p>
        </w:tc>
        <w:tc>
          <w:tcPr>
            <w:tcW w:type="dxa" w:w="1440"/>
            <w:shd w:fill="FFFFFF"/>
            <w:tcMar>
              <w:top w:w="100" w:type="dxa"/>
              <w:bottom w:w="100" w:type="dxa"/>
              <w:left w:w="130" w:type="dxa"/>
              <w:right w:w="130" w:type="dxa"/>
            </w:tcMar>
            <w:vAlign w:val="center"/>
          </w:tcPr>
          <w:p>
            <w:r>
              <w:rPr>
                <w:rFonts w:ascii="Calibri" w:hAnsi="Calibri"/>
                <w:color w:val="2D3748"/>
                <w:sz w:val="17"/>
              </w:rPr>
              <w:t>0.00%</w:t>
            </w:r>
          </w:p>
        </w:tc>
        <w:tc>
          <w:tcPr>
            <w:tcW w:type="dxa" w:w="1440"/>
            <w:shd w:fill="FFFFFF"/>
            <w:tcMar>
              <w:top w:w="100" w:type="dxa"/>
              <w:bottom w:w="100" w:type="dxa"/>
              <w:left w:w="130" w:type="dxa"/>
              <w:right w:w="130" w:type="dxa"/>
            </w:tcMar>
            <w:vAlign w:val="center"/>
          </w:tcPr>
          <w:p>
            <w:r>
              <w:rPr>
                <w:rFonts w:ascii="Calibri" w:hAnsi="Calibri"/>
                <w:color w:val="2D3748"/>
                <w:sz w:val="17"/>
              </w:rPr>
              <w:t>8.80%</w:t>
            </w:r>
          </w:p>
        </w:tc>
        <w:tc>
          <w:tcPr>
            <w:tcW w:type="dxa" w:w="3888"/>
            <w:shd w:fill="FFFFFF"/>
            <w:tcMar>
              <w:top w:w="100" w:type="dxa"/>
              <w:bottom w:w="100" w:type="dxa"/>
              <w:left w:w="130" w:type="dxa"/>
              <w:right w:w="130" w:type="dxa"/>
            </w:tcMar>
            <w:vAlign w:val="center"/>
          </w:tcPr>
          <w:p>
            <w:r>
              <w:rPr>
                <w:rFonts w:ascii="Calibri" w:hAnsi="Calibri"/>
                <w:color w:val="2D3748"/>
                <w:sz w:val="17"/>
              </w:rPr>
              <w:t>Ultra-conservative policy for high-stakes enterprise VIP account tiering</w:t>
            </w:r>
          </w:p>
        </w:tc>
      </w:tr>
    </w:tbl>
    <w:p/>
    <w:p>
      <w:r>
        <w:rPr>
          <w:b/>
        </w:rPr>
        <w:t>Figure 9. Posterior Maximum Class Probability Distribution &amp; Policy Thresholds</w:t>
      </w:r>
    </w:p>
    <w:p>
      <w:r>
        <w:drawing>
          <wp:inline xmlns:a="http://schemas.openxmlformats.org/drawingml/2006/main" xmlns:pic="http://schemas.openxmlformats.org/drawingml/2006/picture">
            <wp:extent cx="5943600" cy="2971800"/>
            <wp:docPr id="9" name="Picture 9"/>
            <wp:cNvGraphicFramePr>
              <a:graphicFrameLocks noChangeAspect="1"/>
            </wp:cNvGraphicFramePr>
            <a:graphic>
              <a:graphicData uri="http://schemas.openxmlformats.org/drawingml/2006/picture">
                <pic:pic>
                  <pic:nvPicPr>
                    <pic:cNvPr id="0" name="confidence_distribution.png"/>
                    <pic:cNvPicPr/>
                  </pic:nvPicPr>
                  <pic:blipFill>
                    <a:blip r:embed="rId19"/>
                    <a:stretch>
                      <a:fillRect/>
                    </a:stretch>
                  </pic:blipFill>
                  <pic:spPr>
                    <a:xfrm>
                      <a:off x="0" y="0"/>
                      <a:ext cx="5943600" cy="2971800"/>
                    </a:xfrm>
                    <a:prstGeom prst="rect"/>
                  </pic:spPr>
                </pic:pic>
              </a:graphicData>
            </a:graphic>
          </wp:inline>
        </w:drawing>
      </w:r>
    </w:p>
    <w:p/>
    <w:p>
      <w:pPr>
        <w:pStyle w:val="Heading1"/>
      </w:pPr>
      <w:r>
        <w:rPr>
          <w:color w:val="1A365D"/>
          <w:sz w:val="26"/>
        </w:rPr>
        <w:t>8. Business-Critical Error Case Studies (5 Interpreted Cases)</w:t>
      </w:r>
    </w:p>
    <w:p>
      <w:r>
        <w:rPr>
          <w:b/>
          <w:color w:val="2B6CB0"/>
        </w:rPr>
        <w:t>Table 9. Granular Root-Cause and Financial Consequence Analysis of Misclassifications</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680"/>
        <w:gridCol w:w="1680"/>
        <w:gridCol w:w="1680"/>
        <w:gridCol w:w="1680"/>
        <w:gridCol w:w="1680"/>
        <w:gridCol w:w="1680"/>
      </w:tblGrid>
      <w:tr>
        <w:tc>
          <w:tcPr>
            <w:tcW w:type="dxa" w:w="1296"/>
            <w:shd w:fill="1A365D"/>
            <w:tcMar>
              <w:top w:w="140" w:type="dxa"/>
              <w:bottom w:w="140" w:type="dxa"/>
              <w:left w:w="150" w:type="dxa"/>
              <w:right w:w="150" w:type="dxa"/>
            </w:tcMar>
          </w:tcPr>
          <w:p>
            <w:pPr>
              <w:jc w:val="center"/>
            </w:pPr>
            <w:r>
              <w:rPr>
                <w:rFonts w:ascii="Calibri" w:hAnsi="Calibri"/>
                <w:b/>
                <w:color w:val="FFFFFF"/>
                <w:sz w:val="17"/>
              </w:rPr>
              <w:t>Case ID &amp; Cust ID</w:t>
            </w:r>
          </w:p>
        </w:tc>
        <w:tc>
          <w:tcPr>
            <w:tcW w:type="dxa" w:w="1296"/>
            <w:shd w:fill="1A365D"/>
            <w:tcMar>
              <w:top w:w="140" w:type="dxa"/>
              <w:bottom w:w="140" w:type="dxa"/>
              <w:left w:w="150" w:type="dxa"/>
              <w:right w:w="150" w:type="dxa"/>
            </w:tcMar>
          </w:tcPr>
          <w:p>
            <w:pPr>
              <w:jc w:val="center"/>
            </w:pPr>
            <w:r>
              <w:rPr>
                <w:rFonts w:ascii="Calibri" w:hAnsi="Calibri"/>
                <w:b/>
                <w:color w:val="FFFFFF"/>
                <w:sz w:val="17"/>
              </w:rPr>
              <w:t>True vs Pred</w:t>
            </w:r>
          </w:p>
        </w:tc>
        <w:tc>
          <w:tcPr>
            <w:tcW w:type="dxa" w:w="1152"/>
            <w:shd w:fill="1A365D"/>
            <w:tcMar>
              <w:top w:w="140" w:type="dxa"/>
              <w:bottom w:w="140" w:type="dxa"/>
              <w:left w:w="150" w:type="dxa"/>
              <w:right w:w="150" w:type="dxa"/>
            </w:tcMar>
          </w:tcPr>
          <w:p>
            <w:pPr>
              <w:jc w:val="center"/>
            </w:pPr>
            <w:r>
              <w:rPr>
                <w:rFonts w:ascii="Calibri" w:hAnsi="Calibri"/>
                <w:b/>
                <w:color w:val="FFFFFF"/>
                <w:sz w:val="17"/>
              </w:rPr>
              <w:t>Posterior Conf</w:t>
            </w:r>
          </w:p>
        </w:tc>
        <w:tc>
          <w:tcPr>
            <w:tcW w:type="dxa" w:w="2160"/>
            <w:shd w:fill="1A365D"/>
            <w:tcMar>
              <w:top w:w="140" w:type="dxa"/>
              <w:bottom w:w="140" w:type="dxa"/>
              <w:left w:w="150" w:type="dxa"/>
              <w:right w:w="150" w:type="dxa"/>
            </w:tcMar>
          </w:tcPr>
          <w:p>
            <w:pPr>
              <w:jc w:val="center"/>
            </w:pPr>
            <w:r>
              <w:rPr>
                <w:rFonts w:ascii="Calibri" w:hAnsi="Calibri"/>
                <w:b/>
                <w:color w:val="FFFFFF"/>
                <w:sz w:val="17"/>
              </w:rPr>
              <w:t>Root Cause Analysis &amp; Influencing Features</w:t>
            </w:r>
          </w:p>
        </w:tc>
        <w:tc>
          <w:tcPr>
            <w:tcW w:type="dxa" w:w="2160"/>
            <w:shd w:fill="1A365D"/>
            <w:tcMar>
              <w:top w:w="140" w:type="dxa"/>
              <w:bottom w:w="140" w:type="dxa"/>
              <w:left w:w="150" w:type="dxa"/>
              <w:right w:w="150" w:type="dxa"/>
            </w:tcMar>
          </w:tcPr>
          <w:p>
            <w:pPr>
              <w:jc w:val="center"/>
            </w:pPr>
            <w:r>
              <w:rPr>
                <w:rFonts w:ascii="Calibri" w:hAnsi="Calibri"/>
                <w:b/>
                <w:color w:val="FFFFFF"/>
                <w:sz w:val="17"/>
              </w:rPr>
              <w:t>Business &amp; Financial Consequence</w:t>
            </w:r>
          </w:p>
        </w:tc>
        <w:tc>
          <w:tcPr>
            <w:tcW w:type="dxa" w:w="2016"/>
            <w:shd w:fill="1A365D"/>
            <w:tcMar>
              <w:top w:w="140" w:type="dxa"/>
              <w:bottom w:w="140" w:type="dxa"/>
              <w:left w:w="150" w:type="dxa"/>
              <w:right w:w="150" w:type="dxa"/>
            </w:tcMar>
          </w:tcPr>
          <w:p>
            <w:pPr>
              <w:jc w:val="center"/>
            </w:pPr>
            <w:r>
              <w:rPr>
                <w:rFonts w:ascii="Calibri" w:hAnsi="Calibri"/>
                <w:b/>
                <w:color w:val="FFFFFF"/>
                <w:sz w:val="17"/>
              </w:rPr>
              <w:t>Operational Mitigation Strategy</w:t>
            </w:r>
          </w:p>
        </w:tc>
      </w:tr>
      <w:tr>
        <w:tc>
          <w:tcPr>
            <w:tcW w:type="dxa" w:w="1296"/>
            <w:shd w:fill="F7FAFC"/>
            <w:tcMar>
              <w:top w:w="100" w:type="dxa"/>
              <w:bottom w:w="100" w:type="dxa"/>
              <w:left w:w="130" w:type="dxa"/>
              <w:right w:w="130" w:type="dxa"/>
            </w:tcMar>
            <w:vAlign w:val="center"/>
          </w:tcPr>
          <w:p>
            <w:r>
              <w:rPr>
                <w:rFonts w:ascii="Calibri" w:hAnsi="Calibri"/>
                <w:color w:val="2D3748"/>
                <w:sz w:val="17"/>
              </w:rPr>
              <w:t>ERR_01</w:t>
              <w:br/>
              <w:t>CUST_00142</w:t>
            </w:r>
          </w:p>
        </w:tc>
        <w:tc>
          <w:tcPr>
            <w:tcW w:type="dxa" w:w="1296"/>
            <w:shd w:fill="F7FAFC"/>
            <w:tcMar>
              <w:top w:w="100" w:type="dxa"/>
              <w:bottom w:w="100" w:type="dxa"/>
              <w:left w:w="130" w:type="dxa"/>
              <w:right w:w="130" w:type="dxa"/>
            </w:tcMar>
            <w:vAlign w:val="center"/>
          </w:tcPr>
          <w:p>
            <w:r>
              <w:rPr>
                <w:rFonts w:ascii="Calibri" w:hAnsi="Calibri"/>
                <w:color w:val="2D3748"/>
                <w:sz w:val="17"/>
              </w:rPr>
              <w:t>True: A (VIP)</w:t>
              <w:br/>
              <w:t>Pred: B (Mid)</w:t>
            </w:r>
          </w:p>
        </w:tc>
        <w:tc>
          <w:tcPr>
            <w:tcW w:type="dxa" w:w="1152"/>
            <w:shd w:fill="F7FAFC"/>
            <w:tcMar>
              <w:top w:w="100" w:type="dxa"/>
              <w:bottom w:w="100" w:type="dxa"/>
              <w:left w:w="130" w:type="dxa"/>
              <w:right w:w="130" w:type="dxa"/>
            </w:tcMar>
            <w:vAlign w:val="center"/>
          </w:tcPr>
          <w:p>
            <w:r>
              <w:rPr>
                <w:rFonts w:ascii="Calibri" w:hAnsi="Calibri"/>
                <w:color w:val="2D3748"/>
                <w:sz w:val="17"/>
              </w:rPr>
              <w:t>0.5420</w:t>
              <w:br/>
              <w:t>(Moderate)</w:t>
            </w:r>
          </w:p>
        </w:tc>
        <w:tc>
          <w:tcPr>
            <w:tcW w:type="dxa" w:w="2160"/>
            <w:shd w:fill="F7FAFC"/>
            <w:tcMar>
              <w:top w:w="100" w:type="dxa"/>
              <w:bottom w:w="100" w:type="dxa"/>
              <w:left w:w="130" w:type="dxa"/>
              <w:right w:w="130" w:type="dxa"/>
            </w:tcMar>
            <w:vAlign w:val="center"/>
          </w:tcPr>
          <w:p>
            <w:r>
              <w:rPr>
                <w:rFonts w:ascii="Calibri" w:hAnsi="Calibri"/>
                <w:color w:val="2D3748"/>
                <w:sz w:val="17"/>
              </w:rPr>
              <w:t>Lower work experience (3 yrs) and modest AOV ($190) shifted probability mass towards Segment B despite $3,500 total spend.</w:t>
            </w:r>
          </w:p>
        </w:tc>
        <w:tc>
          <w:tcPr>
            <w:tcW w:type="dxa" w:w="2160"/>
            <w:shd w:fill="F7FAFC"/>
            <w:tcMar>
              <w:top w:w="100" w:type="dxa"/>
              <w:bottom w:w="100" w:type="dxa"/>
              <w:left w:w="130" w:type="dxa"/>
              <w:right w:w="130" w:type="dxa"/>
            </w:tcMar>
            <w:vAlign w:val="center"/>
          </w:tcPr>
          <w:p>
            <w:r>
              <w:rPr>
                <w:rFonts w:ascii="Calibri" w:hAnsi="Calibri"/>
                <w:color w:val="2D3748"/>
                <w:sz w:val="17"/>
              </w:rPr>
              <w:t>Targeted with standard mid-tier discounts rather than VIP concierge invitations, forfeiting high-margin upselling.</w:t>
            </w:r>
          </w:p>
        </w:tc>
        <w:tc>
          <w:tcPr>
            <w:tcW w:type="dxa" w:w="2016"/>
            <w:shd w:fill="F7FAFC"/>
            <w:tcMar>
              <w:top w:w="100" w:type="dxa"/>
              <w:bottom w:w="100" w:type="dxa"/>
              <w:left w:w="130" w:type="dxa"/>
              <w:right w:w="130" w:type="dxa"/>
            </w:tcMar>
            <w:vAlign w:val="center"/>
          </w:tcPr>
          <w:p>
            <w:r>
              <w:rPr>
                <w:rFonts w:ascii="Calibri" w:hAnsi="Calibri"/>
                <w:color w:val="2D3748"/>
                <w:sz w:val="17"/>
              </w:rPr>
              <w:t>Implement revenue override: accounts with &gt;$3,000 annual spend flagged for VIP review regardless of classifier code.</w:t>
            </w:r>
          </w:p>
        </w:tc>
      </w:tr>
      <w:tr>
        <w:tc>
          <w:tcPr>
            <w:tcW w:type="dxa" w:w="1296"/>
            <w:shd w:fill="FFFFFF"/>
            <w:tcMar>
              <w:top w:w="100" w:type="dxa"/>
              <w:bottom w:w="100" w:type="dxa"/>
              <w:left w:w="130" w:type="dxa"/>
              <w:right w:w="130" w:type="dxa"/>
            </w:tcMar>
            <w:vAlign w:val="center"/>
          </w:tcPr>
          <w:p>
            <w:r>
              <w:rPr>
                <w:rFonts w:ascii="Calibri" w:hAnsi="Calibri"/>
                <w:color w:val="2D3748"/>
                <w:sz w:val="17"/>
              </w:rPr>
              <w:t>ERR_02</w:t>
              <w:br/>
              <w:t>CUST_00874</w:t>
            </w:r>
          </w:p>
        </w:tc>
        <w:tc>
          <w:tcPr>
            <w:tcW w:type="dxa" w:w="1296"/>
            <w:shd w:fill="FFFFFF"/>
            <w:tcMar>
              <w:top w:w="100" w:type="dxa"/>
              <w:bottom w:w="100" w:type="dxa"/>
              <w:left w:w="130" w:type="dxa"/>
              <w:right w:w="130" w:type="dxa"/>
            </w:tcMar>
            <w:vAlign w:val="center"/>
          </w:tcPr>
          <w:p>
            <w:r>
              <w:rPr>
                <w:rFonts w:ascii="Calibri" w:hAnsi="Calibri"/>
                <w:color w:val="2D3748"/>
                <w:sz w:val="17"/>
              </w:rPr>
              <w:t>True: B (Mid)</w:t>
              <w:br/>
              <w:t>Pred: C (Budget)</w:t>
            </w:r>
          </w:p>
        </w:tc>
        <w:tc>
          <w:tcPr>
            <w:tcW w:type="dxa" w:w="1152"/>
            <w:shd w:fill="FFFFFF"/>
            <w:tcMar>
              <w:top w:w="100" w:type="dxa"/>
              <w:bottom w:w="100" w:type="dxa"/>
              <w:left w:w="130" w:type="dxa"/>
              <w:right w:w="130" w:type="dxa"/>
            </w:tcMar>
            <w:vAlign w:val="center"/>
          </w:tcPr>
          <w:p>
            <w:r>
              <w:rPr>
                <w:rFonts w:ascii="Calibri" w:hAnsi="Calibri"/>
                <w:color w:val="2D3748"/>
                <w:sz w:val="17"/>
              </w:rPr>
              <w:t>0.5180</w:t>
              <w:br/>
              <w:t>(Moderate)</w:t>
            </w:r>
          </w:p>
        </w:tc>
        <w:tc>
          <w:tcPr>
            <w:tcW w:type="dxa" w:w="2160"/>
            <w:shd w:fill="FFFFFF"/>
            <w:tcMar>
              <w:top w:w="100" w:type="dxa"/>
              <w:bottom w:w="100" w:type="dxa"/>
              <w:left w:w="130" w:type="dxa"/>
              <w:right w:w="130" w:type="dxa"/>
            </w:tcMar>
            <w:vAlign w:val="center"/>
          </w:tcPr>
          <w:p>
            <w:r>
              <w:rPr>
                <w:rFonts w:ascii="Calibri" w:hAnsi="Calibri"/>
                <w:color w:val="2D3748"/>
                <w:sz w:val="17"/>
              </w:rPr>
              <w:t>High household size (5) and high discount usage (42%) mimicked price-sensitive Segment C family profile.</w:t>
            </w:r>
          </w:p>
        </w:tc>
        <w:tc>
          <w:tcPr>
            <w:tcW w:type="dxa" w:w="2160"/>
            <w:shd w:fill="FFFFFF"/>
            <w:tcMar>
              <w:top w:w="100" w:type="dxa"/>
              <w:bottom w:w="100" w:type="dxa"/>
              <w:left w:w="130" w:type="dxa"/>
              <w:right w:w="130" w:type="dxa"/>
            </w:tcMar>
            <w:vAlign w:val="center"/>
          </w:tcPr>
          <w:p>
            <w:r>
              <w:rPr>
                <w:rFonts w:ascii="Calibri" w:hAnsi="Calibri"/>
                <w:color w:val="2D3748"/>
                <w:sz w:val="17"/>
              </w:rPr>
              <w:t>Customer bombarded with aggressive discount coupons, diluting premium brand perception and brand equity.</w:t>
            </w:r>
          </w:p>
        </w:tc>
        <w:tc>
          <w:tcPr>
            <w:tcW w:type="dxa" w:w="2016"/>
            <w:shd w:fill="FFFFFF"/>
            <w:tcMar>
              <w:top w:w="100" w:type="dxa"/>
              <w:bottom w:w="100" w:type="dxa"/>
              <w:left w:w="130" w:type="dxa"/>
              <w:right w:w="130" w:type="dxa"/>
            </w:tcMar>
            <w:vAlign w:val="center"/>
          </w:tcPr>
          <w:p>
            <w:r>
              <w:rPr>
                <w:rFonts w:ascii="Calibri" w:hAnsi="Calibri"/>
                <w:color w:val="2D3748"/>
                <w:sz w:val="17"/>
              </w:rPr>
              <w:t>Introduce margin check (p_B - p_C &lt; 0.10 triggers marketing moderation); audit family size weighting.</w:t>
            </w:r>
          </w:p>
        </w:tc>
      </w:tr>
      <w:tr>
        <w:tc>
          <w:tcPr>
            <w:tcW w:type="dxa" w:w="1296"/>
            <w:shd w:fill="F7FAFC"/>
            <w:tcMar>
              <w:top w:w="100" w:type="dxa"/>
              <w:bottom w:w="100" w:type="dxa"/>
              <w:left w:w="130" w:type="dxa"/>
              <w:right w:w="130" w:type="dxa"/>
            </w:tcMar>
            <w:vAlign w:val="center"/>
          </w:tcPr>
          <w:p>
            <w:r>
              <w:rPr>
                <w:rFonts w:ascii="Calibri" w:hAnsi="Calibri"/>
                <w:color w:val="2D3748"/>
                <w:sz w:val="17"/>
              </w:rPr>
              <w:t>ERR_03</w:t>
              <w:br/>
              <w:t>CUST_01205</w:t>
            </w:r>
          </w:p>
        </w:tc>
        <w:tc>
          <w:tcPr>
            <w:tcW w:type="dxa" w:w="1296"/>
            <w:shd w:fill="F7FAFC"/>
            <w:tcMar>
              <w:top w:w="100" w:type="dxa"/>
              <w:bottom w:w="100" w:type="dxa"/>
              <w:left w:w="130" w:type="dxa"/>
              <w:right w:w="130" w:type="dxa"/>
            </w:tcMar>
            <w:vAlign w:val="center"/>
          </w:tcPr>
          <w:p>
            <w:r>
              <w:rPr>
                <w:rFonts w:ascii="Calibri" w:hAnsi="Calibri"/>
                <w:color w:val="2D3748"/>
                <w:sz w:val="17"/>
              </w:rPr>
              <w:t>True: C (Budget)</w:t>
              <w:br/>
              <w:t>Pred: D (At-Risk)</w:t>
            </w:r>
          </w:p>
        </w:tc>
        <w:tc>
          <w:tcPr>
            <w:tcW w:type="dxa" w:w="1152"/>
            <w:shd w:fill="F7FAFC"/>
            <w:tcMar>
              <w:top w:w="100" w:type="dxa"/>
              <w:bottom w:w="100" w:type="dxa"/>
              <w:left w:w="130" w:type="dxa"/>
              <w:right w:w="130" w:type="dxa"/>
            </w:tcMar>
            <w:vAlign w:val="center"/>
          </w:tcPr>
          <w:p>
            <w:r>
              <w:rPr>
                <w:rFonts w:ascii="Calibri" w:hAnsi="Calibri"/>
                <w:color w:val="2D3748"/>
                <w:sz w:val="17"/>
              </w:rPr>
              <w:t>0.6120</w:t>
              <w:br/>
              <w:t>(Moderate)</w:t>
            </w:r>
          </w:p>
        </w:tc>
        <w:tc>
          <w:tcPr>
            <w:tcW w:type="dxa" w:w="2160"/>
            <w:shd w:fill="F7FAFC"/>
            <w:tcMar>
              <w:top w:w="100" w:type="dxa"/>
              <w:bottom w:w="100" w:type="dxa"/>
              <w:left w:w="130" w:type="dxa"/>
              <w:right w:w="130" w:type="dxa"/>
            </w:tcMar>
            <w:vAlign w:val="center"/>
          </w:tcPr>
          <w:p>
            <w:r>
              <w:rPr>
                <w:rFonts w:ascii="Calibri" w:hAnsi="Calibri"/>
                <w:color w:val="2D3748"/>
                <w:sz w:val="17"/>
              </w:rPr>
              <w:t>Extended purchase recency (42 days) and zero recent campaign response caused model to confuse budget cadence with churn.</w:t>
            </w:r>
          </w:p>
        </w:tc>
        <w:tc>
          <w:tcPr>
            <w:tcW w:type="dxa" w:w="2160"/>
            <w:shd w:fill="F7FAFC"/>
            <w:tcMar>
              <w:top w:w="100" w:type="dxa"/>
              <w:bottom w:w="100" w:type="dxa"/>
              <w:left w:w="130" w:type="dxa"/>
              <w:right w:w="130" w:type="dxa"/>
            </w:tcMar>
            <w:vAlign w:val="center"/>
          </w:tcPr>
          <w:p>
            <w:r>
              <w:rPr>
                <w:rFonts w:ascii="Calibri" w:hAnsi="Calibri"/>
                <w:color w:val="2D3748"/>
                <w:sz w:val="17"/>
              </w:rPr>
              <w:t>Customer excluded from seasonal budget marketing promos, accelerating actual customer attrition.</w:t>
            </w:r>
          </w:p>
        </w:tc>
        <w:tc>
          <w:tcPr>
            <w:tcW w:type="dxa" w:w="2016"/>
            <w:shd w:fill="F7FAFC"/>
            <w:tcMar>
              <w:top w:w="100" w:type="dxa"/>
              <w:bottom w:w="100" w:type="dxa"/>
              <w:left w:w="130" w:type="dxa"/>
              <w:right w:w="130" w:type="dxa"/>
            </w:tcMar>
            <w:vAlign w:val="center"/>
          </w:tcPr>
          <w:p>
            <w:r>
              <w:rPr>
                <w:rFonts w:ascii="Calibri" w:hAnsi="Calibri"/>
                <w:color w:val="2D3748"/>
                <w:sz w:val="17"/>
              </w:rPr>
              <w:t>Decouple purchase cadence from inactivity by conditioning recency on average inter-purchase cycle.</w:t>
            </w:r>
          </w:p>
        </w:tc>
      </w:tr>
      <w:tr>
        <w:tc>
          <w:tcPr>
            <w:tcW w:type="dxa" w:w="1296"/>
            <w:shd w:fill="FFFFFF"/>
            <w:tcMar>
              <w:top w:w="100" w:type="dxa"/>
              <w:bottom w:w="100" w:type="dxa"/>
              <w:left w:w="130" w:type="dxa"/>
              <w:right w:w="130" w:type="dxa"/>
            </w:tcMar>
            <w:vAlign w:val="center"/>
          </w:tcPr>
          <w:p>
            <w:r>
              <w:rPr>
                <w:rFonts w:ascii="Calibri" w:hAnsi="Calibri"/>
                <w:color w:val="2D3748"/>
                <w:sz w:val="17"/>
              </w:rPr>
              <w:t>ERR_04</w:t>
              <w:br/>
              <w:t>CUST_02340</w:t>
            </w:r>
          </w:p>
        </w:tc>
        <w:tc>
          <w:tcPr>
            <w:tcW w:type="dxa" w:w="1296"/>
            <w:shd w:fill="FFFFFF"/>
            <w:tcMar>
              <w:top w:w="100" w:type="dxa"/>
              <w:bottom w:w="100" w:type="dxa"/>
              <w:left w:w="130" w:type="dxa"/>
              <w:right w:w="130" w:type="dxa"/>
            </w:tcMar>
            <w:vAlign w:val="center"/>
          </w:tcPr>
          <w:p>
            <w:r>
              <w:rPr>
                <w:rFonts w:ascii="Calibri" w:hAnsi="Calibri"/>
                <w:color w:val="2D3748"/>
                <w:sz w:val="17"/>
              </w:rPr>
              <w:t>True: D (At-Risk)</w:t>
              <w:br/>
              <w:t>Pred: A (VIP)</w:t>
            </w:r>
          </w:p>
        </w:tc>
        <w:tc>
          <w:tcPr>
            <w:tcW w:type="dxa" w:w="1152"/>
            <w:shd w:fill="FFFFFF"/>
            <w:tcMar>
              <w:top w:w="100" w:type="dxa"/>
              <w:bottom w:w="100" w:type="dxa"/>
              <w:left w:w="130" w:type="dxa"/>
              <w:right w:w="130" w:type="dxa"/>
            </w:tcMar>
            <w:vAlign w:val="center"/>
          </w:tcPr>
          <w:p>
            <w:r>
              <w:rPr>
                <w:rFonts w:ascii="Calibri" w:hAnsi="Calibri"/>
                <w:color w:val="2D3748"/>
                <w:sz w:val="17"/>
              </w:rPr>
              <w:t>0.4890</w:t>
              <w:br/>
              <w:t>(Low)</w:t>
            </w:r>
          </w:p>
        </w:tc>
        <w:tc>
          <w:tcPr>
            <w:tcW w:type="dxa" w:w="2160"/>
            <w:shd w:fill="FFFFFF"/>
            <w:tcMar>
              <w:top w:w="100" w:type="dxa"/>
              <w:bottom w:w="100" w:type="dxa"/>
              <w:left w:w="130" w:type="dxa"/>
              <w:right w:w="130" w:type="dxa"/>
            </w:tcMar>
            <w:vAlign w:val="center"/>
          </w:tcPr>
          <w:p>
            <w:r>
              <w:rPr>
                <w:rFonts w:ascii="Calibri" w:hAnsi="Calibri"/>
                <w:color w:val="2D3748"/>
                <w:sz w:val="17"/>
              </w:rPr>
              <w:t>Professional demographic code (Lawyer) and single household overrode low behavioral frequency due to Naive Bayes independence assumption.</w:t>
            </w:r>
          </w:p>
        </w:tc>
        <w:tc>
          <w:tcPr>
            <w:tcW w:type="dxa" w:w="2160"/>
            <w:shd w:fill="FFFFFF"/>
            <w:tcMar>
              <w:top w:w="100" w:type="dxa"/>
              <w:bottom w:w="100" w:type="dxa"/>
              <w:left w:w="130" w:type="dxa"/>
              <w:right w:w="130" w:type="dxa"/>
            </w:tcMar>
            <w:vAlign w:val="center"/>
          </w:tcPr>
          <w:p>
            <w:r>
              <w:rPr>
                <w:rFonts w:ascii="Calibri" w:hAnsi="Calibri"/>
                <w:color w:val="2D3748"/>
                <w:sz w:val="17"/>
              </w:rPr>
              <w:t>High marketing spend wasted on dormant customers with expensive luxury mailers; low campaign ROI.</w:t>
            </w:r>
          </w:p>
        </w:tc>
        <w:tc>
          <w:tcPr>
            <w:tcW w:type="dxa" w:w="2016"/>
            <w:shd w:fill="FFFFFF"/>
            <w:tcMar>
              <w:top w:w="100" w:type="dxa"/>
              <w:bottom w:w="100" w:type="dxa"/>
              <w:left w:w="130" w:type="dxa"/>
              <w:right w:w="130" w:type="dxa"/>
            </w:tcMar>
            <w:vAlign w:val="center"/>
          </w:tcPr>
          <w:p>
            <w:r>
              <w:rPr>
                <w:rFonts w:ascii="Calibri" w:hAnsi="Calibri"/>
                <w:color w:val="2D3748"/>
                <w:sz w:val="17"/>
              </w:rPr>
              <w:t>Enforce low-confidence review gate (&lt;0.50 routed to automated churn reactivation rather than luxury tier).</w:t>
            </w:r>
          </w:p>
        </w:tc>
      </w:tr>
      <w:tr>
        <w:tc>
          <w:tcPr>
            <w:tcW w:type="dxa" w:w="1296"/>
            <w:shd w:fill="F7FAFC"/>
            <w:tcMar>
              <w:top w:w="100" w:type="dxa"/>
              <w:bottom w:w="100" w:type="dxa"/>
              <w:left w:w="130" w:type="dxa"/>
              <w:right w:w="130" w:type="dxa"/>
            </w:tcMar>
            <w:vAlign w:val="center"/>
          </w:tcPr>
          <w:p>
            <w:r>
              <w:rPr>
                <w:rFonts w:ascii="Calibri" w:hAnsi="Calibri"/>
                <w:color w:val="2D3748"/>
                <w:sz w:val="17"/>
              </w:rPr>
              <w:t>ERR_05</w:t>
              <w:br/>
              <w:t>CUST_03891</w:t>
            </w:r>
          </w:p>
        </w:tc>
        <w:tc>
          <w:tcPr>
            <w:tcW w:type="dxa" w:w="1296"/>
            <w:shd w:fill="F7FAFC"/>
            <w:tcMar>
              <w:top w:w="100" w:type="dxa"/>
              <w:bottom w:w="100" w:type="dxa"/>
              <w:left w:w="130" w:type="dxa"/>
              <w:right w:w="130" w:type="dxa"/>
            </w:tcMar>
            <w:vAlign w:val="center"/>
          </w:tcPr>
          <w:p>
            <w:r>
              <w:rPr>
                <w:rFonts w:ascii="Calibri" w:hAnsi="Calibri"/>
                <w:color w:val="2D3748"/>
                <w:sz w:val="17"/>
              </w:rPr>
              <w:t>True: B (Mid)</w:t>
              <w:br/>
              <w:t>Pred: A (VIP)</w:t>
            </w:r>
          </w:p>
        </w:tc>
        <w:tc>
          <w:tcPr>
            <w:tcW w:type="dxa" w:w="1152"/>
            <w:shd w:fill="F7FAFC"/>
            <w:tcMar>
              <w:top w:w="100" w:type="dxa"/>
              <w:bottom w:w="100" w:type="dxa"/>
              <w:left w:w="130" w:type="dxa"/>
              <w:right w:w="130" w:type="dxa"/>
            </w:tcMar>
            <w:vAlign w:val="center"/>
          </w:tcPr>
          <w:p>
            <w:r>
              <w:rPr>
                <w:rFonts w:ascii="Calibri" w:hAnsi="Calibri"/>
                <w:color w:val="2D3748"/>
                <w:sz w:val="17"/>
              </w:rPr>
              <w:t>0.5310</w:t>
              <w:br/>
              <w:t>(Moderate)</w:t>
            </w:r>
          </w:p>
        </w:tc>
        <w:tc>
          <w:tcPr>
            <w:tcW w:type="dxa" w:w="2160"/>
            <w:shd w:fill="F7FAFC"/>
            <w:tcMar>
              <w:top w:w="100" w:type="dxa"/>
              <w:bottom w:w="100" w:type="dxa"/>
              <w:left w:w="130" w:type="dxa"/>
              <w:right w:w="130" w:type="dxa"/>
            </w:tcMar>
            <w:vAlign w:val="center"/>
          </w:tcPr>
          <w:p>
            <w:r>
              <w:rPr>
                <w:rFonts w:ascii="Calibri" w:hAnsi="Calibri"/>
                <w:color w:val="2D3748"/>
                <w:sz w:val="17"/>
              </w:rPr>
              <w:t>High technology affinity and high app engagement score (91) created boundary confusion between Segments A and B.</w:t>
            </w:r>
          </w:p>
        </w:tc>
        <w:tc>
          <w:tcPr>
            <w:tcW w:type="dxa" w:w="2160"/>
            <w:shd w:fill="F7FAFC"/>
            <w:tcMar>
              <w:top w:w="100" w:type="dxa"/>
              <w:bottom w:w="100" w:type="dxa"/>
              <w:left w:w="130" w:type="dxa"/>
              <w:right w:w="130" w:type="dxa"/>
            </w:tcMar>
            <w:vAlign w:val="center"/>
          </w:tcPr>
          <w:p>
            <w:r>
              <w:rPr>
                <w:rFonts w:ascii="Calibri" w:hAnsi="Calibri"/>
                <w:color w:val="2D3748"/>
                <w:sz w:val="17"/>
              </w:rPr>
              <w:t>Over-promising luxury service perks to mid-tier customers creates customer service SLA bottlenecks.</w:t>
            </w:r>
          </w:p>
        </w:tc>
        <w:tc>
          <w:tcPr>
            <w:tcW w:type="dxa" w:w="2016"/>
            <w:shd w:fill="F7FAFC"/>
            <w:tcMar>
              <w:top w:w="100" w:type="dxa"/>
              <w:bottom w:w="100" w:type="dxa"/>
              <w:left w:w="130" w:type="dxa"/>
              <w:right w:w="130" w:type="dxa"/>
            </w:tcMar>
            <w:vAlign w:val="center"/>
          </w:tcPr>
          <w:p>
            <w:r>
              <w:rPr>
                <w:rFonts w:ascii="Calibri" w:hAnsi="Calibri"/>
                <w:color w:val="2D3748"/>
                <w:sz w:val="17"/>
              </w:rPr>
              <w:t>Add average order value hard-threshold filtering before premium service tier upgrade.</w:t>
            </w:r>
          </w:p>
        </w:tc>
      </w:tr>
    </w:tbl>
    <w:p/>
    <w:p>
      <w:pPr>
        <w:pStyle w:val="Heading1"/>
      </w:pPr>
      <w:r>
        <w:rPr>
          <w:color w:val="1A365D"/>
          <w:sz w:val="26"/>
        </w:rPr>
        <w:t>9. Live New Customer Profile Prediction API</w:t>
      </w:r>
    </w:p>
    <w:p>
      <w:pPr>
        <w:spacing w:line="276" w:lineRule="auto"/>
      </w:pPr>
      <w:r>
        <w:t>The production prediction module exposes predict_customer_segment(customer_profile: dict). The function validates schema conformity, enforces numerical range constraints (Age: 18–100, non-negative spending), and safely maps unobserved categorical levels using SafeOrdinalToNonNegative. Output includes the predicted class, the full posterior probability vector, and the frozen human review recommendation.</w:t>
      </w:r>
    </w:p>
    <w:p>
      <w:r>
        <w:rPr>
          <w:b/>
          <w:color w:val="2B6CB0"/>
        </w:rPr>
        <w:t>Table 10. Live Inference Predictions on New Synthetic Customer Profiles</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680"/>
        <w:gridCol w:w="1680"/>
        <w:gridCol w:w="1680"/>
        <w:gridCol w:w="1680"/>
        <w:gridCol w:w="1680"/>
        <w:gridCol w:w="1680"/>
      </w:tblGrid>
      <w:tr>
        <w:tc>
          <w:tcPr>
            <w:tcW w:type="dxa" w:w="1440"/>
            <w:shd w:fill="1A365D"/>
            <w:tcMar>
              <w:top w:w="140" w:type="dxa"/>
              <w:bottom w:w="140" w:type="dxa"/>
              <w:left w:w="150" w:type="dxa"/>
              <w:right w:w="150" w:type="dxa"/>
            </w:tcMar>
          </w:tcPr>
          <w:p>
            <w:pPr>
              <w:jc w:val="center"/>
            </w:pPr>
            <w:r>
              <w:rPr>
                <w:rFonts w:ascii="Calibri" w:hAnsi="Calibri"/>
                <w:b/>
                <w:color w:val="FFFFFF"/>
                <w:sz w:val="17"/>
              </w:rPr>
              <w:t>Profile ID</w:t>
            </w:r>
          </w:p>
        </w:tc>
        <w:tc>
          <w:tcPr>
            <w:tcW w:type="dxa" w:w="2304"/>
            <w:shd w:fill="1A365D"/>
            <w:tcMar>
              <w:top w:w="140" w:type="dxa"/>
              <w:bottom w:w="140" w:type="dxa"/>
              <w:left w:w="150" w:type="dxa"/>
              <w:right w:w="150" w:type="dxa"/>
            </w:tcMar>
          </w:tcPr>
          <w:p>
            <w:pPr>
              <w:jc w:val="center"/>
            </w:pPr>
            <w:r>
              <w:rPr>
                <w:rFonts w:ascii="Calibri" w:hAnsi="Calibri"/>
                <w:b/>
                <w:color w:val="FFFFFF"/>
                <w:sz w:val="17"/>
              </w:rPr>
              <w:t>Key Customer Attributes</w:t>
            </w:r>
          </w:p>
        </w:tc>
        <w:tc>
          <w:tcPr>
            <w:tcW w:type="dxa" w:w="1296"/>
            <w:shd w:fill="1A365D"/>
            <w:tcMar>
              <w:top w:w="140" w:type="dxa"/>
              <w:bottom w:w="140" w:type="dxa"/>
              <w:left w:w="150" w:type="dxa"/>
              <w:right w:w="150" w:type="dxa"/>
            </w:tcMar>
          </w:tcPr>
          <w:p>
            <w:pPr>
              <w:jc w:val="center"/>
            </w:pPr>
            <w:r>
              <w:rPr>
                <w:rFonts w:ascii="Calibri" w:hAnsi="Calibri"/>
                <w:b/>
                <w:color w:val="FFFFFF"/>
                <w:sz w:val="17"/>
              </w:rPr>
              <w:t>Predicted Segment</w:t>
            </w:r>
          </w:p>
        </w:tc>
        <w:tc>
          <w:tcPr>
            <w:tcW w:type="dxa" w:w="1152"/>
            <w:shd w:fill="1A365D"/>
            <w:tcMar>
              <w:top w:w="140" w:type="dxa"/>
              <w:bottom w:w="140" w:type="dxa"/>
              <w:left w:w="150" w:type="dxa"/>
              <w:right w:w="150" w:type="dxa"/>
            </w:tcMar>
          </w:tcPr>
          <w:p>
            <w:pPr>
              <w:jc w:val="center"/>
            </w:pPr>
            <w:r>
              <w:rPr>
                <w:rFonts w:ascii="Calibri" w:hAnsi="Calibri"/>
                <w:b/>
                <w:color w:val="FFFFFF"/>
                <w:sz w:val="17"/>
              </w:rPr>
              <w:t>Max Posterior</w:t>
            </w:r>
          </w:p>
        </w:tc>
        <w:tc>
          <w:tcPr>
            <w:tcW w:type="dxa" w:w="1872"/>
            <w:shd w:fill="1A365D"/>
            <w:tcMar>
              <w:top w:w="140" w:type="dxa"/>
              <w:bottom w:w="140" w:type="dxa"/>
              <w:left w:w="150" w:type="dxa"/>
              <w:right w:w="150" w:type="dxa"/>
            </w:tcMar>
          </w:tcPr>
          <w:p>
            <w:pPr>
              <w:jc w:val="center"/>
            </w:pPr>
            <w:r>
              <w:rPr>
                <w:rFonts w:ascii="Calibri" w:hAnsi="Calibri"/>
                <w:b/>
                <w:color w:val="FFFFFF"/>
                <w:sz w:val="17"/>
              </w:rPr>
              <w:t>Full Probability Vector [A, B, C, D]</w:t>
            </w:r>
          </w:p>
        </w:tc>
        <w:tc>
          <w:tcPr>
            <w:tcW w:type="dxa" w:w="2016"/>
            <w:shd w:fill="1A365D"/>
            <w:tcMar>
              <w:top w:w="140" w:type="dxa"/>
              <w:bottom w:w="140" w:type="dxa"/>
              <w:left w:w="150" w:type="dxa"/>
              <w:right w:w="150" w:type="dxa"/>
            </w:tcMar>
          </w:tcPr>
          <w:p>
            <w:pPr>
              <w:jc w:val="center"/>
            </w:pPr>
            <w:r>
              <w:rPr>
                <w:rFonts w:ascii="Calibri" w:hAnsi="Calibri"/>
                <w:b/>
                <w:color w:val="FFFFFF"/>
                <w:sz w:val="17"/>
              </w:rPr>
              <w:t>Operational Routing Status</w:t>
            </w:r>
          </w:p>
        </w:tc>
      </w:tr>
      <w:tr>
        <w:tc>
          <w:tcPr>
            <w:tcW w:type="dxa" w:w="1440"/>
            <w:shd w:fill="F7FAFC"/>
            <w:tcMar>
              <w:top w:w="100" w:type="dxa"/>
              <w:bottom w:w="100" w:type="dxa"/>
              <w:left w:w="130" w:type="dxa"/>
              <w:right w:w="130" w:type="dxa"/>
            </w:tcMar>
            <w:vAlign w:val="center"/>
          </w:tcPr>
          <w:p>
            <w:r>
              <w:rPr>
                <w:rFonts w:ascii="Calibri" w:hAnsi="Calibri"/>
                <w:color w:val="2D3748"/>
                <w:sz w:val="17"/>
              </w:rPr>
              <w:t>PROF_01</w:t>
              <w:br/>
              <w:t>High Affluent</w:t>
            </w:r>
          </w:p>
        </w:tc>
        <w:tc>
          <w:tcPr>
            <w:tcW w:type="dxa" w:w="2304"/>
            <w:shd w:fill="F7FAFC"/>
            <w:tcMar>
              <w:top w:w="100" w:type="dxa"/>
              <w:bottom w:w="100" w:type="dxa"/>
              <w:left w:w="130" w:type="dxa"/>
              <w:right w:w="130" w:type="dxa"/>
            </w:tcMar>
            <w:vAlign w:val="center"/>
          </w:tcPr>
          <w:p>
            <w:r>
              <w:rPr>
                <w:rFonts w:ascii="Calibri" w:hAnsi="Calibri"/>
                <w:color w:val="2D3748"/>
                <w:sz w:val="17"/>
              </w:rPr>
              <w:t>Age 52, Exec, High Spend, Spend $5.7k, Freq 18.5, Recency 4d</w:t>
            </w:r>
          </w:p>
        </w:tc>
        <w:tc>
          <w:tcPr>
            <w:tcW w:type="dxa" w:w="1296"/>
            <w:shd w:fill="F7FAFC"/>
            <w:tcMar>
              <w:top w:w="100" w:type="dxa"/>
              <w:bottom w:w="100" w:type="dxa"/>
              <w:left w:w="130" w:type="dxa"/>
              <w:right w:w="130" w:type="dxa"/>
            </w:tcMar>
            <w:vAlign w:val="center"/>
          </w:tcPr>
          <w:p>
            <w:r>
              <w:rPr>
                <w:rFonts w:ascii="Calibri" w:hAnsi="Calibri"/>
                <w:color w:val="2D3748"/>
                <w:sz w:val="17"/>
              </w:rPr>
              <w:t>Segment A</w:t>
            </w:r>
          </w:p>
        </w:tc>
        <w:tc>
          <w:tcPr>
            <w:tcW w:type="dxa" w:w="1152"/>
            <w:shd w:fill="F7FAFC"/>
            <w:tcMar>
              <w:top w:w="100" w:type="dxa"/>
              <w:bottom w:w="100" w:type="dxa"/>
              <w:left w:w="130" w:type="dxa"/>
              <w:right w:w="130" w:type="dxa"/>
            </w:tcMar>
            <w:vAlign w:val="center"/>
          </w:tcPr>
          <w:p>
            <w:r>
              <w:rPr>
                <w:rFonts w:ascii="Calibri" w:hAnsi="Calibri"/>
                <w:color w:val="2D3748"/>
                <w:sz w:val="17"/>
              </w:rPr>
              <w:t>1.0000</w:t>
            </w:r>
          </w:p>
        </w:tc>
        <w:tc>
          <w:tcPr>
            <w:tcW w:type="dxa" w:w="1872"/>
            <w:shd w:fill="F7FAFC"/>
            <w:tcMar>
              <w:top w:w="100" w:type="dxa"/>
              <w:bottom w:w="100" w:type="dxa"/>
              <w:left w:w="130" w:type="dxa"/>
              <w:right w:w="130" w:type="dxa"/>
            </w:tcMar>
            <w:vAlign w:val="center"/>
          </w:tcPr>
          <w:p>
            <w:r>
              <w:rPr>
                <w:rFonts w:ascii="Calibri" w:hAnsi="Calibri"/>
                <w:color w:val="2D3748"/>
                <w:sz w:val="17"/>
              </w:rPr>
              <w:t>[1.0000, 0.0000, 0.0000, 0.0000]</w:t>
            </w:r>
          </w:p>
        </w:tc>
        <w:tc>
          <w:tcPr>
            <w:tcW w:type="dxa" w:w="2016"/>
            <w:shd w:fill="F7FAFC"/>
            <w:tcMar>
              <w:top w:w="100" w:type="dxa"/>
              <w:bottom w:w="100" w:type="dxa"/>
              <w:left w:w="130" w:type="dxa"/>
              <w:right w:w="130" w:type="dxa"/>
            </w:tcMar>
            <w:vAlign w:val="center"/>
          </w:tcPr>
          <w:p>
            <w:r>
              <w:rPr>
                <w:rFonts w:ascii="Calibri" w:hAnsi="Calibri"/>
                <w:color w:val="2D3748"/>
                <w:sz w:val="17"/>
              </w:rPr>
              <w:t>Automated Assignment (VIP Concierge)</w:t>
            </w:r>
          </w:p>
        </w:tc>
      </w:tr>
      <w:tr>
        <w:tc>
          <w:tcPr>
            <w:tcW w:type="dxa" w:w="1440"/>
            <w:shd w:fill="FFFFFF"/>
            <w:tcMar>
              <w:top w:w="100" w:type="dxa"/>
              <w:bottom w:w="100" w:type="dxa"/>
              <w:left w:w="130" w:type="dxa"/>
              <w:right w:w="130" w:type="dxa"/>
            </w:tcMar>
            <w:vAlign w:val="center"/>
          </w:tcPr>
          <w:p>
            <w:r>
              <w:rPr>
                <w:rFonts w:ascii="Calibri" w:hAnsi="Calibri"/>
                <w:color w:val="2D3748"/>
                <w:sz w:val="17"/>
              </w:rPr>
              <w:t>PROF_02</w:t>
              <w:br/>
              <w:t>Young Upward</w:t>
            </w:r>
          </w:p>
        </w:tc>
        <w:tc>
          <w:tcPr>
            <w:tcW w:type="dxa" w:w="2304"/>
            <w:shd w:fill="FFFFFF"/>
            <w:tcMar>
              <w:top w:w="100" w:type="dxa"/>
              <w:bottom w:w="100" w:type="dxa"/>
              <w:left w:w="130" w:type="dxa"/>
              <w:right w:w="130" w:type="dxa"/>
            </w:tcMar>
            <w:vAlign w:val="center"/>
          </w:tcPr>
          <w:p>
            <w:r>
              <w:rPr>
                <w:rFonts w:ascii="Calibri" w:hAnsi="Calibri"/>
                <w:color w:val="2D3748"/>
                <w:sz w:val="17"/>
              </w:rPr>
              <w:t>Age 36, Eng, Avg Spend, Spend $2.1k, Freq 12.0, Recency 11d</w:t>
            </w:r>
          </w:p>
        </w:tc>
        <w:tc>
          <w:tcPr>
            <w:tcW w:type="dxa" w:w="1296"/>
            <w:shd w:fill="FFFFFF"/>
            <w:tcMar>
              <w:top w:w="100" w:type="dxa"/>
              <w:bottom w:w="100" w:type="dxa"/>
              <w:left w:w="130" w:type="dxa"/>
              <w:right w:w="130" w:type="dxa"/>
            </w:tcMar>
            <w:vAlign w:val="center"/>
          </w:tcPr>
          <w:p>
            <w:r>
              <w:rPr>
                <w:rFonts w:ascii="Calibri" w:hAnsi="Calibri"/>
                <w:color w:val="2D3748"/>
                <w:sz w:val="17"/>
              </w:rPr>
              <w:t>Segment B</w:t>
            </w:r>
          </w:p>
        </w:tc>
        <w:tc>
          <w:tcPr>
            <w:tcW w:type="dxa" w:w="1152"/>
            <w:shd w:fill="FFFFFF"/>
            <w:tcMar>
              <w:top w:w="100" w:type="dxa"/>
              <w:bottom w:w="100" w:type="dxa"/>
              <w:left w:w="130" w:type="dxa"/>
              <w:right w:w="130" w:type="dxa"/>
            </w:tcMar>
            <w:vAlign w:val="center"/>
          </w:tcPr>
          <w:p>
            <w:r>
              <w:rPr>
                <w:rFonts w:ascii="Calibri" w:hAnsi="Calibri"/>
                <w:color w:val="2D3748"/>
                <w:sz w:val="17"/>
              </w:rPr>
              <w:t>1.0000</w:t>
            </w:r>
          </w:p>
        </w:tc>
        <w:tc>
          <w:tcPr>
            <w:tcW w:type="dxa" w:w="1872"/>
            <w:shd w:fill="FFFFFF"/>
            <w:tcMar>
              <w:top w:w="100" w:type="dxa"/>
              <w:bottom w:w="100" w:type="dxa"/>
              <w:left w:w="130" w:type="dxa"/>
              <w:right w:w="130" w:type="dxa"/>
            </w:tcMar>
            <w:vAlign w:val="center"/>
          </w:tcPr>
          <w:p>
            <w:r>
              <w:rPr>
                <w:rFonts w:ascii="Calibri" w:hAnsi="Calibri"/>
                <w:color w:val="2D3748"/>
                <w:sz w:val="17"/>
              </w:rPr>
              <w:t>[0.0000, 1.0000, 0.0000, 0.0000]</w:t>
            </w:r>
          </w:p>
        </w:tc>
        <w:tc>
          <w:tcPr>
            <w:tcW w:type="dxa" w:w="2016"/>
            <w:shd w:fill="FFFFFF"/>
            <w:tcMar>
              <w:top w:w="100" w:type="dxa"/>
              <w:bottom w:w="100" w:type="dxa"/>
              <w:left w:w="130" w:type="dxa"/>
              <w:right w:w="130" w:type="dxa"/>
            </w:tcMar>
            <w:vAlign w:val="center"/>
          </w:tcPr>
          <w:p>
            <w:r>
              <w:rPr>
                <w:rFonts w:ascii="Calibri" w:hAnsi="Calibri"/>
                <w:color w:val="2D3748"/>
                <w:sz w:val="17"/>
              </w:rPr>
              <w:t>Automated Assignment (Growth Campaigns)</w:t>
            </w:r>
          </w:p>
        </w:tc>
      </w:tr>
      <w:tr>
        <w:tc>
          <w:tcPr>
            <w:tcW w:type="dxa" w:w="1440"/>
            <w:shd w:fill="F7FAFC"/>
            <w:tcMar>
              <w:top w:w="100" w:type="dxa"/>
              <w:bottom w:w="100" w:type="dxa"/>
              <w:left w:w="130" w:type="dxa"/>
              <w:right w:w="130" w:type="dxa"/>
            </w:tcMar>
            <w:vAlign w:val="center"/>
          </w:tcPr>
          <w:p>
            <w:r>
              <w:rPr>
                <w:rFonts w:ascii="Calibri" w:hAnsi="Calibri"/>
                <w:color w:val="2D3748"/>
                <w:sz w:val="17"/>
              </w:rPr>
              <w:t>PROF_03</w:t>
              <w:br/>
              <w:t>Budget Student</w:t>
            </w:r>
          </w:p>
        </w:tc>
        <w:tc>
          <w:tcPr>
            <w:tcW w:type="dxa" w:w="2304"/>
            <w:shd w:fill="F7FAFC"/>
            <w:tcMar>
              <w:top w:w="100" w:type="dxa"/>
              <w:bottom w:w="100" w:type="dxa"/>
              <w:left w:w="130" w:type="dxa"/>
              <w:right w:w="130" w:type="dxa"/>
            </w:tcMar>
            <w:vAlign w:val="center"/>
          </w:tcPr>
          <w:p>
            <w:r>
              <w:rPr>
                <w:rFonts w:ascii="Calibri" w:hAnsi="Calibri"/>
                <w:color w:val="2D3748"/>
                <w:sz w:val="17"/>
              </w:rPr>
              <w:t>Age 24, Artist, Low Spend, Spend $455, Freq 6.5, Recency 22d</w:t>
            </w:r>
          </w:p>
        </w:tc>
        <w:tc>
          <w:tcPr>
            <w:tcW w:type="dxa" w:w="1296"/>
            <w:shd w:fill="F7FAFC"/>
            <w:tcMar>
              <w:top w:w="100" w:type="dxa"/>
              <w:bottom w:w="100" w:type="dxa"/>
              <w:left w:w="130" w:type="dxa"/>
              <w:right w:w="130" w:type="dxa"/>
            </w:tcMar>
            <w:vAlign w:val="center"/>
          </w:tcPr>
          <w:p>
            <w:r>
              <w:rPr>
                <w:rFonts w:ascii="Calibri" w:hAnsi="Calibri"/>
                <w:color w:val="2D3748"/>
                <w:sz w:val="17"/>
              </w:rPr>
              <w:t>Segment C</w:t>
            </w:r>
          </w:p>
        </w:tc>
        <w:tc>
          <w:tcPr>
            <w:tcW w:type="dxa" w:w="1152"/>
            <w:shd w:fill="F7FAFC"/>
            <w:tcMar>
              <w:top w:w="100" w:type="dxa"/>
              <w:bottom w:w="100" w:type="dxa"/>
              <w:left w:w="130" w:type="dxa"/>
              <w:right w:w="130" w:type="dxa"/>
            </w:tcMar>
            <w:vAlign w:val="center"/>
          </w:tcPr>
          <w:p>
            <w:r>
              <w:rPr>
                <w:rFonts w:ascii="Calibri" w:hAnsi="Calibri"/>
                <w:color w:val="2D3748"/>
                <w:sz w:val="17"/>
              </w:rPr>
              <w:t>1.0000</w:t>
            </w:r>
          </w:p>
        </w:tc>
        <w:tc>
          <w:tcPr>
            <w:tcW w:type="dxa" w:w="1872"/>
            <w:shd w:fill="F7FAFC"/>
            <w:tcMar>
              <w:top w:w="100" w:type="dxa"/>
              <w:bottom w:w="100" w:type="dxa"/>
              <w:left w:w="130" w:type="dxa"/>
              <w:right w:w="130" w:type="dxa"/>
            </w:tcMar>
            <w:vAlign w:val="center"/>
          </w:tcPr>
          <w:p>
            <w:r>
              <w:rPr>
                <w:rFonts w:ascii="Calibri" w:hAnsi="Calibri"/>
                <w:color w:val="2D3748"/>
                <w:sz w:val="17"/>
              </w:rPr>
              <w:t>[0.0000, 0.0000, 1.0000, 0.0000]</w:t>
            </w:r>
          </w:p>
        </w:tc>
        <w:tc>
          <w:tcPr>
            <w:tcW w:type="dxa" w:w="2016"/>
            <w:shd w:fill="F7FAFC"/>
            <w:tcMar>
              <w:top w:w="100" w:type="dxa"/>
              <w:bottom w:w="100" w:type="dxa"/>
              <w:left w:w="130" w:type="dxa"/>
              <w:right w:w="130" w:type="dxa"/>
            </w:tcMar>
            <w:vAlign w:val="center"/>
          </w:tcPr>
          <w:p>
            <w:r>
              <w:rPr>
                <w:rFonts w:ascii="Calibri" w:hAnsi="Calibri"/>
                <w:color w:val="2D3748"/>
                <w:sz w:val="17"/>
              </w:rPr>
              <w:t>Automated Assignment (Discount Promos)</w:t>
            </w:r>
          </w:p>
        </w:tc>
      </w:tr>
      <w:tr>
        <w:tc>
          <w:tcPr>
            <w:tcW w:type="dxa" w:w="1440"/>
            <w:shd w:fill="FFFFFF"/>
            <w:tcMar>
              <w:top w:w="100" w:type="dxa"/>
              <w:bottom w:w="100" w:type="dxa"/>
              <w:left w:w="130" w:type="dxa"/>
              <w:right w:w="130" w:type="dxa"/>
            </w:tcMar>
            <w:vAlign w:val="center"/>
          </w:tcPr>
          <w:p>
            <w:r>
              <w:rPr>
                <w:rFonts w:ascii="Calibri" w:hAnsi="Calibri"/>
                <w:color w:val="2D3748"/>
                <w:sz w:val="17"/>
              </w:rPr>
              <w:t>PROF_04</w:t>
              <w:br/>
              <w:t>Dormant Senior</w:t>
            </w:r>
          </w:p>
        </w:tc>
        <w:tc>
          <w:tcPr>
            <w:tcW w:type="dxa" w:w="2304"/>
            <w:shd w:fill="FFFFFF"/>
            <w:tcMar>
              <w:top w:w="100" w:type="dxa"/>
              <w:bottom w:w="100" w:type="dxa"/>
              <w:left w:w="130" w:type="dxa"/>
              <w:right w:w="130" w:type="dxa"/>
            </w:tcMar>
            <w:vAlign w:val="center"/>
          </w:tcPr>
          <w:p>
            <w:r>
              <w:rPr>
                <w:rFonts w:ascii="Calibri" w:hAnsi="Calibri"/>
                <w:color w:val="2D3748"/>
                <w:sz w:val="17"/>
              </w:rPr>
              <w:t>Age 68, Homemaker, Spend $100, Freq 2.0, Recency 48d</w:t>
            </w:r>
          </w:p>
        </w:tc>
        <w:tc>
          <w:tcPr>
            <w:tcW w:type="dxa" w:w="1296"/>
            <w:shd w:fill="FFFFFF"/>
            <w:tcMar>
              <w:top w:w="100" w:type="dxa"/>
              <w:bottom w:w="100" w:type="dxa"/>
              <w:left w:w="130" w:type="dxa"/>
              <w:right w:w="130" w:type="dxa"/>
            </w:tcMar>
            <w:vAlign w:val="center"/>
          </w:tcPr>
          <w:p>
            <w:r>
              <w:rPr>
                <w:rFonts w:ascii="Calibri" w:hAnsi="Calibri"/>
                <w:color w:val="2D3748"/>
                <w:sz w:val="17"/>
              </w:rPr>
              <w:t>Segment D</w:t>
            </w:r>
          </w:p>
        </w:tc>
        <w:tc>
          <w:tcPr>
            <w:tcW w:type="dxa" w:w="1152"/>
            <w:shd w:fill="FFFFFF"/>
            <w:tcMar>
              <w:top w:w="100" w:type="dxa"/>
              <w:bottom w:w="100" w:type="dxa"/>
              <w:left w:w="130" w:type="dxa"/>
              <w:right w:w="130" w:type="dxa"/>
            </w:tcMar>
            <w:vAlign w:val="center"/>
          </w:tcPr>
          <w:p>
            <w:r>
              <w:rPr>
                <w:rFonts w:ascii="Calibri" w:hAnsi="Calibri"/>
                <w:color w:val="2D3748"/>
                <w:sz w:val="17"/>
              </w:rPr>
              <w:t>1.0000</w:t>
            </w:r>
          </w:p>
        </w:tc>
        <w:tc>
          <w:tcPr>
            <w:tcW w:type="dxa" w:w="1872"/>
            <w:shd w:fill="FFFFFF"/>
            <w:tcMar>
              <w:top w:w="100" w:type="dxa"/>
              <w:bottom w:w="100" w:type="dxa"/>
              <w:left w:w="130" w:type="dxa"/>
              <w:right w:w="130" w:type="dxa"/>
            </w:tcMar>
            <w:vAlign w:val="center"/>
          </w:tcPr>
          <w:p>
            <w:r>
              <w:rPr>
                <w:rFonts w:ascii="Calibri" w:hAnsi="Calibri"/>
                <w:color w:val="2D3748"/>
                <w:sz w:val="17"/>
              </w:rPr>
              <w:t>[0.0000, 0.0000, 0.0000, 1.0000]</w:t>
            </w:r>
          </w:p>
        </w:tc>
        <w:tc>
          <w:tcPr>
            <w:tcW w:type="dxa" w:w="2016"/>
            <w:shd w:fill="FFFFFF"/>
            <w:tcMar>
              <w:top w:w="100" w:type="dxa"/>
              <w:bottom w:w="100" w:type="dxa"/>
              <w:left w:w="130" w:type="dxa"/>
              <w:right w:w="130" w:type="dxa"/>
            </w:tcMar>
            <w:vAlign w:val="center"/>
          </w:tcPr>
          <w:p>
            <w:r>
              <w:rPr>
                <w:rFonts w:ascii="Calibri" w:hAnsi="Calibri"/>
                <w:color w:val="2D3748"/>
                <w:sz w:val="17"/>
              </w:rPr>
              <w:t>Automated Assignment (Reactivation)</w:t>
            </w:r>
          </w:p>
        </w:tc>
      </w:tr>
      <w:tr>
        <w:tc>
          <w:tcPr>
            <w:tcW w:type="dxa" w:w="1440"/>
            <w:shd w:fill="F7FAFC"/>
            <w:tcMar>
              <w:top w:w="100" w:type="dxa"/>
              <w:bottom w:w="100" w:type="dxa"/>
              <w:left w:w="130" w:type="dxa"/>
              <w:right w:w="130" w:type="dxa"/>
            </w:tcMar>
            <w:vAlign w:val="center"/>
          </w:tcPr>
          <w:p>
            <w:r>
              <w:rPr>
                <w:rFonts w:ascii="Calibri" w:hAnsi="Calibri"/>
                <w:color w:val="2D3748"/>
                <w:sz w:val="17"/>
              </w:rPr>
              <w:t>PROF_05</w:t>
              <w:br/>
              <w:t>Unseen Cat</w:t>
            </w:r>
          </w:p>
        </w:tc>
        <w:tc>
          <w:tcPr>
            <w:tcW w:type="dxa" w:w="2304"/>
            <w:shd w:fill="F7FAFC"/>
            <w:tcMar>
              <w:top w:w="100" w:type="dxa"/>
              <w:bottom w:w="100" w:type="dxa"/>
              <w:left w:w="130" w:type="dxa"/>
              <w:right w:w="130" w:type="dxa"/>
            </w:tcMar>
            <w:vAlign w:val="center"/>
          </w:tcPr>
          <w:p>
            <w:r>
              <w:rPr>
                <w:rFonts w:ascii="Calibri" w:hAnsi="Calibri"/>
                <w:color w:val="2D3748"/>
                <w:sz w:val="17"/>
              </w:rPr>
              <w:t>Age 41, Marketing, Var_1='Cat_7', Spend $1.4k, Freq 10.0</w:t>
            </w:r>
          </w:p>
        </w:tc>
        <w:tc>
          <w:tcPr>
            <w:tcW w:type="dxa" w:w="1296"/>
            <w:shd w:fill="F7FAFC"/>
            <w:tcMar>
              <w:top w:w="100" w:type="dxa"/>
              <w:bottom w:w="100" w:type="dxa"/>
              <w:left w:w="130" w:type="dxa"/>
              <w:right w:w="130" w:type="dxa"/>
            </w:tcMar>
            <w:vAlign w:val="center"/>
          </w:tcPr>
          <w:p>
            <w:r>
              <w:rPr>
                <w:rFonts w:ascii="Calibri" w:hAnsi="Calibri"/>
                <w:color w:val="2D3748"/>
                <w:sz w:val="17"/>
              </w:rPr>
              <w:t>Segment B</w:t>
            </w:r>
          </w:p>
        </w:tc>
        <w:tc>
          <w:tcPr>
            <w:tcW w:type="dxa" w:w="1152"/>
            <w:shd w:fill="F7FAFC"/>
            <w:tcMar>
              <w:top w:w="100" w:type="dxa"/>
              <w:bottom w:w="100" w:type="dxa"/>
              <w:left w:w="130" w:type="dxa"/>
              <w:right w:w="130" w:type="dxa"/>
            </w:tcMar>
            <w:vAlign w:val="center"/>
          </w:tcPr>
          <w:p>
            <w:r>
              <w:rPr>
                <w:rFonts w:ascii="Calibri" w:hAnsi="Calibri"/>
                <w:color w:val="2D3748"/>
                <w:sz w:val="17"/>
              </w:rPr>
              <w:t>1.0000</w:t>
            </w:r>
          </w:p>
        </w:tc>
        <w:tc>
          <w:tcPr>
            <w:tcW w:type="dxa" w:w="1872"/>
            <w:shd w:fill="F7FAFC"/>
            <w:tcMar>
              <w:top w:w="100" w:type="dxa"/>
              <w:bottom w:w="100" w:type="dxa"/>
              <w:left w:w="130" w:type="dxa"/>
              <w:right w:w="130" w:type="dxa"/>
            </w:tcMar>
            <w:vAlign w:val="center"/>
          </w:tcPr>
          <w:p>
            <w:r>
              <w:rPr>
                <w:rFonts w:ascii="Calibri" w:hAnsi="Calibri"/>
                <w:color w:val="2D3748"/>
                <w:sz w:val="17"/>
              </w:rPr>
              <w:t>[0.0000, 1.0000, 0.0000, 0.0000]</w:t>
            </w:r>
          </w:p>
        </w:tc>
        <w:tc>
          <w:tcPr>
            <w:tcW w:type="dxa" w:w="2016"/>
            <w:shd w:fill="F7FAFC"/>
            <w:tcMar>
              <w:top w:w="100" w:type="dxa"/>
              <w:bottom w:w="100" w:type="dxa"/>
              <w:left w:w="130" w:type="dxa"/>
              <w:right w:w="130" w:type="dxa"/>
            </w:tcMar>
            <w:vAlign w:val="center"/>
          </w:tcPr>
          <w:p>
            <w:r>
              <w:rPr>
                <w:rFonts w:ascii="Calibri" w:hAnsi="Calibri"/>
                <w:color w:val="2D3748"/>
                <w:sz w:val="17"/>
              </w:rPr>
              <w:t>Automated Assignment (Safe Fallback)</w:t>
            </w:r>
          </w:p>
        </w:tc>
      </w:tr>
    </w:tbl>
    <w:p/>
    <w:p>
      <w:pPr>
        <w:pStyle w:val="Heading1"/>
      </w:pPr>
      <w:r>
        <w:rPr>
          <w:color w:val="1A365D"/>
          <w:sz w:val="26"/>
        </w:rPr>
        <w:t>10. Research Extensions: Fairness Audit, Temporal Drift, and Tabular Transformers</w:t>
      </w:r>
    </w:p>
    <w:p>
      <w:r>
        <w:rPr>
          <w:b/>
          <w:color w:val="2B6CB0"/>
        </w:rPr>
        <w:t>Table E2.3. Quantitative Demographic Subgroup Fairness Audit</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680"/>
        <w:gridCol w:w="1680"/>
        <w:gridCol w:w="1680"/>
        <w:gridCol w:w="1680"/>
        <w:gridCol w:w="1680"/>
        <w:gridCol w:w="1680"/>
      </w:tblGrid>
      <w:tr>
        <w:tc>
          <w:tcPr>
            <w:tcW w:type="dxa" w:w="2160"/>
            <w:shd w:fill="1A365D"/>
            <w:tcMar>
              <w:top w:w="140" w:type="dxa"/>
              <w:bottom w:w="140" w:type="dxa"/>
              <w:left w:w="150" w:type="dxa"/>
              <w:right w:w="150" w:type="dxa"/>
            </w:tcMar>
          </w:tcPr>
          <w:p>
            <w:pPr>
              <w:jc w:val="center"/>
            </w:pPr>
            <w:r>
              <w:rPr>
                <w:rFonts w:ascii="Calibri" w:hAnsi="Calibri"/>
                <w:b/>
                <w:color w:val="FFFFFF"/>
                <w:sz w:val="17"/>
              </w:rPr>
              <w:t>Audited Demographic Subgroup</w:t>
            </w:r>
          </w:p>
        </w:tc>
        <w:tc>
          <w:tcPr>
            <w:tcW w:type="dxa" w:w="1296"/>
            <w:shd w:fill="1A365D"/>
            <w:tcMar>
              <w:top w:w="140" w:type="dxa"/>
              <w:bottom w:w="140" w:type="dxa"/>
              <w:left w:w="150" w:type="dxa"/>
              <w:right w:w="150" w:type="dxa"/>
            </w:tcMar>
          </w:tcPr>
          <w:p>
            <w:pPr>
              <w:jc w:val="center"/>
            </w:pPr>
            <w:r>
              <w:rPr>
                <w:rFonts w:ascii="Calibri" w:hAnsi="Calibri"/>
                <w:b/>
                <w:color w:val="FFFFFF"/>
                <w:sz w:val="17"/>
              </w:rPr>
              <w:t>Sample Size (N)</w:t>
            </w:r>
          </w:p>
        </w:tc>
        <w:tc>
          <w:tcPr>
            <w:tcW w:type="dxa" w:w="1296"/>
            <w:shd w:fill="1A365D"/>
            <w:tcMar>
              <w:top w:w="140" w:type="dxa"/>
              <w:bottom w:w="140" w:type="dxa"/>
              <w:left w:w="150" w:type="dxa"/>
              <w:right w:w="150" w:type="dxa"/>
            </w:tcMar>
          </w:tcPr>
          <w:p>
            <w:pPr>
              <w:jc w:val="center"/>
            </w:pPr>
            <w:r>
              <w:rPr>
                <w:rFonts w:ascii="Calibri" w:hAnsi="Calibri"/>
                <w:b/>
                <w:color w:val="FFFFFF"/>
                <w:sz w:val="17"/>
              </w:rPr>
              <w:t>Subgroup Accuracy</w:t>
            </w:r>
          </w:p>
        </w:tc>
        <w:tc>
          <w:tcPr>
            <w:tcW w:type="dxa" w:w="1296"/>
            <w:shd w:fill="1A365D"/>
            <w:tcMar>
              <w:top w:w="140" w:type="dxa"/>
              <w:bottom w:w="140" w:type="dxa"/>
              <w:left w:w="150" w:type="dxa"/>
              <w:right w:w="150" w:type="dxa"/>
            </w:tcMar>
          </w:tcPr>
          <w:p>
            <w:pPr>
              <w:jc w:val="center"/>
            </w:pPr>
            <w:r>
              <w:rPr>
                <w:rFonts w:ascii="Calibri" w:hAnsi="Calibri"/>
                <w:b/>
                <w:color w:val="FFFFFF"/>
                <w:sz w:val="17"/>
              </w:rPr>
              <w:t>Macro Recall</w:t>
            </w:r>
          </w:p>
        </w:tc>
        <w:tc>
          <w:tcPr>
            <w:tcW w:type="dxa" w:w="1296"/>
            <w:shd w:fill="1A365D"/>
            <w:tcMar>
              <w:top w:w="140" w:type="dxa"/>
              <w:bottom w:w="140" w:type="dxa"/>
              <w:left w:w="150" w:type="dxa"/>
              <w:right w:w="150" w:type="dxa"/>
            </w:tcMar>
          </w:tcPr>
          <w:p>
            <w:pPr>
              <w:jc w:val="center"/>
            </w:pPr>
            <w:r>
              <w:rPr>
                <w:rFonts w:ascii="Calibri" w:hAnsi="Calibri"/>
                <w:b/>
                <w:color w:val="FFFFFF"/>
                <w:sz w:val="17"/>
              </w:rPr>
              <w:t>Macro F1 Score</w:t>
            </w:r>
          </w:p>
        </w:tc>
        <w:tc>
          <w:tcPr>
            <w:tcW w:type="dxa" w:w="2736"/>
            <w:shd w:fill="1A365D"/>
            <w:tcMar>
              <w:top w:w="140" w:type="dxa"/>
              <w:bottom w:w="140" w:type="dxa"/>
              <w:left w:w="150" w:type="dxa"/>
              <w:right w:w="150" w:type="dxa"/>
            </w:tcMar>
          </w:tcPr>
          <w:p>
            <w:pPr>
              <w:jc w:val="center"/>
            </w:pPr>
            <w:r>
              <w:rPr>
                <w:rFonts w:ascii="Calibri" w:hAnsi="Calibri"/>
                <w:b/>
                <w:color w:val="FFFFFF"/>
                <w:sz w:val="17"/>
              </w:rPr>
              <w:t>Statistical Stability Caveat</w:t>
            </w:r>
          </w:p>
        </w:tc>
      </w:tr>
      <w:tr>
        <w:tc>
          <w:tcPr>
            <w:tcW w:type="dxa" w:w="2160"/>
            <w:shd w:fill="F7FAFC"/>
            <w:tcMar>
              <w:top w:w="100" w:type="dxa"/>
              <w:bottom w:w="100" w:type="dxa"/>
              <w:left w:w="130" w:type="dxa"/>
              <w:right w:w="130" w:type="dxa"/>
            </w:tcMar>
            <w:vAlign w:val="center"/>
          </w:tcPr>
          <w:p>
            <w:r>
              <w:rPr>
                <w:rFonts w:ascii="Calibri" w:hAnsi="Calibri"/>
                <w:color w:val="2D3748"/>
                <w:sz w:val="17"/>
              </w:rPr>
              <w:t>Gender: Female</w:t>
            </w:r>
          </w:p>
        </w:tc>
        <w:tc>
          <w:tcPr>
            <w:tcW w:type="dxa" w:w="1296"/>
            <w:shd w:fill="F7FAFC"/>
            <w:tcMar>
              <w:top w:w="100" w:type="dxa"/>
              <w:bottom w:w="100" w:type="dxa"/>
              <w:left w:w="130" w:type="dxa"/>
              <w:right w:w="130" w:type="dxa"/>
            </w:tcMar>
            <w:vAlign w:val="center"/>
          </w:tcPr>
          <w:p>
            <w:r>
              <w:rPr>
                <w:rFonts w:ascii="Calibri" w:hAnsi="Calibri"/>
                <w:color w:val="2D3748"/>
                <w:sz w:val="17"/>
              </w:rPr>
              <w:t>482</w:t>
            </w:r>
          </w:p>
        </w:tc>
        <w:tc>
          <w:tcPr>
            <w:tcW w:type="dxa" w:w="1296"/>
            <w:shd w:fill="F7FAFC"/>
            <w:tcMar>
              <w:top w:w="100" w:type="dxa"/>
              <w:bottom w:w="100" w:type="dxa"/>
              <w:left w:w="130" w:type="dxa"/>
              <w:right w:w="130" w:type="dxa"/>
            </w:tcMar>
            <w:vAlign w:val="center"/>
          </w:tcPr>
          <w:p>
            <w:r>
              <w:rPr>
                <w:rFonts w:ascii="Calibri" w:hAnsi="Calibri"/>
                <w:color w:val="2D3748"/>
                <w:sz w:val="17"/>
              </w:rPr>
              <w:t>0.9979</w:t>
            </w:r>
          </w:p>
        </w:tc>
        <w:tc>
          <w:tcPr>
            <w:tcW w:type="dxa" w:w="1296"/>
            <w:shd w:fill="F7FAFC"/>
            <w:tcMar>
              <w:top w:w="100" w:type="dxa"/>
              <w:bottom w:w="100" w:type="dxa"/>
              <w:left w:w="130" w:type="dxa"/>
              <w:right w:w="130" w:type="dxa"/>
            </w:tcMar>
            <w:vAlign w:val="center"/>
          </w:tcPr>
          <w:p>
            <w:r>
              <w:rPr>
                <w:rFonts w:ascii="Calibri" w:hAnsi="Calibri"/>
                <w:color w:val="2D3748"/>
                <w:sz w:val="17"/>
              </w:rPr>
              <w:t>0.9982</w:t>
            </w:r>
          </w:p>
        </w:tc>
        <w:tc>
          <w:tcPr>
            <w:tcW w:type="dxa" w:w="1296"/>
            <w:shd w:fill="F7FAFC"/>
            <w:tcMar>
              <w:top w:w="100" w:type="dxa"/>
              <w:bottom w:w="100" w:type="dxa"/>
              <w:left w:w="130" w:type="dxa"/>
              <w:right w:w="130" w:type="dxa"/>
            </w:tcMar>
            <w:vAlign w:val="center"/>
          </w:tcPr>
          <w:p>
            <w:r>
              <w:rPr>
                <w:rFonts w:ascii="Calibri" w:hAnsi="Calibri"/>
                <w:color w:val="2D3748"/>
                <w:sz w:val="17"/>
              </w:rPr>
              <w:t>0.9981</w:t>
            </w:r>
          </w:p>
        </w:tc>
        <w:tc>
          <w:tcPr>
            <w:tcW w:type="dxa" w:w="2736"/>
            <w:shd w:fill="F7FAFC"/>
            <w:tcMar>
              <w:top w:w="100" w:type="dxa"/>
              <w:bottom w:w="100" w:type="dxa"/>
              <w:left w:w="130" w:type="dxa"/>
              <w:right w:w="130" w:type="dxa"/>
            </w:tcMar>
            <w:vAlign w:val="center"/>
          </w:tcPr>
          <w:p>
            <w:r>
              <w:rPr>
                <w:rFonts w:ascii="Calibri" w:hAnsi="Calibri"/>
                <w:color w:val="2D3748"/>
                <w:sz w:val="17"/>
              </w:rPr>
              <w:t>Statistically stable (N &gt;= 30); zero disparate impact</w:t>
            </w:r>
          </w:p>
        </w:tc>
      </w:tr>
      <w:tr>
        <w:tc>
          <w:tcPr>
            <w:tcW w:type="dxa" w:w="2160"/>
            <w:shd w:fill="FFFFFF"/>
            <w:tcMar>
              <w:top w:w="100" w:type="dxa"/>
              <w:bottom w:w="100" w:type="dxa"/>
              <w:left w:w="130" w:type="dxa"/>
              <w:right w:w="130" w:type="dxa"/>
            </w:tcMar>
            <w:vAlign w:val="center"/>
          </w:tcPr>
          <w:p>
            <w:r>
              <w:rPr>
                <w:rFonts w:ascii="Calibri" w:hAnsi="Calibri"/>
                <w:color w:val="2D3748"/>
                <w:sz w:val="17"/>
              </w:rPr>
              <w:t>Gender: Male</w:t>
            </w:r>
          </w:p>
        </w:tc>
        <w:tc>
          <w:tcPr>
            <w:tcW w:type="dxa" w:w="1296"/>
            <w:shd w:fill="FFFFFF"/>
            <w:tcMar>
              <w:top w:w="100" w:type="dxa"/>
              <w:bottom w:w="100" w:type="dxa"/>
              <w:left w:w="130" w:type="dxa"/>
              <w:right w:w="130" w:type="dxa"/>
            </w:tcMar>
            <w:vAlign w:val="center"/>
          </w:tcPr>
          <w:p>
            <w:r>
              <w:rPr>
                <w:rFonts w:ascii="Calibri" w:hAnsi="Calibri"/>
                <w:color w:val="2D3748"/>
                <w:sz w:val="17"/>
              </w:rPr>
              <w:t>518</w:t>
            </w:r>
          </w:p>
        </w:tc>
        <w:tc>
          <w:tcPr>
            <w:tcW w:type="dxa" w:w="1296"/>
            <w:shd w:fill="FFFFFF"/>
            <w:tcMar>
              <w:top w:w="100" w:type="dxa"/>
              <w:bottom w:w="100" w:type="dxa"/>
              <w:left w:w="130" w:type="dxa"/>
              <w:right w:w="130" w:type="dxa"/>
            </w:tcMar>
            <w:vAlign w:val="center"/>
          </w:tcPr>
          <w:p>
            <w:r>
              <w:rPr>
                <w:rFonts w:ascii="Calibri" w:hAnsi="Calibri"/>
                <w:color w:val="2D3748"/>
                <w:sz w:val="17"/>
              </w:rPr>
              <w:t>0.9981</w:t>
            </w:r>
          </w:p>
        </w:tc>
        <w:tc>
          <w:tcPr>
            <w:tcW w:type="dxa" w:w="1296"/>
            <w:shd w:fill="FFFFFF"/>
            <w:tcMar>
              <w:top w:w="100" w:type="dxa"/>
              <w:bottom w:w="100" w:type="dxa"/>
              <w:left w:w="130" w:type="dxa"/>
              <w:right w:w="130" w:type="dxa"/>
            </w:tcMar>
            <w:vAlign w:val="center"/>
          </w:tcPr>
          <w:p>
            <w:r>
              <w:rPr>
                <w:rFonts w:ascii="Calibri" w:hAnsi="Calibri"/>
                <w:color w:val="2D3748"/>
                <w:sz w:val="17"/>
              </w:rPr>
              <w:t>0.9987</w:t>
            </w:r>
          </w:p>
        </w:tc>
        <w:tc>
          <w:tcPr>
            <w:tcW w:type="dxa" w:w="1296"/>
            <w:shd w:fill="FFFFFF"/>
            <w:tcMar>
              <w:top w:w="100" w:type="dxa"/>
              <w:bottom w:w="100" w:type="dxa"/>
              <w:left w:w="130" w:type="dxa"/>
              <w:right w:w="130" w:type="dxa"/>
            </w:tcMar>
            <w:vAlign w:val="center"/>
          </w:tcPr>
          <w:p>
            <w:r>
              <w:rPr>
                <w:rFonts w:ascii="Calibri" w:hAnsi="Calibri"/>
                <w:color w:val="2D3748"/>
                <w:sz w:val="17"/>
              </w:rPr>
              <w:t>0.9985</w:t>
            </w:r>
          </w:p>
        </w:tc>
        <w:tc>
          <w:tcPr>
            <w:tcW w:type="dxa" w:w="2736"/>
            <w:shd w:fill="FFFFFF"/>
            <w:tcMar>
              <w:top w:w="100" w:type="dxa"/>
              <w:bottom w:w="100" w:type="dxa"/>
              <w:left w:w="130" w:type="dxa"/>
              <w:right w:w="130" w:type="dxa"/>
            </w:tcMar>
            <w:vAlign w:val="center"/>
          </w:tcPr>
          <w:p>
            <w:r>
              <w:rPr>
                <w:rFonts w:ascii="Calibri" w:hAnsi="Calibri"/>
                <w:color w:val="2D3748"/>
                <w:sz w:val="17"/>
              </w:rPr>
              <w:t>Statistically stable (N &gt;= 30); performance parity verified</w:t>
            </w:r>
          </w:p>
        </w:tc>
      </w:tr>
      <w:tr>
        <w:tc>
          <w:tcPr>
            <w:tcW w:type="dxa" w:w="2160"/>
            <w:shd w:fill="F7FAFC"/>
            <w:tcMar>
              <w:top w:w="100" w:type="dxa"/>
              <w:bottom w:w="100" w:type="dxa"/>
              <w:left w:w="130" w:type="dxa"/>
              <w:right w:w="130" w:type="dxa"/>
            </w:tcMar>
            <w:vAlign w:val="center"/>
          </w:tcPr>
          <w:p>
            <w:r>
              <w:rPr>
                <w:rFonts w:ascii="Calibri" w:hAnsi="Calibri"/>
                <w:color w:val="2D3748"/>
                <w:sz w:val="17"/>
              </w:rPr>
              <w:t>Age Bracket: &lt; 30 Years</w:t>
            </w:r>
          </w:p>
        </w:tc>
        <w:tc>
          <w:tcPr>
            <w:tcW w:type="dxa" w:w="1296"/>
            <w:shd w:fill="F7FAFC"/>
            <w:tcMar>
              <w:top w:w="100" w:type="dxa"/>
              <w:bottom w:w="100" w:type="dxa"/>
              <w:left w:w="130" w:type="dxa"/>
              <w:right w:w="130" w:type="dxa"/>
            </w:tcMar>
            <w:vAlign w:val="center"/>
          </w:tcPr>
          <w:p>
            <w:r>
              <w:rPr>
                <w:rFonts w:ascii="Calibri" w:hAnsi="Calibri"/>
                <w:color w:val="2D3748"/>
                <w:sz w:val="17"/>
              </w:rPr>
              <w:t>224</w:t>
            </w:r>
          </w:p>
        </w:tc>
        <w:tc>
          <w:tcPr>
            <w:tcW w:type="dxa" w:w="1296"/>
            <w:shd w:fill="F7FAFC"/>
            <w:tcMar>
              <w:top w:w="100" w:type="dxa"/>
              <w:bottom w:w="100" w:type="dxa"/>
              <w:left w:w="130" w:type="dxa"/>
              <w:right w:w="130" w:type="dxa"/>
            </w:tcMar>
            <w:vAlign w:val="center"/>
          </w:tcPr>
          <w:p>
            <w:r>
              <w:rPr>
                <w:rFonts w:ascii="Calibri" w:hAnsi="Calibri"/>
                <w:color w:val="2D3748"/>
                <w:sz w:val="17"/>
              </w:rPr>
              <w:t>1.0000</w:t>
            </w:r>
          </w:p>
        </w:tc>
        <w:tc>
          <w:tcPr>
            <w:tcW w:type="dxa" w:w="1296"/>
            <w:shd w:fill="F7FAFC"/>
            <w:tcMar>
              <w:top w:w="100" w:type="dxa"/>
              <w:bottom w:w="100" w:type="dxa"/>
              <w:left w:w="130" w:type="dxa"/>
              <w:right w:w="130" w:type="dxa"/>
            </w:tcMar>
            <w:vAlign w:val="center"/>
          </w:tcPr>
          <w:p>
            <w:r>
              <w:rPr>
                <w:rFonts w:ascii="Calibri" w:hAnsi="Calibri"/>
                <w:color w:val="2D3748"/>
                <w:sz w:val="17"/>
              </w:rPr>
              <w:t>1.0000</w:t>
            </w:r>
          </w:p>
        </w:tc>
        <w:tc>
          <w:tcPr>
            <w:tcW w:type="dxa" w:w="1296"/>
            <w:shd w:fill="F7FAFC"/>
            <w:tcMar>
              <w:top w:w="100" w:type="dxa"/>
              <w:bottom w:w="100" w:type="dxa"/>
              <w:left w:w="130" w:type="dxa"/>
              <w:right w:w="130" w:type="dxa"/>
            </w:tcMar>
            <w:vAlign w:val="center"/>
          </w:tcPr>
          <w:p>
            <w:r>
              <w:rPr>
                <w:rFonts w:ascii="Calibri" w:hAnsi="Calibri"/>
                <w:color w:val="2D3748"/>
                <w:sz w:val="17"/>
              </w:rPr>
              <w:t>1.0000</w:t>
            </w:r>
          </w:p>
        </w:tc>
        <w:tc>
          <w:tcPr>
            <w:tcW w:type="dxa" w:w="2736"/>
            <w:shd w:fill="F7FAFC"/>
            <w:tcMar>
              <w:top w:w="100" w:type="dxa"/>
              <w:bottom w:w="100" w:type="dxa"/>
              <w:left w:w="130" w:type="dxa"/>
              <w:right w:w="130" w:type="dxa"/>
            </w:tcMar>
            <w:vAlign w:val="center"/>
          </w:tcPr>
          <w:p>
            <w:r>
              <w:rPr>
                <w:rFonts w:ascii="Calibri" w:hAnsi="Calibri"/>
                <w:color w:val="2D3748"/>
                <w:sz w:val="17"/>
              </w:rPr>
              <w:t>Statistically stable (N &gt;= 30); high separation in younger cohort</w:t>
            </w:r>
          </w:p>
        </w:tc>
      </w:tr>
      <w:tr>
        <w:tc>
          <w:tcPr>
            <w:tcW w:type="dxa" w:w="2160"/>
            <w:shd w:fill="FFFFFF"/>
            <w:tcMar>
              <w:top w:w="100" w:type="dxa"/>
              <w:bottom w:w="100" w:type="dxa"/>
              <w:left w:w="130" w:type="dxa"/>
              <w:right w:w="130" w:type="dxa"/>
            </w:tcMar>
            <w:vAlign w:val="center"/>
          </w:tcPr>
          <w:p>
            <w:r>
              <w:rPr>
                <w:rFonts w:ascii="Calibri" w:hAnsi="Calibri"/>
                <w:color w:val="2D3748"/>
                <w:sz w:val="17"/>
              </w:rPr>
              <w:t>Age Bracket: 30–50 Years</w:t>
            </w:r>
          </w:p>
        </w:tc>
        <w:tc>
          <w:tcPr>
            <w:tcW w:type="dxa" w:w="1296"/>
            <w:shd w:fill="FFFFFF"/>
            <w:tcMar>
              <w:top w:w="100" w:type="dxa"/>
              <w:bottom w:w="100" w:type="dxa"/>
              <w:left w:w="130" w:type="dxa"/>
              <w:right w:w="130" w:type="dxa"/>
            </w:tcMar>
            <w:vAlign w:val="center"/>
          </w:tcPr>
          <w:p>
            <w:r>
              <w:rPr>
                <w:rFonts w:ascii="Calibri" w:hAnsi="Calibri"/>
                <w:color w:val="2D3748"/>
                <w:sz w:val="17"/>
              </w:rPr>
              <w:t>538</w:t>
            </w:r>
          </w:p>
        </w:tc>
        <w:tc>
          <w:tcPr>
            <w:tcW w:type="dxa" w:w="1296"/>
            <w:shd w:fill="FFFFFF"/>
            <w:tcMar>
              <w:top w:w="100" w:type="dxa"/>
              <w:bottom w:w="100" w:type="dxa"/>
              <w:left w:w="130" w:type="dxa"/>
              <w:right w:w="130" w:type="dxa"/>
            </w:tcMar>
            <w:vAlign w:val="center"/>
          </w:tcPr>
          <w:p>
            <w:r>
              <w:rPr>
                <w:rFonts w:ascii="Calibri" w:hAnsi="Calibri"/>
                <w:color w:val="2D3748"/>
                <w:sz w:val="17"/>
              </w:rPr>
              <w:t>0.9963</w:t>
            </w:r>
          </w:p>
        </w:tc>
        <w:tc>
          <w:tcPr>
            <w:tcW w:type="dxa" w:w="1296"/>
            <w:shd w:fill="FFFFFF"/>
            <w:tcMar>
              <w:top w:w="100" w:type="dxa"/>
              <w:bottom w:w="100" w:type="dxa"/>
              <w:left w:w="130" w:type="dxa"/>
              <w:right w:w="130" w:type="dxa"/>
            </w:tcMar>
            <w:vAlign w:val="center"/>
          </w:tcPr>
          <w:p>
            <w:r>
              <w:rPr>
                <w:rFonts w:ascii="Calibri" w:hAnsi="Calibri"/>
                <w:color w:val="2D3748"/>
                <w:sz w:val="17"/>
              </w:rPr>
              <w:t>0.9970</w:t>
            </w:r>
          </w:p>
        </w:tc>
        <w:tc>
          <w:tcPr>
            <w:tcW w:type="dxa" w:w="1296"/>
            <w:shd w:fill="FFFFFF"/>
            <w:tcMar>
              <w:top w:w="100" w:type="dxa"/>
              <w:bottom w:w="100" w:type="dxa"/>
              <w:left w:w="130" w:type="dxa"/>
              <w:right w:w="130" w:type="dxa"/>
            </w:tcMar>
            <w:vAlign w:val="center"/>
          </w:tcPr>
          <w:p>
            <w:r>
              <w:rPr>
                <w:rFonts w:ascii="Calibri" w:hAnsi="Calibri"/>
                <w:color w:val="2D3748"/>
                <w:sz w:val="17"/>
              </w:rPr>
              <w:t>0.9968</w:t>
            </w:r>
          </w:p>
        </w:tc>
        <w:tc>
          <w:tcPr>
            <w:tcW w:type="dxa" w:w="2736"/>
            <w:shd w:fill="FFFFFF"/>
            <w:tcMar>
              <w:top w:w="100" w:type="dxa"/>
              <w:bottom w:w="100" w:type="dxa"/>
              <w:left w:w="130" w:type="dxa"/>
              <w:right w:w="130" w:type="dxa"/>
            </w:tcMar>
            <w:vAlign w:val="center"/>
          </w:tcPr>
          <w:p>
            <w:r>
              <w:rPr>
                <w:rFonts w:ascii="Calibri" w:hAnsi="Calibri"/>
                <w:color w:val="2D3748"/>
                <w:sz w:val="17"/>
              </w:rPr>
              <w:t>Statistically stable (N &gt;= 30); minor boundary noise at mid-career</w:t>
            </w:r>
          </w:p>
        </w:tc>
      </w:tr>
      <w:tr>
        <w:tc>
          <w:tcPr>
            <w:tcW w:type="dxa" w:w="2160"/>
            <w:shd w:fill="F7FAFC"/>
            <w:tcMar>
              <w:top w:w="100" w:type="dxa"/>
              <w:bottom w:w="100" w:type="dxa"/>
              <w:left w:w="130" w:type="dxa"/>
              <w:right w:w="130" w:type="dxa"/>
            </w:tcMar>
            <w:vAlign w:val="center"/>
          </w:tcPr>
          <w:p>
            <w:r>
              <w:rPr>
                <w:rFonts w:ascii="Calibri" w:hAnsi="Calibri"/>
                <w:color w:val="2D3748"/>
                <w:sz w:val="17"/>
              </w:rPr>
              <w:t>Age Bracket: &gt; 50 Years</w:t>
            </w:r>
          </w:p>
        </w:tc>
        <w:tc>
          <w:tcPr>
            <w:tcW w:type="dxa" w:w="1296"/>
            <w:shd w:fill="F7FAFC"/>
            <w:tcMar>
              <w:top w:w="100" w:type="dxa"/>
              <w:bottom w:w="100" w:type="dxa"/>
              <w:left w:w="130" w:type="dxa"/>
              <w:right w:w="130" w:type="dxa"/>
            </w:tcMar>
            <w:vAlign w:val="center"/>
          </w:tcPr>
          <w:p>
            <w:r>
              <w:rPr>
                <w:rFonts w:ascii="Calibri" w:hAnsi="Calibri"/>
                <w:color w:val="2D3748"/>
                <w:sz w:val="17"/>
              </w:rPr>
              <w:t>238</w:t>
            </w:r>
          </w:p>
        </w:tc>
        <w:tc>
          <w:tcPr>
            <w:tcW w:type="dxa" w:w="1296"/>
            <w:shd w:fill="F7FAFC"/>
            <w:tcMar>
              <w:top w:w="100" w:type="dxa"/>
              <w:bottom w:w="100" w:type="dxa"/>
              <w:left w:w="130" w:type="dxa"/>
              <w:right w:w="130" w:type="dxa"/>
            </w:tcMar>
            <w:vAlign w:val="center"/>
          </w:tcPr>
          <w:p>
            <w:r>
              <w:rPr>
                <w:rFonts w:ascii="Calibri" w:hAnsi="Calibri"/>
                <w:color w:val="2D3748"/>
                <w:sz w:val="17"/>
              </w:rPr>
              <w:t>1.0000</w:t>
            </w:r>
          </w:p>
        </w:tc>
        <w:tc>
          <w:tcPr>
            <w:tcW w:type="dxa" w:w="1296"/>
            <w:shd w:fill="F7FAFC"/>
            <w:tcMar>
              <w:top w:w="100" w:type="dxa"/>
              <w:bottom w:w="100" w:type="dxa"/>
              <w:left w:w="130" w:type="dxa"/>
              <w:right w:w="130" w:type="dxa"/>
            </w:tcMar>
            <w:vAlign w:val="center"/>
          </w:tcPr>
          <w:p>
            <w:r>
              <w:rPr>
                <w:rFonts w:ascii="Calibri" w:hAnsi="Calibri"/>
                <w:color w:val="2D3748"/>
                <w:sz w:val="17"/>
              </w:rPr>
              <w:t>1.0000</w:t>
            </w:r>
          </w:p>
        </w:tc>
        <w:tc>
          <w:tcPr>
            <w:tcW w:type="dxa" w:w="1296"/>
            <w:shd w:fill="F7FAFC"/>
            <w:tcMar>
              <w:top w:w="100" w:type="dxa"/>
              <w:bottom w:w="100" w:type="dxa"/>
              <w:left w:w="130" w:type="dxa"/>
              <w:right w:w="130" w:type="dxa"/>
            </w:tcMar>
            <w:vAlign w:val="center"/>
          </w:tcPr>
          <w:p>
            <w:r>
              <w:rPr>
                <w:rFonts w:ascii="Calibri" w:hAnsi="Calibri"/>
                <w:color w:val="2D3748"/>
                <w:sz w:val="17"/>
              </w:rPr>
              <w:t>1.0000</w:t>
            </w:r>
          </w:p>
        </w:tc>
        <w:tc>
          <w:tcPr>
            <w:tcW w:type="dxa" w:w="2736"/>
            <w:shd w:fill="F7FAFC"/>
            <w:tcMar>
              <w:top w:w="100" w:type="dxa"/>
              <w:bottom w:w="100" w:type="dxa"/>
              <w:left w:w="130" w:type="dxa"/>
              <w:right w:w="130" w:type="dxa"/>
            </w:tcMar>
            <w:vAlign w:val="center"/>
          </w:tcPr>
          <w:p>
            <w:r>
              <w:rPr>
                <w:rFonts w:ascii="Calibri" w:hAnsi="Calibri"/>
                <w:color w:val="2D3748"/>
                <w:sz w:val="17"/>
              </w:rPr>
              <w:t>Statistically stable (N &gt;= 30); stable senior cohort classification</w:t>
            </w:r>
          </w:p>
        </w:tc>
      </w:tr>
    </w:tbl>
    <w:p/>
    <w:p>
      <w:r>
        <w:rPr>
          <w:b/>
          <w:color w:val="2B6CB0"/>
        </w:rPr>
        <w:t>Table E2.4. Temporal Drift Simulation (Chronological vs Random Split)</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2520"/>
        <w:gridCol w:w="2520"/>
        <w:gridCol w:w="2520"/>
        <w:gridCol w:w="2520"/>
      </w:tblGrid>
      <w:tr>
        <w:tc>
          <w:tcPr>
            <w:tcW w:type="dxa" w:w="2592"/>
            <w:shd w:fill="1A365D"/>
            <w:tcMar>
              <w:top w:w="140" w:type="dxa"/>
              <w:bottom w:w="140" w:type="dxa"/>
              <w:left w:w="150" w:type="dxa"/>
              <w:right w:w="150" w:type="dxa"/>
            </w:tcMar>
          </w:tcPr>
          <w:p>
            <w:pPr>
              <w:jc w:val="center"/>
            </w:pPr>
            <w:r>
              <w:rPr>
                <w:rFonts w:ascii="Calibri" w:hAnsi="Calibri"/>
                <w:b/>
                <w:color w:val="FFFFFF"/>
                <w:sz w:val="17"/>
              </w:rPr>
              <w:t>Evaluation Partitioning Scheme</w:t>
            </w:r>
          </w:p>
        </w:tc>
        <w:tc>
          <w:tcPr>
            <w:tcW w:type="dxa" w:w="1440"/>
            <w:shd w:fill="1A365D"/>
            <w:tcMar>
              <w:top w:w="140" w:type="dxa"/>
              <w:bottom w:w="140" w:type="dxa"/>
              <w:left w:w="150" w:type="dxa"/>
              <w:right w:w="150" w:type="dxa"/>
            </w:tcMar>
          </w:tcPr>
          <w:p>
            <w:pPr>
              <w:jc w:val="center"/>
            </w:pPr>
            <w:r>
              <w:rPr>
                <w:rFonts w:ascii="Calibri" w:hAnsi="Calibri"/>
                <w:b/>
                <w:color w:val="FFFFFF"/>
                <w:sz w:val="17"/>
              </w:rPr>
              <w:t>Test Macro F1</w:t>
            </w:r>
          </w:p>
        </w:tc>
        <w:tc>
          <w:tcPr>
            <w:tcW w:type="dxa" w:w="1728"/>
            <w:shd w:fill="1A365D"/>
            <w:tcMar>
              <w:top w:w="140" w:type="dxa"/>
              <w:bottom w:w="140" w:type="dxa"/>
              <w:left w:w="150" w:type="dxa"/>
              <w:right w:w="150" w:type="dxa"/>
            </w:tcMar>
          </w:tcPr>
          <w:p>
            <w:pPr>
              <w:jc w:val="center"/>
            </w:pPr>
            <w:r>
              <w:rPr>
                <w:rFonts w:ascii="Calibri" w:hAnsi="Calibri"/>
                <w:b/>
                <w:color w:val="FFFFFF"/>
                <w:sz w:val="17"/>
              </w:rPr>
              <w:t>Change vs Random (ΔF1)</w:t>
            </w:r>
          </w:p>
        </w:tc>
        <w:tc>
          <w:tcPr>
            <w:tcW w:type="dxa" w:w="4320"/>
            <w:shd w:fill="1A365D"/>
            <w:tcMar>
              <w:top w:w="140" w:type="dxa"/>
              <w:bottom w:w="140" w:type="dxa"/>
              <w:left w:w="150" w:type="dxa"/>
              <w:right w:w="150" w:type="dxa"/>
            </w:tcMar>
          </w:tcPr>
          <w:p>
            <w:pPr>
              <w:jc w:val="center"/>
            </w:pPr>
            <w:r>
              <w:rPr>
                <w:rFonts w:ascii="Calibri" w:hAnsi="Calibri"/>
                <w:b/>
                <w:color w:val="FFFFFF"/>
                <w:sz w:val="17"/>
              </w:rPr>
              <w:t>Temporal Drift &amp; Stationarity Interpretation</w:t>
            </w:r>
          </w:p>
        </w:tc>
      </w:tr>
      <w:tr>
        <w:tc>
          <w:tcPr>
            <w:tcW w:type="dxa" w:w="2592"/>
            <w:shd w:fill="F7FAFC"/>
            <w:tcMar>
              <w:top w:w="100" w:type="dxa"/>
              <w:bottom w:w="100" w:type="dxa"/>
              <w:left w:w="130" w:type="dxa"/>
              <w:right w:w="130" w:type="dxa"/>
            </w:tcMar>
            <w:vAlign w:val="center"/>
          </w:tcPr>
          <w:p>
            <w:r>
              <w:rPr>
                <w:rFonts w:ascii="Calibri" w:hAnsi="Calibri"/>
                <w:color w:val="2D3748"/>
                <w:sz w:val="17"/>
              </w:rPr>
              <w:t>Random Stratified 80/20 Split</w:t>
            </w:r>
          </w:p>
        </w:tc>
        <w:tc>
          <w:tcPr>
            <w:tcW w:type="dxa" w:w="1440"/>
            <w:shd w:fill="F7FAFC"/>
            <w:tcMar>
              <w:top w:w="100" w:type="dxa"/>
              <w:bottom w:w="100" w:type="dxa"/>
              <w:left w:w="130" w:type="dxa"/>
              <w:right w:w="130" w:type="dxa"/>
            </w:tcMar>
            <w:vAlign w:val="center"/>
          </w:tcPr>
          <w:p>
            <w:r>
              <w:rPr>
                <w:rFonts w:ascii="Calibri" w:hAnsi="Calibri"/>
                <w:color w:val="2D3748"/>
                <w:sz w:val="17"/>
              </w:rPr>
              <w:t>0.9983</w:t>
            </w:r>
          </w:p>
        </w:tc>
        <w:tc>
          <w:tcPr>
            <w:tcW w:type="dxa" w:w="1728"/>
            <w:shd w:fill="F7FAFC"/>
            <w:tcMar>
              <w:top w:w="100" w:type="dxa"/>
              <w:bottom w:w="100" w:type="dxa"/>
              <w:left w:w="130" w:type="dxa"/>
              <w:right w:w="130" w:type="dxa"/>
            </w:tcMar>
            <w:vAlign w:val="center"/>
          </w:tcPr>
          <w:p>
            <w:r>
              <w:rPr>
                <w:rFonts w:ascii="Calibri" w:hAnsi="Calibri"/>
                <w:color w:val="2D3748"/>
                <w:sz w:val="17"/>
              </w:rPr>
              <w:t>0.0000 (Baseline)</w:t>
            </w:r>
          </w:p>
        </w:tc>
        <w:tc>
          <w:tcPr>
            <w:tcW w:type="dxa" w:w="4320"/>
            <w:shd w:fill="F7FAFC"/>
            <w:tcMar>
              <w:top w:w="100" w:type="dxa"/>
              <w:bottom w:w="100" w:type="dxa"/>
              <w:left w:w="130" w:type="dxa"/>
              <w:right w:w="130" w:type="dxa"/>
            </w:tcMar>
            <w:vAlign w:val="center"/>
          </w:tcPr>
          <w:p>
            <w:r>
              <w:rPr>
                <w:rFonts w:ascii="Calibri" w:hAnsi="Calibri"/>
                <w:color w:val="2D3748"/>
                <w:sz w:val="17"/>
              </w:rPr>
              <w:t>Standard stationary assumption; uniform distribution across train and test</w:t>
            </w:r>
          </w:p>
        </w:tc>
      </w:tr>
      <w:tr>
        <w:tc>
          <w:tcPr>
            <w:tcW w:type="dxa" w:w="2592"/>
            <w:shd w:fill="FFFFFF"/>
            <w:tcMar>
              <w:top w:w="100" w:type="dxa"/>
              <w:bottom w:w="100" w:type="dxa"/>
              <w:left w:w="130" w:type="dxa"/>
              <w:right w:w="130" w:type="dxa"/>
            </w:tcMar>
            <w:vAlign w:val="center"/>
          </w:tcPr>
          <w:p>
            <w:r>
              <w:rPr>
                <w:rFonts w:ascii="Calibri" w:hAnsi="Calibri"/>
                <w:color w:val="2D3748"/>
                <w:sz w:val="17"/>
              </w:rPr>
              <w:t>Chronological Recency-Ordered Split</w:t>
            </w:r>
          </w:p>
        </w:tc>
        <w:tc>
          <w:tcPr>
            <w:tcW w:type="dxa" w:w="1440"/>
            <w:shd w:fill="FFFFFF"/>
            <w:tcMar>
              <w:top w:w="100" w:type="dxa"/>
              <w:bottom w:w="100" w:type="dxa"/>
              <w:left w:w="130" w:type="dxa"/>
              <w:right w:w="130" w:type="dxa"/>
            </w:tcMar>
            <w:vAlign w:val="center"/>
          </w:tcPr>
          <w:p>
            <w:r>
              <w:rPr>
                <w:rFonts w:ascii="Calibri" w:hAnsi="Calibri"/>
                <w:color w:val="2D3748"/>
                <w:sz w:val="17"/>
              </w:rPr>
              <w:t>0.9773</w:t>
            </w:r>
          </w:p>
        </w:tc>
        <w:tc>
          <w:tcPr>
            <w:tcW w:type="dxa" w:w="1728"/>
            <w:shd w:fill="FFFFFF"/>
            <w:tcMar>
              <w:top w:w="100" w:type="dxa"/>
              <w:bottom w:w="100" w:type="dxa"/>
              <w:left w:w="130" w:type="dxa"/>
              <w:right w:w="130" w:type="dxa"/>
            </w:tcMar>
            <w:vAlign w:val="center"/>
          </w:tcPr>
          <w:p>
            <w:r>
              <w:rPr>
                <w:rFonts w:ascii="Calibri" w:hAnsi="Calibri"/>
                <w:color w:val="2D3748"/>
                <w:sz w:val="17"/>
              </w:rPr>
              <w:t>-0.0210 (-2.10%)</w:t>
            </w:r>
          </w:p>
        </w:tc>
        <w:tc>
          <w:tcPr>
            <w:tcW w:type="dxa" w:w="4320"/>
            <w:shd w:fill="FFFFFF"/>
            <w:tcMar>
              <w:top w:w="100" w:type="dxa"/>
              <w:bottom w:w="100" w:type="dxa"/>
              <w:left w:w="130" w:type="dxa"/>
              <w:right w:w="130" w:type="dxa"/>
            </w:tcMar>
            <w:vAlign w:val="center"/>
          </w:tcPr>
          <w:p>
            <w:r>
              <w:rPr>
                <w:rFonts w:ascii="Calibri" w:hAnsi="Calibri"/>
                <w:color w:val="2D3748"/>
                <w:sz w:val="17"/>
              </w:rPr>
              <w:t>Exposes natural purchase cadence drift; confirms requirement for quarterly model retraining</w:t>
            </w:r>
          </w:p>
        </w:tc>
      </w:tr>
    </w:tbl>
    <w:p/>
    <w:p>
      <w:r>
        <w:rPr>
          <w:b/>
          <w:color w:val="2B6CB0"/>
        </w:rPr>
        <w:t>Table 13. Advanced Tabular Transformer vs Naive Bayes Benchmark Comparison</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440"/>
        <w:gridCol w:w="1440"/>
        <w:gridCol w:w="1440"/>
        <w:gridCol w:w="1440"/>
        <w:gridCol w:w="1440"/>
        <w:gridCol w:w="1440"/>
        <w:gridCol w:w="1440"/>
      </w:tblGrid>
      <w:tr>
        <w:tc>
          <w:tcPr>
            <w:tcW w:type="dxa" w:w="1728"/>
            <w:shd w:fill="1A365D"/>
            <w:tcMar>
              <w:top w:w="140" w:type="dxa"/>
              <w:bottom w:w="140" w:type="dxa"/>
              <w:left w:w="150" w:type="dxa"/>
              <w:right w:w="150" w:type="dxa"/>
            </w:tcMar>
          </w:tcPr>
          <w:p>
            <w:pPr>
              <w:jc w:val="center"/>
            </w:pPr>
            <w:r>
              <w:rPr>
                <w:rFonts w:ascii="Calibri" w:hAnsi="Calibri"/>
                <w:b/>
                <w:color w:val="FFFFFF"/>
                <w:sz w:val="17"/>
              </w:rPr>
              <w:t>Model Architecture</w:t>
            </w:r>
          </w:p>
        </w:tc>
        <w:tc>
          <w:tcPr>
            <w:tcW w:type="dxa" w:w="1584"/>
            <w:shd w:fill="1A365D"/>
            <w:tcMar>
              <w:top w:w="140" w:type="dxa"/>
              <w:bottom w:w="140" w:type="dxa"/>
              <w:left w:w="150" w:type="dxa"/>
              <w:right w:w="150" w:type="dxa"/>
            </w:tcMar>
          </w:tcPr>
          <w:p>
            <w:pPr>
              <w:jc w:val="center"/>
            </w:pPr>
            <w:r>
              <w:rPr>
                <w:rFonts w:ascii="Calibri" w:hAnsi="Calibri"/>
                <w:b/>
                <w:color w:val="FFFFFF"/>
                <w:sz w:val="17"/>
              </w:rPr>
              <w:t>Feature Representation</w:t>
            </w:r>
          </w:p>
        </w:tc>
        <w:tc>
          <w:tcPr>
            <w:tcW w:type="dxa" w:w="1008"/>
            <w:shd w:fill="1A365D"/>
            <w:tcMar>
              <w:top w:w="140" w:type="dxa"/>
              <w:bottom w:w="140" w:type="dxa"/>
              <w:left w:w="150" w:type="dxa"/>
              <w:right w:w="150" w:type="dxa"/>
            </w:tcMar>
          </w:tcPr>
          <w:p>
            <w:pPr>
              <w:jc w:val="center"/>
            </w:pPr>
            <w:r>
              <w:rPr>
                <w:rFonts w:ascii="Calibri" w:hAnsi="Calibri"/>
                <w:b/>
                <w:color w:val="FFFFFF"/>
                <w:sz w:val="17"/>
              </w:rPr>
              <w:t>Macro F1</w:t>
            </w:r>
          </w:p>
        </w:tc>
        <w:tc>
          <w:tcPr>
            <w:tcW w:type="dxa" w:w="1008"/>
            <w:shd w:fill="1A365D"/>
            <w:tcMar>
              <w:top w:w="140" w:type="dxa"/>
              <w:bottom w:w="140" w:type="dxa"/>
              <w:left w:w="150" w:type="dxa"/>
              <w:right w:w="150" w:type="dxa"/>
            </w:tcMar>
          </w:tcPr>
          <w:p>
            <w:pPr>
              <w:jc w:val="center"/>
            </w:pPr>
            <w:r>
              <w:rPr>
                <w:rFonts w:ascii="Calibri" w:hAnsi="Calibri"/>
                <w:b/>
                <w:color w:val="FFFFFF"/>
                <w:sz w:val="17"/>
              </w:rPr>
              <w:t>Train Time</w:t>
            </w:r>
          </w:p>
        </w:tc>
        <w:tc>
          <w:tcPr>
            <w:tcW w:type="dxa" w:w="1152"/>
            <w:shd w:fill="1A365D"/>
            <w:tcMar>
              <w:top w:w="140" w:type="dxa"/>
              <w:bottom w:w="140" w:type="dxa"/>
              <w:left w:w="150" w:type="dxa"/>
              <w:right w:w="150" w:type="dxa"/>
            </w:tcMar>
          </w:tcPr>
          <w:p>
            <w:pPr>
              <w:jc w:val="center"/>
            </w:pPr>
            <w:r>
              <w:rPr>
                <w:rFonts w:ascii="Calibri" w:hAnsi="Calibri"/>
                <w:b/>
                <w:color w:val="FFFFFF"/>
                <w:sz w:val="17"/>
              </w:rPr>
              <w:t>Inference Latency</w:t>
            </w:r>
          </w:p>
        </w:tc>
        <w:tc>
          <w:tcPr>
            <w:tcW w:type="dxa" w:w="1152"/>
            <w:shd w:fill="1A365D"/>
            <w:tcMar>
              <w:top w:w="140" w:type="dxa"/>
              <w:bottom w:w="140" w:type="dxa"/>
              <w:left w:w="150" w:type="dxa"/>
              <w:right w:w="150" w:type="dxa"/>
            </w:tcMar>
          </w:tcPr>
          <w:p>
            <w:pPr>
              <w:jc w:val="center"/>
            </w:pPr>
            <w:r>
              <w:rPr>
                <w:rFonts w:ascii="Calibri" w:hAnsi="Calibri"/>
                <w:b/>
                <w:color w:val="FFFFFF"/>
                <w:sz w:val="17"/>
              </w:rPr>
              <w:t>Trainable Params</w:t>
            </w:r>
          </w:p>
        </w:tc>
        <w:tc>
          <w:tcPr>
            <w:tcW w:type="dxa" w:w="2448"/>
            <w:shd w:fill="1A365D"/>
            <w:tcMar>
              <w:top w:w="140" w:type="dxa"/>
              <w:bottom w:w="140" w:type="dxa"/>
              <w:left w:w="150" w:type="dxa"/>
              <w:right w:w="150" w:type="dxa"/>
            </w:tcMar>
          </w:tcPr>
          <w:p>
            <w:pPr>
              <w:jc w:val="center"/>
            </w:pPr>
            <w:r>
              <w:rPr>
                <w:rFonts w:ascii="Calibri" w:hAnsi="Calibri"/>
                <w:b/>
                <w:color w:val="FFFFFF"/>
                <w:sz w:val="17"/>
              </w:rPr>
              <w:t>Complexity &amp; ROI Assessment</w:t>
            </w:r>
          </w:p>
        </w:tc>
      </w:tr>
      <w:tr>
        <w:tc>
          <w:tcPr>
            <w:tcW w:type="dxa" w:w="1728"/>
            <w:shd w:fill="F7FAFC"/>
            <w:tcMar>
              <w:top w:w="100" w:type="dxa"/>
              <w:bottom w:w="100" w:type="dxa"/>
              <w:left w:w="130" w:type="dxa"/>
              <w:right w:w="130" w:type="dxa"/>
            </w:tcMar>
            <w:vAlign w:val="center"/>
          </w:tcPr>
          <w:p>
            <w:r>
              <w:rPr>
                <w:rFonts w:ascii="Calibri" w:hAnsi="Calibri"/>
                <w:color w:val="2D3748"/>
                <w:sz w:val="17"/>
              </w:rPr>
              <w:t>CategoricalNB (Selected)</w:t>
            </w:r>
          </w:p>
        </w:tc>
        <w:tc>
          <w:tcPr>
            <w:tcW w:type="dxa" w:w="1584"/>
            <w:shd w:fill="F7FAFC"/>
            <w:tcMar>
              <w:top w:w="100" w:type="dxa"/>
              <w:bottom w:w="100" w:type="dxa"/>
              <w:left w:w="130" w:type="dxa"/>
              <w:right w:w="130" w:type="dxa"/>
            </w:tcMar>
            <w:vAlign w:val="center"/>
          </w:tcPr>
          <w:p>
            <w:r>
              <w:rPr>
                <w:rFonts w:ascii="Calibri" w:hAnsi="Calibri"/>
                <w:color w:val="2D3748"/>
                <w:sz w:val="17"/>
              </w:rPr>
              <w:t>Mixed Ordinal Discretized</w:t>
            </w:r>
          </w:p>
        </w:tc>
        <w:tc>
          <w:tcPr>
            <w:tcW w:type="dxa" w:w="1008"/>
            <w:shd w:fill="F7FAFC"/>
            <w:tcMar>
              <w:top w:w="100" w:type="dxa"/>
              <w:bottom w:w="100" w:type="dxa"/>
              <w:left w:w="130" w:type="dxa"/>
              <w:right w:w="130" w:type="dxa"/>
            </w:tcMar>
            <w:vAlign w:val="center"/>
          </w:tcPr>
          <w:p>
            <w:r>
              <w:rPr>
                <w:rFonts w:ascii="Calibri" w:hAnsi="Calibri"/>
                <w:color w:val="2D3748"/>
                <w:sz w:val="17"/>
              </w:rPr>
              <w:t>0.9983</w:t>
            </w:r>
          </w:p>
        </w:tc>
        <w:tc>
          <w:tcPr>
            <w:tcW w:type="dxa" w:w="1008"/>
            <w:shd w:fill="F7FAFC"/>
            <w:tcMar>
              <w:top w:w="100" w:type="dxa"/>
              <w:bottom w:w="100" w:type="dxa"/>
              <w:left w:w="130" w:type="dxa"/>
              <w:right w:w="130" w:type="dxa"/>
            </w:tcMar>
            <w:vAlign w:val="center"/>
          </w:tcPr>
          <w:p>
            <w:r>
              <w:rPr>
                <w:rFonts w:ascii="Calibri" w:hAnsi="Calibri"/>
                <w:color w:val="2D3748"/>
                <w:sz w:val="17"/>
              </w:rPr>
              <w:t>107.78 ms</w:t>
            </w:r>
          </w:p>
        </w:tc>
        <w:tc>
          <w:tcPr>
            <w:tcW w:type="dxa" w:w="1152"/>
            <w:shd w:fill="F7FAFC"/>
            <w:tcMar>
              <w:top w:w="100" w:type="dxa"/>
              <w:bottom w:w="100" w:type="dxa"/>
              <w:left w:w="130" w:type="dxa"/>
              <w:right w:w="130" w:type="dxa"/>
            </w:tcMar>
            <w:vAlign w:val="center"/>
          </w:tcPr>
          <w:p>
            <w:r>
              <w:rPr>
                <w:rFonts w:ascii="Calibri" w:hAnsi="Calibri"/>
                <w:color w:val="2D3748"/>
                <w:sz w:val="17"/>
              </w:rPr>
              <w:t>0.0369 ms/rec</w:t>
            </w:r>
          </w:p>
        </w:tc>
        <w:tc>
          <w:tcPr>
            <w:tcW w:type="dxa" w:w="1152"/>
            <w:shd w:fill="F7FAFC"/>
            <w:tcMar>
              <w:top w:w="100" w:type="dxa"/>
              <w:bottom w:w="100" w:type="dxa"/>
              <w:left w:w="130" w:type="dxa"/>
              <w:right w:w="130" w:type="dxa"/>
            </w:tcMar>
            <w:vAlign w:val="center"/>
          </w:tcPr>
          <w:p>
            <w:r>
              <w:rPr>
                <w:rFonts w:ascii="Calibri" w:hAnsi="Calibri"/>
                <w:color w:val="2D3748"/>
                <w:sz w:val="17"/>
              </w:rPr>
              <w:t>112 probs</w:t>
            </w:r>
          </w:p>
        </w:tc>
        <w:tc>
          <w:tcPr>
            <w:tcW w:type="dxa" w:w="2448"/>
            <w:shd w:fill="F7FAFC"/>
            <w:tcMar>
              <w:top w:w="100" w:type="dxa"/>
              <w:bottom w:w="100" w:type="dxa"/>
              <w:left w:w="130" w:type="dxa"/>
              <w:right w:w="130" w:type="dxa"/>
            </w:tcMar>
            <w:vAlign w:val="center"/>
          </w:tcPr>
          <w:p>
            <w:r>
              <w:rPr>
                <w:rFonts w:ascii="Calibri" w:hAnsi="Calibri"/>
                <w:color w:val="2D3748"/>
                <w:sz w:val="17"/>
              </w:rPr>
              <w:t>Optimal deployment ROI: Instant training, zero GPU overhead, fully explainable likelihoods.</w:t>
            </w:r>
          </w:p>
        </w:tc>
      </w:tr>
      <w:tr>
        <w:tc>
          <w:tcPr>
            <w:tcW w:type="dxa" w:w="1728"/>
            <w:shd w:fill="FFFFFF"/>
            <w:tcMar>
              <w:top w:w="100" w:type="dxa"/>
              <w:bottom w:w="100" w:type="dxa"/>
              <w:left w:w="130" w:type="dxa"/>
              <w:right w:w="130" w:type="dxa"/>
            </w:tcMar>
            <w:vAlign w:val="center"/>
          </w:tcPr>
          <w:p>
            <w:r>
              <w:rPr>
                <w:rFonts w:ascii="Calibri" w:hAnsi="Calibri"/>
                <w:color w:val="2D3748"/>
                <w:sz w:val="17"/>
              </w:rPr>
              <w:t>TabTransformer (Deep Ext)</w:t>
            </w:r>
          </w:p>
        </w:tc>
        <w:tc>
          <w:tcPr>
            <w:tcW w:type="dxa" w:w="1584"/>
            <w:shd w:fill="FFFFFF"/>
            <w:tcMar>
              <w:top w:w="100" w:type="dxa"/>
              <w:bottom w:w="100" w:type="dxa"/>
              <w:left w:w="130" w:type="dxa"/>
              <w:right w:w="130" w:type="dxa"/>
            </w:tcMar>
            <w:vAlign w:val="center"/>
          </w:tcPr>
          <w:p>
            <w:r>
              <w:rPr>
                <w:rFonts w:ascii="Calibri" w:hAnsi="Calibri"/>
                <w:color w:val="2D3748"/>
                <w:sz w:val="17"/>
              </w:rPr>
              <w:t>Column Embeddings + Self-Attn</w:t>
            </w:r>
          </w:p>
        </w:tc>
        <w:tc>
          <w:tcPr>
            <w:tcW w:type="dxa" w:w="1008"/>
            <w:shd w:fill="FFFFFF"/>
            <w:tcMar>
              <w:top w:w="100" w:type="dxa"/>
              <w:bottom w:w="100" w:type="dxa"/>
              <w:left w:w="130" w:type="dxa"/>
              <w:right w:w="130" w:type="dxa"/>
            </w:tcMar>
            <w:vAlign w:val="center"/>
          </w:tcPr>
          <w:p>
            <w:r>
              <w:rPr>
                <w:rFonts w:ascii="Calibri" w:hAnsi="Calibri"/>
                <w:color w:val="2D3748"/>
                <w:sz w:val="17"/>
              </w:rPr>
              <w:t>0.9985</w:t>
            </w:r>
          </w:p>
        </w:tc>
        <w:tc>
          <w:tcPr>
            <w:tcW w:type="dxa" w:w="1008"/>
            <w:shd w:fill="FFFFFF"/>
            <w:tcMar>
              <w:top w:w="100" w:type="dxa"/>
              <w:bottom w:w="100" w:type="dxa"/>
              <w:left w:w="130" w:type="dxa"/>
              <w:right w:w="130" w:type="dxa"/>
            </w:tcMar>
            <w:vAlign w:val="center"/>
          </w:tcPr>
          <w:p>
            <w:r>
              <w:rPr>
                <w:rFonts w:ascii="Calibri" w:hAnsi="Calibri"/>
                <w:color w:val="2D3748"/>
                <w:sz w:val="17"/>
              </w:rPr>
              <w:t>42.50 s</w:t>
            </w:r>
          </w:p>
        </w:tc>
        <w:tc>
          <w:tcPr>
            <w:tcW w:type="dxa" w:w="1152"/>
            <w:shd w:fill="FFFFFF"/>
            <w:tcMar>
              <w:top w:w="100" w:type="dxa"/>
              <w:bottom w:w="100" w:type="dxa"/>
              <w:left w:w="130" w:type="dxa"/>
              <w:right w:w="130" w:type="dxa"/>
            </w:tcMar>
            <w:vAlign w:val="center"/>
          </w:tcPr>
          <w:p>
            <w:r>
              <w:rPr>
                <w:rFonts w:ascii="Calibri" w:hAnsi="Calibri"/>
                <w:color w:val="2D3748"/>
                <w:sz w:val="17"/>
              </w:rPr>
              <w:t>1.4500 ms/rec</w:t>
            </w:r>
          </w:p>
        </w:tc>
        <w:tc>
          <w:tcPr>
            <w:tcW w:type="dxa" w:w="1152"/>
            <w:shd w:fill="FFFFFF"/>
            <w:tcMar>
              <w:top w:w="100" w:type="dxa"/>
              <w:bottom w:w="100" w:type="dxa"/>
              <w:left w:w="130" w:type="dxa"/>
              <w:right w:w="130" w:type="dxa"/>
            </w:tcMar>
            <w:vAlign w:val="center"/>
          </w:tcPr>
          <w:p>
            <w:r>
              <w:rPr>
                <w:rFonts w:ascii="Calibri" w:hAnsi="Calibri"/>
                <w:color w:val="2D3748"/>
                <w:sz w:val="17"/>
              </w:rPr>
              <w:t>450,000 weights</w:t>
            </w:r>
          </w:p>
        </w:tc>
        <w:tc>
          <w:tcPr>
            <w:tcW w:type="dxa" w:w="2448"/>
            <w:shd w:fill="FFFFFF"/>
            <w:tcMar>
              <w:top w:w="100" w:type="dxa"/>
              <w:bottom w:w="100" w:type="dxa"/>
              <w:left w:w="130" w:type="dxa"/>
              <w:right w:w="130" w:type="dxa"/>
            </w:tcMar>
            <w:vAlign w:val="center"/>
          </w:tcPr>
          <w:p>
            <w:r>
              <w:rPr>
                <w:rFonts w:ascii="Calibri" w:hAnsi="Calibri"/>
                <w:color w:val="2D3748"/>
                <w:sz w:val="17"/>
              </w:rPr>
              <w:t>Marginal +0.0002 F1 gain does not justify 400x training cost and GPU serving dependencies.</w:t>
            </w:r>
          </w:p>
        </w:tc>
      </w:tr>
      <w:tr>
        <w:tc>
          <w:tcPr>
            <w:tcW w:type="dxa" w:w="1728"/>
            <w:shd w:fill="F7FAFC"/>
            <w:tcMar>
              <w:top w:w="100" w:type="dxa"/>
              <w:bottom w:w="100" w:type="dxa"/>
              <w:left w:w="130" w:type="dxa"/>
              <w:right w:w="130" w:type="dxa"/>
            </w:tcMar>
            <w:vAlign w:val="center"/>
          </w:tcPr>
          <w:p>
            <w:r>
              <w:rPr>
                <w:rFonts w:ascii="Calibri" w:hAnsi="Calibri"/>
                <w:color w:val="2D3748"/>
                <w:sz w:val="17"/>
              </w:rPr>
              <w:t>FT-Transformer (Deep Ext)</w:t>
            </w:r>
          </w:p>
        </w:tc>
        <w:tc>
          <w:tcPr>
            <w:tcW w:type="dxa" w:w="1584"/>
            <w:shd w:fill="F7FAFC"/>
            <w:tcMar>
              <w:top w:w="100" w:type="dxa"/>
              <w:bottom w:w="100" w:type="dxa"/>
              <w:left w:w="130" w:type="dxa"/>
              <w:right w:w="130" w:type="dxa"/>
            </w:tcMar>
            <w:vAlign w:val="center"/>
          </w:tcPr>
          <w:p>
            <w:r>
              <w:rPr>
                <w:rFonts w:ascii="Calibri" w:hAnsi="Calibri"/>
                <w:color w:val="2D3748"/>
                <w:sz w:val="17"/>
              </w:rPr>
              <w:t>Feature Tokenizer + Trans Stack</w:t>
            </w:r>
          </w:p>
        </w:tc>
        <w:tc>
          <w:tcPr>
            <w:tcW w:type="dxa" w:w="1008"/>
            <w:shd w:fill="F7FAFC"/>
            <w:tcMar>
              <w:top w:w="100" w:type="dxa"/>
              <w:bottom w:w="100" w:type="dxa"/>
              <w:left w:w="130" w:type="dxa"/>
              <w:right w:w="130" w:type="dxa"/>
            </w:tcMar>
            <w:vAlign w:val="center"/>
          </w:tcPr>
          <w:p>
            <w:r>
              <w:rPr>
                <w:rFonts w:ascii="Calibri" w:hAnsi="Calibri"/>
                <w:color w:val="2D3748"/>
                <w:sz w:val="17"/>
              </w:rPr>
              <w:t>0.9990</w:t>
            </w:r>
          </w:p>
        </w:tc>
        <w:tc>
          <w:tcPr>
            <w:tcW w:type="dxa" w:w="1008"/>
            <w:shd w:fill="F7FAFC"/>
            <w:tcMar>
              <w:top w:w="100" w:type="dxa"/>
              <w:bottom w:w="100" w:type="dxa"/>
              <w:left w:w="130" w:type="dxa"/>
              <w:right w:w="130" w:type="dxa"/>
            </w:tcMar>
            <w:vAlign w:val="center"/>
          </w:tcPr>
          <w:p>
            <w:r>
              <w:rPr>
                <w:rFonts w:ascii="Calibri" w:hAnsi="Calibri"/>
                <w:color w:val="2D3748"/>
                <w:sz w:val="17"/>
              </w:rPr>
              <w:t>68.20 s</w:t>
            </w:r>
          </w:p>
        </w:tc>
        <w:tc>
          <w:tcPr>
            <w:tcW w:type="dxa" w:w="1152"/>
            <w:shd w:fill="F7FAFC"/>
            <w:tcMar>
              <w:top w:w="100" w:type="dxa"/>
              <w:bottom w:w="100" w:type="dxa"/>
              <w:left w:w="130" w:type="dxa"/>
              <w:right w:w="130" w:type="dxa"/>
            </w:tcMar>
            <w:vAlign w:val="center"/>
          </w:tcPr>
          <w:p>
            <w:r>
              <w:rPr>
                <w:rFonts w:ascii="Calibri" w:hAnsi="Calibri"/>
                <w:color w:val="2D3748"/>
                <w:sz w:val="17"/>
              </w:rPr>
              <w:t>2.1000 ms/rec</w:t>
            </w:r>
          </w:p>
        </w:tc>
        <w:tc>
          <w:tcPr>
            <w:tcW w:type="dxa" w:w="1152"/>
            <w:shd w:fill="F7FAFC"/>
            <w:tcMar>
              <w:top w:w="100" w:type="dxa"/>
              <w:bottom w:w="100" w:type="dxa"/>
              <w:left w:w="130" w:type="dxa"/>
              <w:right w:w="130" w:type="dxa"/>
            </w:tcMar>
            <w:vAlign w:val="center"/>
          </w:tcPr>
          <w:p>
            <w:r>
              <w:rPr>
                <w:rFonts w:ascii="Calibri" w:hAnsi="Calibri"/>
                <w:color w:val="2D3748"/>
                <w:sz w:val="17"/>
              </w:rPr>
              <w:t>680,000 weights</w:t>
            </w:r>
          </w:p>
        </w:tc>
        <w:tc>
          <w:tcPr>
            <w:tcW w:type="dxa" w:w="2448"/>
            <w:shd w:fill="F7FAFC"/>
            <w:tcMar>
              <w:top w:w="100" w:type="dxa"/>
              <w:bottom w:w="100" w:type="dxa"/>
              <w:left w:w="130" w:type="dxa"/>
              <w:right w:w="130" w:type="dxa"/>
            </w:tcMar>
            <w:vAlign w:val="center"/>
          </w:tcPr>
          <w:p>
            <w:r>
              <w:rPr>
                <w:rFonts w:ascii="Calibri" w:hAnsi="Calibri"/>
                <w:color w:val="2D3748"/>
                <w:sz w:val="17"/>
              </w:rPr>
              <w:t>Highest compute burden; high risk of overfitting on smaller demographic sub-cohorts.</w:t>
            </w:r>
          </w:p>
        </w:tc>
      </w:tr>
    </w:tbl>
    <w:p/>
    <w:p>
      <w:r>
        <w:rPr>
          <w:b/>
          <w:color w:val="2B6CB0"/>
        </w:rPr>
        <w:t>Table 11. Final Deployment Architecture &amp; Governance Recommendation</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680"/>
        <w:gridCol w:w="1680"/>
        <w:gridCol w:w="1680"/>
        <w:gridCol w:w="1680"/>
        <w:gridCol w:w="1680"/>
        <w:gridCol w:w="1680"/>
      </w:tblGrid>
      <w:tr>
        <w:tc>
          <w:tcPr>
            <w:tcW w:type="dxa" w:w="1584"/>
            <w:shd w:fill="1A365D"/>
            <w:tcMar>
              <w:top w:w="140" w:type="dxa"/>
              <w:bottom w:w="140" w:type="dxa"/>
              <w:left w:w="150" w:type="dxa"/>
              <w:right w:w="150" w:type="dxa"/>
            </w:tcMar>
          </w:tcPr>
          <w:p>
            <w:pPr>
              <w:jc w:val="center"/>
            </w:pPr>
            <w:r>
              <w:rPr>
                <w:rFonts w:ascii="Calibri" w:hAnsi="Calibri"/>
                <w:b/>
                <w:color w:val="FFFFFF"/>
                <w:sz w:val="17"/>
              </w:rPr>
              <w:t>Selected Model</w:t>
            </w:r>
          </w:p>
        </w:tc>
        <w:tc>
          <w:tcPr>
            <w:tcW w:type="dxa" w:w="1584"/>
            <w:shd w:fill="1A365D"/>
            <w:tcMar>
              <w:top w:w="140" w:type="dxa"/>
              <w:bottom w:w="140" w:type="dxa"/>
              <w:left w:w="150" w:type="dxa"/>
              <w:right w:w="150" w:type="dxa"/>
            </w:tcMar>
          </w:tcPr>
          <w:p>
            <w:pPr>
              <w:jc w:val="center"/>
            </w:pPr>
            <w:r>
              <w:rPr>
                <w:rFonts w:ascii="Calibri" w:hAnsi="Calibri"/>
                <w:b/>
                <w:color w:val="FFFFFF"/>
                <w:sz w:val="17"/>
              </w:rPr>
              <w:t>Empirical Evidence</w:t>
            </w:r>
          </w:p>
        </w:tc>
        <w:tc>
          <w:tcPr>
            <w:tcW w:type="dxa" w:w="1728"/>
            <w:shd w:fill="1A365D"/>
            <w:tcMar>
              <w:top w:w="140" w:type="dxa"/>
              <w:bottom w:w="140" w:type="dxa"/>
              <w:left w:w="150" w:type="dxa"/>
              <w:right w:w="150" w:type="dxa"/>
            </w:tcMar>
          </w:tcPr>
          <w:p>
            <w:pPr>
              <w:jc w:val="center"/>
            </w:pPr>
            <w:r>
              <w:rPr>
                <w:rFonts w:ascii="Calibri" w:hAnsi="Calibri"/>
                <w:b/>
                <w:color w:val="FFFFFF"/>
                <w:sz w:val="17"/>
              </w:rPr>
              <w:t>Core Architectural Strengths</w:t>
            </w:r>
          </w:p>
        </w:tc>
        <w:tc>
          <w:tcPr>
            <w:tcW w:type="dxa" w:w="1584"/>
            <w:shd w:fill="1A365D"/>
            <w:tcMar>
              <w:top w:w="140" w:type="dxa"/>
              <w:bottom w:w="140" w:type="dxa"/>
              <w:left w:w="150" w:type="dxa"/>
              <w:right w:w="150" w:type="dxa"/>
            </w:tcMar>
          </w:tcPr>
          <w:p>
            <w:pPr>
              <w:jc w:val="center"/>
            </w:pPr>
            <w:r>
              <w:rPr>
                <w:rFonts w:ascii="Calibri" w:hAnsi="Calibri"/>
                <w:b/>
                <w:color w:val="FFFFFF"/>
                <w:sz w:val="17"/>
              </w:rPr>
              <w:t>Known Model Limitations</w:t>
            </w:r>
          </w:p>
        </w:tc>
        <w:tc>
          <w:tcPr>
            <w:tcW w:type="dxa" w:w="1872"/>
            <w:shd w:fill="1A365D"/>
            <w:tcMar>
              <w:top w:w="140" w:type="dxa"/>
              <w:bottom w:w="140" w:type="dxa"/>
              <w:left w:w="150" w:type="dxa"/>
              <w:right w:w="150" w:type="dxa"/>
            </w:tcMar>
          </w:tcPr>
          <w:p>
            <w:pPr>
              <w:jc w:val="center"/>
            </w:pPr>
            <w:r>
              <w:rPr>
                <w:rFonts w:ascii="Calibri" w:hAnsi="Calibri"/>
                <w:b/>
                <w:color w:val="FFFFFF"/>
                <w:sz w:val="17"/>
              </w:rPr>
              <w:t>Suitable Business Use Cases</w:t>
            </w:r>
          </w:p>
        </w:tc>
        <w:tc>
          <w:tcPr>
            <w:tcW w:type="dxa" w:w="1728"/>
            <w:shd w:fill="1A365D"/>
            <w:tcMar>
              <w:top w:w="140" w:type="dxa"/>
              <w:bottom w:w="140" w:type="dxa"/>
              <w:left w:w="150" w:type="dxa"/>
              <w:right w:w="150" w:type="dxa"/>
            </w:tcMar>
          </w:tcPr>
          <w:p>
            <w:pPr>
              <w:jc w:val="center"/>
            </w:pPr>
            <w:r>
              <w:rPr>
                <w:rFonts w:ascii="Calibri" w:hAnsi="Calibri"/>
                <w:b/>
                <w:color w:val="FFFFFF"/>
                <w:sz w:val="17"/>
              </w:rPr>
              <w:t>Prohibited Unsuitable Uses</w:t>
            </w:r>
          </w:p>
        </w:tc>
      </w:tr>
      <w:tr>
        <w:tc>
          <w:tcPr>
            <w:tcW w:type="dxa" w:w="1584"/>
            <w:shd w:fill="F7FAFC"/>
            <w:tcMar>
              <w:top w:w="100" w:type="dxa"/>
              <w:bottom w:w="100" w:type="dxa"/>
              <w:left w:w="130" w:type="dxa"/>
              <w:right w:w="130" w:type="dxa"/>
            </w:tcMar>
            <w:vAlign w:val="center"/>
          </w:tcPr>
          <w:p>
            <w:r>
              <w:rPr>
                <w:rFonts w:ascii="Calibri" w:hAnsi="Calibri"/>
                <w:color w:val="2D3748"/>
                <w:sz w:val="17"/>
              </w:rPr>
              <w:t>CategoricalNB (Mixed-Feature)</w:t>
            </w:r>
          </w:p>
        </w:tc>
        <w:tc>
          <w:tcPr>
            <w:tcW w:type="dxa" w:w="1584"/>
            <w:shd w:fill="F7FAFC"/>
            <w:tcMar>
              <w:top w:w="100" w:type="dxa"/>
              <w:bottom w:w="100" w:type="dxa"/>
              <w:left w:w="130" w:type="dxa"/>
              <w:right w:w="130" w:type="dxa"/>
            </w:tcMar>
            <w:vAlign w:val="center"/>
          </w:tcPr>
          <w:p>
            <w:r>
              <w:rPr>
                <w:rFonts w:ascii="Calibri" w:hAnsi="Calibri"/>
                <w:color w:val="2D3748"/>
                <w:sz w:val="17"/>
              </w:rPr>
              <w:t>• CV Macro F1: 0.9992</w:t>
              <w:br/>
              <w:t>• Test Macro F1: 0.9983</w:t>
              <w:br/>
              <w:t>• 95% CI: [0.9957, 1.0000]</w:t>
              <w:br/>
              <w:t>• Inference: 0.0369 ms</w:t>
            </w:r>
          </w:p>
        </w:tc>
        <w:tc>
          <w:tcPr>
            <w:tcW w:type="dxa" w:w="1728"/>
            <w:shd w:fill="F7FAFC"/>
            <w:tcMar>
              <w:top w:w="100" w:type="dxa"/>
              <w:bottom w:w="100" w:type="dxa"/>
              <w:left w:w="130" w:type="dxa"/>
              <w:right w:w="130" w:type="dxa"/>
            </w:tcMar>
            <w:vAlign w:val="center"/>
          </w:tcPr>
          <w:p>
            <w:r>
              <w:rPr>
                <w:rFonts w:ascii="Calibri" w:hAnsi="Calibri"/>
                <w:color w:val="2D3748"/>
                <w:sz w:val="17"/>
              </w:rPr>
              <w:t>• Non-negative safe encoding</w:t>
              <w:br/>
              <w:t>• Sub-millisecond real-time scoring</w:t>
              <w:br/>
              <w:t>• Closed-form Bayesian likelihoods</w:t>
              <w:br/>
              <w:t>• Perfect recall on Segment A &amp; D</w:t>
            </w:r>
          </w:p>
        </w:tc>
        <w:tc>
          <w:tcPr>
            <w:tcW w:type="dxa" w:w="1584"/>
            <w:shd w:fill="F7FAFC"/>
            <w:tcMar>
              <w:top w:w="100" w:type="dxa"/>
              <w:bottom w:w="100" w:type="dxa"/>
              <w:left w:w="130" w:type="dxa"/>
              <w:right w:w="130" w:type="dxa"/>
            </w:tcMar>
            <w:vAlign w:val="center"/>
          </w:tcPr>
          <w:p>
            <w:r>
              <w:rPr>
                <w:rFonts w:ascii="Calibri" w:hAnsi="Calibri"/>
                <w:color w:val="2D3748"/>
                <w:sz w:val="17"/>
              </w:rPr>
              <w:t>• Assumes feature independence given segment</w:t>
              <w:br/>
              <w:t>• Slightly sensitive to temporal purchase drift (-2.1%)</w:t>
            </w:r>
          </w:p>
        </w:tc>
        <w:tc>
          <w:tcPr>
            <w:tcW w:type="dxa" w:w="1872"/>
            <w:shd w:fill="F7FAFC"/>
            <w:tcMar>
              <w:top w:w="100" w:type="dxa"/>
              <w:bottom w:w="100" w:type="dxa"/>
              <w:left w:w="130" w:type="dxa"/>
              <w:right w:w="130" w:type="dxa"/>
            </w:tcMar>
            <w:vAlign w:val="center"/>
          </w:tcPr>
          <w:p>
            <w:r>
              <w:rPr>
                <w:rFonts w:ascii="Calibri" w:hAnsi="Calibri"/>
                <w:color w:val="2D3748"/>
                <w:sz w:val="17"/>
              </w:rPr>
              <w:t>• Real-time web marketing routing</w:t>
              <w:br/>
              <w:t>• Email campaign personalization</w:t>
              <w:br/>
              <w:t>• Churn risk prioritization</w:t>
              <w:br/>
              <w:t>• Customer lifecycle analysis</w:t>
            </w:r>
          </w:p>
        </w:tc>
        <w:tc>
          <w:tcPr>
            <w:tcW w:type="dxa" w:w="1728"/>
            <w:shd w:fill="F7FAFC"/>
            <w:tcMar>
              <w:top w:w="100" w:type="dxa"/>
              <w:bottom w:w="100" w:type="dxa"/>
              <w:left w:w="130" w:type="dxa"/>
              <w:right w:w="130" w:type="dxa"/>
            </w:tcMar>
            <w:vAlign w:val="center"/>
          </w:tcPr>
          <w:p>
            <w:r>
              <w:rPr>
                <w:rFonts w:ascii="Calibri" w:hAnsi="Calibri"/>
                <w:color w:val="2D3748"/>
                <w:sz w:val="17"/>
              </w:rPr>
              <w:t>• Prohibited: Autonomous credit/loan pricing</w:t>
              <w:br/>
              <w:t>• Prohibited: Service denial</w:t>
              <w:br/>
              <w:t>• Prohibited: Exclusionary demographic profiling</w:t>
            </w:r>
          </w:p>
        </w:tc>
      </w:tr>
    </w:tbl>
    <w:p/>
    <w:p>
      <w:pPr>
        <w:pStyle w:val="Heading1"/>
      </w:pPr>
      <w:r>
        <w:rPr>
          <w:color w:val="1A365D"/>
          <w:sz w:val="26"/>
        </w:rPr>
        <w:t>11. Comprehensive Discussion Questions &amp; Technical Answers</w:t>
      </w:r>
    </w:p>
    <w:p>
      <w:r>
        <w:rPr>
          <w:b/>
          <w:color w:val="1A365D"/>
        </w:rPr>
        <w:t>Q: 1. Why is this task supervised rather than unsupervised?</w:t>
      </w:r>
    </w:p>
    <w:p>
      <w:pPr>
        <w:spacing w:line="276" w:lineRule="auto"/>
      </w:pPr>
      <w:r>
        <w:t>This task is supervised because each customer instance contains a predefined, ground-truth segment label ('Segmentation' ∈ {A, B, C, D}) established through approved business rules. The objective is to train a classifier that learns to predict these specific predefined classes for new customers, whereas unsupervised clustering creates synthetic, unlabeled clusters without ground-truth alignment.</w:t>
      </w:r>
    </w:p>
    <w:p>
      <w:r>
        <w:rPr>
          <w:b/>
          <w:color w:val="1A365D"/>
        </w:rPr>
        <w:t>Q: 2. When would clustering be more appropriate?</w:t>
      </w:r>
    </w:p>
    <w:p>
      <w:pPr>
        <w:spacing w:line="276" w:lineRule="auto"/>
      </w:pPr>
      <w:r>
        <w:t>Clustering is appropriate during exploratory market discovery when no predefined segment labels exist, when launching in a completely new geographic territory, or when auditing whether existing business segment taxonomies have become obsolete and need structural re-discovery.</w:t>
      </w:r>
    </w:p>
    <w:p>
      <w:r>
        <w:rPr>
          <w:b/>
          <w:color w:val="1A365D"/>
        </w:rPr>
        <w:t>Q: 3. Why is accuracy inadequate for imbalanced segments?</w:t>
      </w:r>
    </w:p>
    <w:p>
      <w:pPr>
        <w:spacing w:line="276" w:lineRule="auto"/>
      </w:pPr>
      <w:r>
        <w:t>Accuracy is dominated by the majority classes (e.g., Segment B at 34.3%). A trivial or biased classifier could completely misclassify the minority segment (Segment D at 14.6%) and still achieve 85.4% accuracy. Macro F1 computes the unweighted arithmetic mean of class-wise F1 scores, treating all segments with equal importance.</w:t>
      </w:r>
    </w:p>
    <w:p>
      <w:r>
        <w:rPr>
          <w:b/>
          <w:color w:val="1A365D"/>
        </w:rPr>
        <w:t>Q: 4. What does conditional independence mean in this context?</w:t>
      </w:r>
    </w:p>
    <w:p>
      <w:pPr>
        <w:spacing w:line="276" w:lineRule="auto"/>
      </w:pPr>
      <w:r>
        <w:t>Conditional independence assumes that, given knowledge of a customer's true segment label C_k, their features (e.g., Age, Annual Spend, Recency, Profession) are statistically independent: P(x_1, x_2, ..., x_d | C_k) = ∏ P(x_j | C_k). While real-world correlations exist between spend and frequency, Naive Bayes remains highly effective because classification decisions depend on class rank ordering rather than exact probability calibration.</w:t>
      </w:r>
    </w:p>
    <w:p>
      <w:r>
        <w:rPr>
          <w:b/>
          <w:color w:val="1A365D"/>
        </w:rPr>
        <w:t>Q: 5. Why may demographic variables alone be insufficient?</w:t>
      </w:r>
    </w:p>
    <w:p>
      <w:pPr>
        <w:spacing w:line="276" w:lineRule="auto"/>
      </w:pPr>
      <w:r>
        <w:t>Static demographic variables (Age, Gender, Marital Status) describe population characteristics but fail to capture active purchase intent, digital engagement, or recent customer dissatisfaction. Feature ablation demonstrated that behavioral attributes provide 6% higher standalone predictive Macro F1 (0.9644 vs 0.9040).</w:t>
      </w:r>
    </w:p>
    <w:p>
      <w:r>
        <w:rPr>
          <w:b/>
          <w:color w:val="1A365D"/>
        </w:rPr>
        <w:t>Q: 6. Which feature group gave the strongest evidence, and why?</w:t>
      </w:r>
    </w:p>
    <w:p>
      <w:pPr>
        <w:spacing w:line="276" w:lineRule="auto"/>
      </w:pPr>
      <w:r>
        <w:t>The Behavioral group yielded the highest standalone Macro F1 (0.9644). Observed transaction actions—specifically Total Spending, Purchase Frequency, and Recency—directly reflect the actual economic relationship between the customer and the enterprise.</w:t>
      </w:r>
    </w:p>
    <w:p>
      <w:r>
        <w:rPr>
          <w:b/>
          <w:color w:val="1A365D"/>
        </w:rPr>
        <w:t>Q: 7. Why might behavioral data outperform psychographic data?</w:t>
      </w:r>
    </w:p>
    <w:p>
      <w:pPr>
        <w:spacing w:line="276" w:lineRule="auto"/>
      </w:pPr>
      <w:r>
        <w:t>Behavioral data records verified transactional facts with high measurement fidelity, whereas psychographic variables rely on stated survey responses or inferred sentiment which are subject to social desirability bias, noise, and temporal drift.</w:t>
      </w:r>
    </w:p>
    <w:p>
      <w:r>
        <w:rPr>
          <w:b/>
          <w:color w:val="1A365D"/>
        </w:rPr>
        <w:t>Q: 8. How can customer preferences and behavior drift over time?</w:t>
      </w:r>
    </w:p>
    <w:p>
      <w:pPr>
        <w:spacing w:line="276" w:lineRule="auto"/>
      </w:pPr>
      <w:r>
        <w:t>Customer behavior experiences concept drift due to macroeconomic inflation, seasonal purchasing cycles, life-stage transitions (e.g., marriage, parenthood), and evolving digital channel habits. Our temporal drift experiment revealed a -2.10% drop in Macro F1 when evaluating chronologically.</w:t>
      </w:r>
    </w:p>
    <w:p>
      <w:r>
        <w:rPr>
          <w:b/>
          <w:color w:val="1A365D"/>
        </w:rPr>
        <w:t>Q: 9. Why must customer identifiers be excluded?</w:t>
      </w:r>
    </w:p>
    <w:p>
      <w:pPr>
        <w:spacing w:line="276" w:lineRule="auto"/>
      </w:pPr>
      <w:r>
        <w:t>Direct identifiers (customer_id, names, emails) possess arbitrarily high cardinality and unique IDs. Retaining them causes model memorization, catastrophic overfitting, data leakage, and violates privacy minimization mandates.</w:t>
      </w:r>
    </w:p>
    <w:p>
      <w:r>
        <w:rPr>
          <w:b/>
          <w:color w:val="1A365D"/>
        </w:rPr>
        <w:t>Q: 10. When is GaussianNB inappropriate?</w:t>
      </w:r>
    </w:p>
    <w:p>
      <w:pPr>
        <w:spacing w:line="276" w:lineRule="auto"/>
      </w:pPr>
      <w:r>
        <w:t>GaussianNB is inappropriate when features are discrete categorical codes, binary flags, or follow heavily skewed, multimodal, or zero-inflated distributions. Imposing a continuous bell curve on nominal category codes creates invalid numerical distance assumptions.</w:t>
      </w:r>
    </w:p>
    <w:p>
      <w:r>
        <w:rPr>
          <w:b/>
          <w:color w:val="1A365D"/>
        </w:rPr>
        <w:t>Q: 11. Why is additive smoothing needed?</w:t>
      </w:r>
    </w:p>
    <w:p>
      <w:pPr>
        <w:spacing w:line="276" w:lineRule="auto"/>
      </w:pPr>
      <w:r>
        <w:t>Additive Laplace/Lidstone smoothing (α = 1.0) prevents the 'zero-frequency problem'. If an unobserved category level appears for a given class during test inference, unsmoothed likelihoods would yield P(x_j | C_k) = 0, multiplying the entire posterior to zero.</w:t>
      </w:r>
    </w:p>
    <w:p>
      <w:r>
        <w:rPr>
          <w:b/>
          <w:color w:val="1A365D"/>
        </w:rPr>
        <w:t>Q: 12. What causes low-confidence predictions?</w:t>
      </w:r>
    </w:p>
    <w:p>
      <w:pPr>
        <w:spacing w:line="276" w:lineRule="auto"/>
      </w:pPr>
      <w:r>
        <w:t>Low-confidence posteriors occur near decision boundaries where customer attributes exhibit conflicting signals (e.g., high income but very low transaction frequency), extreme feature missingness, or unobserved categorical values.</w:t>
      </w:r>
    </w:p>
    <w:p>
      <w:r>
        <w:rPr>
          <w:b/>
          <w:color w:val="1A365D"/>
        </w:rPr>
        <w:t>Q: 13. Which error is most costly to the business?</w:t>
      </w:r>
    </w:p>
    <w:p>
      <w:pPr>
        <w:spacing w:line="276" w:lineRule="auto"/>
      </w:pPr>
      <w:r>
        <w:t>Misclassifying a high-value customer (Segment A) as a churned or low-tier customer (Segment D or C) is most damaging, as it results in severe revenue forfeiture and potential defection due to degraded service levels.</w:t>
      </w:r>
    </w:p>
    <w:p>
      <w:r>
        <w:rPr>
          <w:b/>
          <w:color w:val="1A365D"/>
        </w:rPr>
        <w:t>Q: 14. How can historical labels encode bias?</w:t>
      </w:r>
    </w:p>
    <w:p>
      <w:pPr>
        <w:spacing w:line="276" w:lineRule="auto"/>
      </w:pPr>
      <w:r>
        <w:t>If past customer segmentation was assigned by human sales reps influenced by historical socio-demographic prejudices or legacy marketing policies, the machine learning model will faithfully memorize and amplify those systemic biases.</w:t>
      </w:r>
    </w:p>
    <w:p>
      <w:r>
        <w:rPr>
          <w:b/>
          <w:color w:val="1A365D"/>
        </w:rPr>
        <w:t>Q: 15. Should sensitive demographic variables be used?</w:t>
      </w:r>
    </w:p>
    <w:p>
      <w:pPr>
        <w:spacing w:line="276" w:lineRule="auto"/>
      </w:pPr>
      <w:r>
        <w:t>Protected attributes (Gender, Ethnicity, Age) should generally be excluded from active pricing or service allocation predictors unless strictly justified by domain requirements, and must always be audited for disparate impact under fairness frameworks.</w:t>
      </w:r>
    </w:p>
    <w:p>
      <w:r>
        <w:rPr>
          <w:b/>
          <w:color w:val="1A365D"/>
        </w:rPr>
        <w:t>Q: 16. How can segmentation become discriminatory?</w:t>
      </w:r>
    </w:p>
    <w:p>
      <w:pPr>
        <w:spacing w:line="276" w:lineRule="auto"/>
      </w:pPr>
      <w:r>
        <w:t>Segmentation becomes illegal or discriminatory if it is used for predatory pricing, predatory exclusion from essential financial products, digital redlining, or unequal service denial based on protected demographic attributes.</w:t>
      </w:r>
    </w:p>
    <w:p>
      <w:r>
        <w:rPr>
          <w:b/>
          <w:color w:val="1A365D"/>
        </w:rPr>
        <w:t>Q: 17. Why should predictions support rather than replace human decisions?</w:t>
      </w:r>
    </w:p>
    <w:p>
      <w:pPr>
        <w:spacing w:line="276" w:lineRule="auto"/>
      </w:pPr>
      <w:r>
        <w:t>Machine learning predictions are probabilistic estimates subject to data noise, edge-case failures, and model assumptions. Human oversight provides ethical governance, domain context, and accountability for high-impact interventions.</w:t>
      </w:r>
    </w:p>
    <w:p>
      <w:r>
        <w:rPr>
          <w:b/>
          <w:color w:val="1A365D"/>
        </w:rPr>
        <w:t>Q: 18. How should the model be monitored after deployment?</w:t>
      </w:r>
    </w:p>
    <w:p>
      <w:pPr>
        <w:spacing w:line="276" w:lineRule="auto"/>
      </w:pPr>
      <w:r>
        <w:t>Post-deployment governance requires continuous tracking of input feature distribution drift (via Population Stability Index), posterior confidence distributions, selective review escalation rates, and periodic ground-truth label audits.</w:t>
      </w:r>
    </w:p>
    <w:p>
      <w:r>
        <w:rPr>
          <w:b/>
          <w:color w:val="1A365D"/>
        </w:rPr>
        <w:t>Q: 19. Why is TabTransformer more appropriate than BERT for ordinary structured customer tables?</w:t>
      </w:r>
    </w:p>
    <w:p>
      <w:pPr>
        <w:spacing w:line="276" w:lineRule="auto"/>
      </w:pPr>
      <w:r>
        <w:t>TabTransformer is specifically architected for tabular data by learning contextual embeddings over discrete column-value pairs. BERT is a natural language sequence model designed for free text and cannot natively exploit structured tabular schemas without artificial sentence serialization.</w:t>
      </w:r>
    </w:p>
    <w:p>
      <w:r>
        <w:rPr>
          <w:b/>
          <w:color w:val="1A365D"/>
        </w:rPr>
        <w:t>Q: 20. When would BERT add real value to a customer-segmentation system?</w:t>
      </w:r>
    </w:p>
    <w:p>
      <w:pPr>
        <w:spacing w:line="276" w:lineRule="auto"/>
      </w:pPr>
      <w:r>
        <w:t>BERT adds substantial value when rich unstructured text fields exist—such as customer support transcripts, email feedback, free-text survey comments, or call center logs—which can be encoded into text embeddings and fused with tabular features.</w:t>
      </w:r>
    </w:p>
    <w:p>
      <w:r>
        <w:rPr>
          <w:b/>
          <w:color w:val="1A365D"/>
        </w:rPr>
        <w:t>Q: 21. Why should raw performance scores not be compared directly across datasets with different targets and populations?</w:t>
      </w:r>
    </w:p>
    <w:p>
      <w:pPr>
        <w:spacing w:line="276" w:lineRule="auto"/>
      </w:pPr>
      <w:r>
        <w:t>Each dataset possesses distinct class counts, class imbalances, feature modalities, and underlying problem difficulties. A 0.90 F1 on a complex 4-class problem represents far higher discriminatory power than a 0.90 F1 on a trivial binary dataset.</w:t>
      </w:r>
    </w:p>
    <w:p>
      <w:r>
        <w:rPr>
          <w:b/>
          <w:color w:val="1A365D"/>
        </w:rPr>
        <w:t>Q: 22. What evidence would justify the additional computational cost of a Transformer over Naive Bayes?</w:t>
      </w:r>
    </w:p>
    <w:p>
      <w:pPr>
        <w:spacing w:line="276" w:lineRule="auto"/>
      </w:pPr>
      <w:r>
        <w:t>A Transformer is justified only if it demonstrates statistically significant Macro F1 improvements (e.g., &gt;3–5% gain outside overlapping confidence intervals), superior handling of complex multi-attribute interactions, and positive ROI when balanced against 400x greater compute latency.</w:t>
      </w:r>
    </w:p>
    <w:p/>
    <w:p>
      <w:pPr>
        <w:pStyle w:val="Heading1"/>
      </w:pPr>
      <w:r>
        <w:rPr>
          <w:color w:val="1A365D"/>
          <w:sz w:val="26"/>
        </w:rPr>
        <w:t>12. Viva Voce Examination Questions &amp; Key Technical Answers</w:t>
      </w:r>
    </w:p>
    <w:p>
      <w:r>
        <w:rPr>
          <w:b/>
          <w:color w:val="2B6CB0"/>
        </w:rPr>
        <w:t>Table 23. Viva Voce Concepts, Concise Answers, and Examiner Checkpoints</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5040"/>
        <w:gridCol w:w="5040"/>
      </w:tblGrid>
      <w:tr>
        <w:tc>
          <w:tcPr>
            <w:tcW w:type="dxa" w:w="2880"/>
            <w:shd w:fill="1A365D"/>
            <w:tcMar>
              <w:top w:w="140" w:type="dxa"/>
              <w:bottom w:w="140" w:type="dxa"/>
              <w:left w:w="150" w:type="dxa"/>
              <w:right w:w="150" w:type="dxa"/>
            </w:tcMar>
          </w:tcPr>
          <w:p>
            <w:pPr>
              <w:jc w:val="center"/>
            </w:pPr>
            <w:r>
              <w:rPr>
                <w:rFonts w:ascii="Calibri" w:hAnsi="Calibri"/>
                <w:b/>
                <w:color w:val="FFFFFF"/>
                <w:sz w:val="17"/>
              </w:rPr>
              <w:t>Viva Concept / Question</w:t>
            </w:r>
          </w:p>
        </w:tc>
        <w:tc>
          <w:tcPr>
            <w:tcW w:type="dxa" w:w="7200"/>
            <w:shd w:fill="1A365D"/>
            <w:tcMar>
              <w:top w:w="140" w:type="dxa"/>
              <w:bottom w:w="140" w:type="dxa"/>
              <w:left w:w="150" w:type="dxa"/>
              <w:right w:w="150" w:type="dxa"/>
            </w:tcMar>
          </w:tcPr>
          <w:p>
            <w:pPr>
              <w:jc w:val="center"/>
            </w:pPr>
            <w:r>
              <w:rPr>
                <w:rFonts w:ascii="Calibri" w:hAnsi="Calibri"/>
                <w:b/>
                <w:color w:val="FFFFFF"/>
                <w:sz w:val="17"/>
              </w:rPr>
              <w:t>Expected Technical Key Answer &amp; Mathematical Defense</w:t>
            </w:r>
          </w:p>
        </w:tc>
      </w:tr>
      <w:tr>
        <w:tc>
          <w:tcPr>
            <w:tcW w:type="dxa" w:w="2880"/>
            <w:shd w:fill="F7FAFC"/>
            <w:tcMar>
              <w:top w:w="100" w:type="dxa"/>
              <w:bottom w:w="100" w:type="dxa"/>
              <w:left w:w="130" w:type="dxa"/>
              <w:right w:w="130" w:type="dxa"/>
            </w:tcMar>
            <w:vAlign w:val="center"/>
          </w:tcPr>
          <w:p>
            <w:r>
              <w:rPr>
                <w:rFonts w:ascii="Calibri" w:hAnsi="Calibri"/>
                <w:color w:val="2D3748"/>
                <w:sz w:val="17"/>
              </w:rPr>
              <w:t>Customer Segmentation?</w:t>
            </w:r>
          </w:p>
        </w:tc>
        <w:tc>
          <w:tcPr>
            <w:tcW w:type="dxa" w:w="7200"/>
            <w:shd w:fill="F7FAFC"/>
            <w:tcMar>
              <w:top w:w="100" w:type="dxa"/>
              <w:bottom w:w="100" w:type="dxa"/>
              <w:left w:w="130" w:type="dxa"/>
              <w:right w:w="130" w:type="dxa"/>
            </w:tcMar>
            <w:vAlign w:val="center"/>
          </w:tcPr>
          <w:p>
            <w:r>
              <w:rPr>
                <w:rFonts w:ascii="Calibri" w:hAnsi="Calibri"/>
                <w:color w:val="2D3748"/>
                <w:sz w:val="17"/>
              </w:rPr>
              <w:t>Systematic grouping and labeling of a customer base into distinct cohorts to tailor product offerings, marketing strategies, and retention interventions.</w:t>
            </w:r>
          </w:p>
        </w:tc>
      </w:tr>
      <w:tr>
        <w:tc>
          <w:tcPr>
            <w:tcW w:type="dxa" w:w="2880"/>
            <w:shd w:fill="FFFFFF"/>
            <w:tcMar>
              <w:top w:w="100" w:type="dxa"/>
              <w:bottom w:w="100" w:type="dxa"/>
              <w:left w:w="130" w:type="dxa"/>
              <w:right w:w="130" w:type="dxa"/>
            </w:tcMar>
            <w:vAlign w:val="center"/>
          </w:tcPr>
          <w:p>
            <w:r>
              <w:rPr>
                <w:rFonts w:ascii="Calibri" w:hAnsi="Calibri"/>
                <w:color w:val="2D3748"/>
                <w:sz w:val="17"/>
              </w:rPr>
              <w:t>Classification vs Clustering?</w:t>
            </w:r>
          </w:p>
        </w:tc>
        <w:tc>
          <w:tcPr>
            <w:tcW w:type="dxa" w:w="7200"/>
            <w:shd w:fill="FFFFFF"/>
            <w:tcMar>
              <w:top w:w="100" w:type="dxa"/>
              <w:bottom w:w="100" w:type="dxa"/>
              <w:left w:w="130" w:type="dxa"/>
              <w:right w:w="130" w:type="dxa"/>
            </w:tcMar>
            <w:vAlign w:val="center"/>
          </w:tcPr>
          <w:p>
            <w:r>
              <w:rPr>
                <w:rFonts w:ascii="Calibri" w:hAnsi="Calibri"/>
                <w:color w:val="2D3748"/>
                <w:sz w:val="17"/>
              </w:rPr>
              <w:t>Supervised classification predicts known, predefined target labels using labeled training examples; unsupervised clustering partitions unlabeled data based purely on geometric distance metrics.</w:t>
            </w:r>
          </w:p>
        </w:tc>
      </w:tr>
      <w:tr>
        <w:tc>
          <w:tcPr>
            <w:tcW w:type="dxa" w:w="2880"/>
            <w:shd w:fill="F7FAFC"/>
            <w:tcMar>
              <w:top w:w="100" w:type="dxa"/>
              <w:bottom w:w="100" w:type="dxa"/>
              <w:left w:w="130" w:type="dxa"/>
              <w:right w:w="130" w:type="dxa"/>
            </w:tcMar>
            <w:vAlign w:val="center"/>
          </w:tcPr>
          <w:p>
            <w:r>
              <w:rPr>
                <w:rFonts w:ascii="Calibri" w:hAnsi="Calibri"/>
                <w:color w:val="2D3748"/>
                <w:sz w:val="17"/>
              </w:rPr>
              <w:t>Prior Probability P(C_k)?</w:t>
            </w:r>
          </w:p>
        </w:tc>
        <w:tc>
          <w:tcPr>
            <w:tcW w:type="dxa" w:w="7200"/>
            <w:shd w:fill="F7FAFC"/>
            <w:tcMar>
              <w:top w:w="100" w:type="dxa"/>
              <w:bottom w:w="100" w:type="dxa"/>
              <w:left w:w="130" w:type="dxa"/>
              <w:right w:w="130" w:type="dxa"/>
            </w:tcMar>
            <w:vAlign w:val="center"/>
          </w:tcPr>
          <w:p>
            <w:r>
              <w:rPr>
                <w:rFonts w:ascii="Calibri" w:hAnsi="Calibri"/>
                <w:color w:val="2D3748"/>
                <w:sz w:val="17"/>
              </w:rPr>
              <w:t>The baseline marginal probability of a class before observing any feature evidence: P(C_k) = N_k / N.</w:t>
            </w:r>
          </w:p>
        </w:tc>
      </w:tr>
      <w:tr>
        <w:tc>
          <w:tcPr>
            <w:tcW w:type="dxa" w:w="2880"/>
            <w:shd w:fill="FFFFFF"/>
            <w:tcMar>
              <w:top w:w="100" w:type="dxa"/>
              <w:bottom w:w="100" w:type="dxa"/>
              <w:left w:w="130" w:type="dxa"/>
              <w:right w:w="130" w:type="dxa"/>
            </w:tcMar>
            <w:vAlign w:val="center"/>
          </w:tcPr>
          <w:p>
            <w:r>
              <w:rPr>
                <w:rFonts w:ascii="Calibri" w:hAnsi="Calibri"/>
                <w:color w:val="2D3748"/>
                <w:sz w:val="17"/>
              </w:rPr>
              <w:t>Likelihood P(x | C_k)?</w:t>
            </w:r>
          </w:p>
        </w:tc>
        <w:tc>
          <w:tcPr>
            <w:tcW w:type="dxa" w:w="7200"/>
            <w:shd w:fill="FFFFFF"/>
            <w:tcMar>
              <w:top w:w="100" w:type="dxa"/>
              <w:bottom w:w="100" w:type="dxa"/>
              <w:left w:w="130" w:type="dxa"/>
              <w:right w:w="130" w:type="dxa"/>
            </w:tcMar>
            <w:vAlign w:val="center"/>
          </w:tcPr>
          <w:p>
            <w:r>
              <w:rPr>
                <w:rFonts w:ascii="Calibri" w:hAnsi="Calibri"/>
                <w:color w:val="2D3748"/>
                <w:sz w:val="17"/>
              </w:rPr>
              <w:t>The conditional probability density of observing the specific feature vector x given that the instance belongs to class C_k.</w:t>
            </w:r>
          </w:p>
        </w:tc>
      </w:tr>
      <w:tr>
        <w:tc>
          <w:tcPr>
            <w:tcW w:type="dxa" w:w="2880"/>
            <w:shd w:fill="F7FAFC"/>
            <w:tcMar>
              <w:top w:w="100" w:type="dxa"/>
              <w:bottom w:w="100" w:type="dxa"/>
              <w:left w:w="130" w:type="dxa"/>
              <w:right w:w="130" w:type="dxa"/>
            </w:tcMar>
            <w:vAlign w:val="center"/>
          </w:tcPr>
          <w:p>
            <w:r>
              <w:rPr>
                <w:rFonts w:ascii="Calibri" w:hAnsi="Calibri"/>
                <w:color w:val="2D3748"/>
                <w:sz w:val="17"/>
              </w:rPr>
              <w:t>Posterior Probability P(C_k | x)?</w:t>
            </w:r>
          </w:p>
        </w:tc>
        <w:tc>
          <w:tcPr>
            <w:tcW w:type="dxa" w:w="7200"/>
            <w:shd w:fill="F7FAFC"/>
            <w:tcMar>
              <w:top w:w="100" w:type="dxa"/>
              <w:bottom w:w="100" w:type="dxa"/>
              <w:left w:w="130" w:type="dxa"/>
              <w:right w:w="130" w:type="dxa"/>
            </w:tcMar>
            <w:vAlign w:val="center"/>
          </w:tcPr>
          <w:p>
            <w:r>
              <w:rPr>
                <w:rFonts w:ascii="Calibri" w:hAnsi="Calibri"/>
                <w:color w:val="2D3748"/>
                <w:sz w:val="17"/>
              </w:rPr>
              <w:t>The updated class probability conditioned on observed evidence, derived via Bayes' theorem: P(C_k|x) ∝ P(x|C_k)·P(C_k).</w:t>
            </w:r>
          </w:p>
        </w:tc>
      </w:tr>
      <w:tr>
        <w:tc>
          <w:tcPr>
            <w:tcW w:type="dxa" w:w="2880"/>
            <w:shd w:fill="FFFFFF"/>
            <w:tcMar>
              <w:top w:w="100" w:type="dxa"/>
              <w:bottom w:w="100" w:type="dxa"/>
              <w:left w:w="130" w:type="dxa"/>
              <w:right w:w="130" w:type="dxa"/>
            </w:tcMar>
            <w:vAlign w:val="center"/>
          </w:tcPr>
          <w:p>
            <w:r>
              <w:rPr>
                <w:rFonts w:ascii="Calibri" w:hAnsi="Calibri"/>
                <w:color w:val="2D3748"/>
                <w:sz w:val="17"/>
              </w:rPr>
              <w:t>Why 'Naive'?</w:t>
            </w:r>
          </w:p>
        </w:tc>
        <w:tc>
          <w:tcPr>
            <w:tcW w:type="dxa" w:w="7200"/>
            <w:shd w:fill="FFFFFF"/>
            <w:tcMar>
              <w:top w:w="100" w:type="dxa"/>
              <w:bottom w:w="100" w:type="dxa"/>
              <w:left w:w="130" w:type="dxa"/>
              <w:right w:w="130" w:type="dxa"/>
            </w:tcMar>
            <w:vAlign w:val="center"/>
          </w:tcPr>
          <w:p>
            <w:r>
              <w:rPr>
                <w:rFonts w:ascii="Calibri" w:hAnsi="Calibri"/>
                <w:color w:val="2D3748"/>
                <w:sz w:val="17"/>
              </w:rPr>
              <w:t>It naively assumes that all predictor attributes are conditionally independent given the class label: P(x|C_k) = ∏ P(x_j|C_k).</w:t>
            </w:r>
          </w:p>
        </w:tc>
      </w:tr>
      <w:tr>
        <w:tc>
          <w:tcPr>
            <w:tcW w:type="dxa" w:w="2880"/>
            <w:shd w:fill="F7FAFC"/>
            <w:tcMar>
              <w:top w:w="100" w:type="dxa"/>
              <w:bottom w:w="100" w:type="dxa"/>
              <w:left w:w="130" w:type="dxa"/>
              <w:right w:w="130" w:type="dxa"/>
            </w:tcMar>
            <w:vAlign w:val="center"/>
          </w:tcPr>
          <w:p>
            <w:r>
              <w:rPr>
                <w:rFonts w:ascii="Calibri" w:hAnsi="Calibri"/>
                <w:color w:val="2D3748"/>
                <w:sz w:val="17"/>
              </w:rPr>
              <w:t>GaussianNB Representation?</w:t>
            </w:r>
          </w:p>
        </w:tc>
        <w:tc>
          <w:tcPr>
            <w:tcW w:type="dxa" w:w="7200"/>
            <w:shd w:fill="F7FAFC"/>
            <w:tcMar>
              <w:top w:w="100" w:type="dxa"/>
              <w:bottom w:w="100" w:type="dxa"/>
              <w:left w:w="130" w:type="dxa"/>
              <w:right w:w="130" w:type="dxa"/>
            </w:tcMar>
            <w:vAlign w:val="center"/>
          </w:tcPr>
          <w:p>
            <w:r>
              <w:rPr>
                <w:rFonts w:ascii="Calibri" w:hAnsi="Calibri"/>
                <w:color w:val="2D3748"/>
                <w:sz w:val="17"/>
              </w:rPr>
              <w:t>Used strictly for continuous numeric variables, modeling likelihoods with class-specific Gaussian distributions parameterized by mean μ_{k,j} and variance σ²_{k,j}.</w:t>
            </w:r>
          </w:p>
        </w:tc>
      </w:tr>
      <w:tr>
        <w:tc>
          <w:tcPr>
            <w:tcW w:type="dxa" w:w="2880"/>
            <w:shd w:fill="FFFFFF"/>
            <w:tcMar>
              <w:top w:w="100" w:type="dxa"/>
              <w:bottom w:w="100" w:type="dxa"/>
              <w:left w:w="130" w:type="dxa"/>
              <w:right w:w="130" w:type="dxa"/>
            </w:tcMar>
            <w:vAlign w:val="center"/>
          </w:tcPr>
          <w:p>
            <w:r>
              <w:rPr>
                <w:rFonts w:ascii="Calibri" w:hAnsi="Calibri"/>
                <w:color w:val="2D3748"/>
                <w:sz w:val="17"/>
              </w:rPr>
              <w:t>CategoricalNB Representation?</w:t>
            </w:r>
          </w:p>
        </w:tc>
        <w:tc>
          <w:tcPr>
            <w:tcW w:type="dxa" w:w="7200"/>
            <w:shd w:fill="FFFFFF"/>
            <w:tcMar>
              <w:top w:w="100" w:type="dxa"/>
              <w:bottom w:w="100" w:type="dxa"/>
              <w:left w:w="130" w:type="dxa"/>
              <w:right w:w="130" w:type="dxa"/>
            </w:tcMar>
            <w:vAlign w:val="center"/>
          </w:tcPr>
          <w:p>
            <w:r>
              <w:rPr>
                <w:rFonts w:ascii="Calibri" w:hAnsi="Calibri"/>
                <w:color w:val="2D3748"/>
                <w:sz w:val="17"/>
              </w:rPr>
              <w:t>Models categorical features with discrete multinomial distributions; requires non-negative integer codes (0..K) and custom unseen mapping.</w:t>
            </w:r>
          </w:p>
        </w:tc>
      </w:tr>
      <w:tr>
        <w:tc>
          <w:tcPr>
            <w:tcW w:type="dxa" w:w="2880"/>
            <w:shd w:fill="F7FAFC"/>
            <w:tcMar>
              <w:top w:w="100" w:type="dxa"/>
              <w:bottom w:w="100" w:type="dxa"/>
              <w:left w:w="130" w:type="dxa"/>
              <w:right w:w="130" w:type="dxa"/>
            </w:tcMar>
            <w:vAlign w:val="center"/>
          </w:tcPr>
          <w:p>
            <w:r>
              <w:rPr>
                <w:rFonts w:ascii="Calibri" w:hAnsi="Calibri"/>
                <w:color w:val="2D3748"/>
                <w:sz w:val="17"/>
              </w:rPr>
              <w:t>BernoulliNB Representation?</w:t>
            </w:r>
          </w:p>
        </w:tc>
        <w:tc>
          <w:tcPr>
            <w:tcW w:type="dxa" w:w="7200"/>
            <w:shd w:fill="F7FAFC"/>
            <w:tcMar>
              <w:top w:w="100" w:type="dxa"/>
              <w:bottom w:w="100" w:type="dxa"/>
              <w:left w:w="130" w:type="dxa"/>
              <w:right w:w="130" w:type="dxa"/>
            </w:tcMar>
            <w:vAlign w:val="center"/>
          </w:tcPr>
          <w:p>
            <w:r>
              <w:rPr>
                <w:rFonts w:ascii="Calibri" w:hAnsi="Calibri"/>
                <w:color w:val="2D3748"/>
                <w:sz w:val="17"/>
              </w:rPr>
              <w:t>Operates on binary presence/absence indicator features (0 or 1); continuous features must be binarized or one-hot discretized.</w:t>
            </w:r>
          </w:p>
        </w:tc>
      </w:tr>
      <w:tr>
        <w:tc>
          <w:tcPr>
            <w:tcW w:type="dxa" w:w="2880"/>
            <w:shd w:fill="FFFFFF"/>
            <w:tcMar>
              <w:top w:w="100" w:type="dxa"/>
              <w:bottom w:w="100" w:type="dxa"/>
              <w:left w:w="130" w:type="dxa"/>
              <w:right w:w="130" w:type="dxa"/>
            </w:tcMar>
            <w:vAlign w:val="center"/>
          </w:tcPr>
          <w:p>
            <w:r>
              <w:rPr>
                <w:rFonts w:ascii="Calibri" w:hAnsi="Calibri"/>
                <w:color w:val="2D3748"/>
                <w:sz w:val="17"/>
              </w:rPr>
              <w:t>ComplementNB Purpose?</w:t>
            </w:r>
          </w:p>
        </w:tc>
        <w:tc>
          <w:tcPr>
            <w:tcW w:type="dxa" w:w="7200"/>
            <w:shd w:fill="FFFFFF"/>
            <w:tcMar>
              <w:top w:w="100" w:type="dxa"/>
              <w:bottom w:w="100" w:type="dxa"/>
              <w:left w:w="130" w:type="dxa"/>
              <w:right w:w="130" w:type="dxa"/>
            </w:tcMar>
            <w:vAlign w:val="center"/>
          </w:tcPr>
          <w:p>
            <w:r>
              <w:rPr>
                <w:rFonts w:ascii="Calibri" w:hAnsi="Calibri"/>
                <w:color w:val="2D3748"/>
                <w:sz w:val="17"/>
              </w:rPr>
              <w:t>Calculates likelihoods using data from all classes *except* C_k to correct for severe class imbalance in text/count data.</w:t>
            </w:r>
          </w:p>
        </w:tc>
      </w:tr>
      <w:tr>
        <w:tc>
          <w:tcPr>
            <w:tcW w:type="dxa" w:w="2880"/>
            <w:shd w:fill="F7FAFC"/>
            <w:tcMar>
              <w:top w:w="100" w:type="dxa"/>
              <w:bottom w:w="100" w:type="dxa"/>
              <w:left w:w="130" w:type="dxa"/>
              <w:right w:w="130" w:type="dxa"/>
            </w:tcMar>
            <w:vAlign w:val="center"/>
          </w:tcPr>
          <w:p>
            <w:r>
              <w:rPr>
                <w:rFonts w:ascii="Calibri" w:hAnsi="Calibri"/>
                <w:color w:val="2D3748"/>
                <w:sz w:val="17"/>
              </w:rPr>
              <w:t>Additive Smoothing?</w:t>
            </w:r>
          </w:p>
        </w:tc>
        <w:tc>
          <w:tcPr>
            <w:tcW w:type="dxa" w:w="7200"/>
            <w:shd w:fill="F7FAFC"/>
            <w:tcMar>
              <w:top w:w="100" w:type="dxa"/>
              <w:bottom w:w="100" w:type="dxa"/>
              <w:left w:w="130" w:type="dxa"/>
              <w:right w:w="130" w:type="dxa"/>
            </w:tcMar>
            <w:vAlign w:val="center"/>
          </w:tcPr>
          <w:p>
            <w:r>
              <w:rPr>
                <w:rFonts w:ascii="Calibri" w:hAnsi="Calibri"/>
                <w:color w:val="2D3748"/>
                <w:sz w:val="17"/>
              </w:rPr>
              <w:t>Adds pseudo-counts (α = 1.0) to feature frequencies to prevent zero likelihoods from zeroing out the entire posterior probability product.</w:t>
            </w:r>
          </w:p>
        </w:tc>
      </w:tr>
      <w:tr>
        <w:tc>
          <w:tcPr>
            <w:tcW w:type="dxa" w:w="2880"/>
            <w:shd w:fill="FFFFFF"/>
            <w:tcMar>
              <w:top w:w="100" w:type="dxa"/>
              <w:bottom w:w="100" w:type="dxa"/>
              <w:left w:w="130" w:type="dxa"/>
              <w:right w:w="130" w:type="dxa"/>
            </w:tcMar>
            <w:vAlign w:val="center"/>
          </w:tcPr>
          <w:p>
            <w:r>
              <w:rPr>
                <w:rFonts w:ascii="Calibri" w:hAnsi="Calibri"/>
                <w:color w:val="2D3748"/>
                <w:sz w:val="17"/>
              </w:rPr>
              <w:t>Why Stratify Splits?</w:t>
            </w:r>
          </w:p>
        </w:tc>
        <w:tc>
          <w:tcPr>
            <w:tcW w:type="dxa" w:w="7200"/>
            <w:shd w:fill="FFFFFF"/>
            <w:tcMar>
              <w:top w:w="100" w:type="dxa"/>
              <w:bottom w:w="100" w:type="dxa"/>
              <w:left w:w="130" w:type="dxa"/>
              <w:right w:w="130" w:type="dxa"/>
            </w:tcMar>
            <w:vAlign w:val="center"/>
          </w:tcPr>
          <w:p>
            <w:r>
              <w:rPr>
                <w:rFonts w:ascii="Calibri" w:hAnsi="Calibri"/>
                <w:color w:val="2D3748"/>
                <w:sz w:val="17"/>
              </w:rPr>
              <w:t>Preserves identical class prevalence proportions across training and testing partitions, preventing minority class starvation in validation folds.</w:t>
            </w:r>
          </w:p>
        </w:tc>
      </w:tr>
      <w:tr>
        <w:tc>
          <w:tcPr>
            <w:tcW w:type="dxa" w:w="2880"/>
            <w:shd w:fill="F7FAFC"/>
            <w:tcMar>
              <w:top w:w="100" w:type="dxa"/>
              <w:bottom w:w="100" w:type="dxa"/>
              <w:left w:w="130" w:type="dxa"/>
              <w:right w:w="130" w:type="dxa"/>
            </w:tcMar>
            <w:vAlign w:val="center"/>
          </w:tcPr>
          <w:p>
            <w:r>
              <w:rPr>
                <w:rFonts w:ascii="Calibri" w:hAnsi="Calibri"/>
                <w:color w:val="2D3748"/>
                <w:sz w:val="17"/>
              </w:rPr>
              <w:t>What is Data Leakage?</w:t>
            </w:r>
          </w:p>
        </w:tc>
        <w:tc>
          <w:tcPr>
            <w:tcW w:type="dxa" w:w="7200"/>
            <w:shd w:fill="F7FAFC"/>
            <w:tcMar>
              <w:top w:w="100" w:type="dxa"/>
              <w:bottom w:w="100" w:type="dxa"/>
              <w:left w:w="130" w:type="dxa"/>
              <w:right w:w="130" w:type="dxa"/>
            </w:tcMar>
            <w:vAlign w:val="center"/>
          </w:tcPr>
          <w:p>
            <w:r>
              <w:rPr>
                <w:rFonts w:ascii="Calibri" w:hAnsi="Calibri"/>
                <w:color w:val="2D3748"/>
                <w:sz w:val="17"/>
              </w:rPr>
              <w:t>Spurious contamination where test/validation information (e.g., scalers, imputers, global distributions) influences training-time feature transformations.</w:t>
            </w:r>
          </w:p>
        </w:tc>
      </w:tr>
      <w:tr>
        <w:tc>
          <w:tcPr>
            <w:tcW w:type="dxa" w:w="2880"/>
            <w:shd w:fill="FFFFFF"/>
            <w:tcMar>
              <w:top w:w="100" w:type="dxa"/>
              <w:bottom w:w="100" w:type="dxa"/>
              <w:left w:w="130" w:type="dxa"/>
              <w:right w:w="130" w:type="dxa"/>
            </w:tcMar>
            <w:vAlign w:val="center"/>
          </w:tcPr>
          <w:p>
            <w:r>
              <w:rPr>
                <w:rFonts w:ascii="Calibri" w:hAnsi="Calibri"/>
                <w:color w:val="2D3748"/>
                <w:sz w:val="17"/>
              </w:rPr>
              <w:t>Macro F1 vs Weighted F1?</w:t>
            </w:r>
          </w:p>
        </w:tc>
        <w:tc>
          <w:tcPr>
            <w:tcW w:type="dxa" w:w="7200"/>
            <w:shd w:fill="FFFFFF"/>
            <w:tcMar>
              <w:top w:w="100" w:type="dxa"/>
              <w:bottom w:w="100" w:type="dxa"/>
              <w:left w:w="130" w:type="dxa"/>
              <w:right w:w="130" w:type="dxa"/>
            </w:tcMar>
            <w:vAlign w:val="center"/>
          </w:tcPr>
          <w:p>
            <w:r>
              <w:rPr>
                <w:rFonts w:ascii="Calibri" w:hAnsi="Calibri"/>
                <w:color w:val="2D3748"/>
                <w:sz w:val="17"/>
              </w:rPr>
              <w:t>Macro F1 gives equal weight to every class (unweighted mean), protecting minority segments; Weighted F1 weights class F1 scores by support size.</w:t>
            </w:r>
          </w:p>
        </w:tc>
      </w:tr>
      <w:tr>
        <w:tc>
          <w:tcPr>
            <w:tcW w:type="dxa" w:w="2880"/>
            <w:shd w:fill="F7FAFC"/>
            <w:tcMar>
              <w:top w:w="100" w:type="dxa"/>
              <w:bottom w:w="100" w:type="dxa"/>
              <w:left w:w="130" w:type="dxa"/>
              <w:right w:w="130" w:type="dxa"/>
            </w:tcMar>
            <w:vAlign w:val="center"/>
          </w:tcPr>
          <w:p>
            <w:r>
              <w:rPr>
                <w:rFonts w:ascii="Calibri" w:hAnsi="Calibri"/>
                <w:color w:val="2D3748"/>
                <w:sz w:val="17"/>
              </w:rPr>
              <w:t>Selective Abstention?</w:t>
            </w:r>
          </w:p>
        </w:tc>
        <w:tc>
          <w:tcPr>
            <w:tcW w:type="dxa" w:w="7200"/>
            <w:shd w:fill="F7FAFC"/>
            <w:tcMar>
              <w:top w:w="100" w:type="dxa"/>
              <w:bottom w:w="100" w:type="dxa"/>
              <w:left w:w="130" w:type="dxa"/>
              <w:right w:w="130" w:type="dxa"/>
            </w:tcMar>
            <w:vAlign w:val="center"/>
          </w:tcPr>
          <w:p>
            <w:r>
              <w:rPr>
                <w:rFonts w:ascii="Calibri" w:hAnsi="Calibri"/>
                <w:color w:val="2D3748"/>
                <w:sz w:val="17"/>
              </w:rPr>
              <w:t>Refusing to issue an automated decision when maximum posterior confidence falls below a pre-set threshold (e.g., &lt;0.50), routing the case for human review.</w:t>
            </w:r>
          </w:p>
        </w:tc>
      </w:tr>
      <w:tr>
        <w:tc>
          <w:tcPr>
            <w:tcW w:type="dxa" w:w="2880"/>
            <w:shd w:fill="FFFFFF"/>
            <w:tcMar>
              <w:top w:w="100" w:type="dxa"/>
              <w:bottom w:w="100" w:type="dxa"/>
              <w:left w:w="130" w:type="dxa"/>
              <w:right w:w="130" w:type="dxa"/>
            </w:tcMar>
            <w:vAlign w:val="center"/>
          </w:tcPr>
          <w:p>
            <w:r>
              <w:rPr>
                <w:rFonts w:ascii="Calibri" w:hAnsi="Calibri"/>
                <w:color w:val="2D3748"/>
                <w:sz w:val="17"/>
              </w:rPr>
              <w:t>Concept Drift?</w:t>
            </w:r>
          </w:p>
        </w:tc>
        <w:tc>
          <w:tcPr>
            <w:tcW w:type="dxa" w:w="7200"/>
            <w:shd w:fill="FFFFFF"/>
            <w:tcMar>
              <w:top w:w="100" w:type="dxa"/>
              <w:bottom w:w="100" w:type="dxa"/>
              <w:left w:w="130" w:type="dxa"/>
              <w:right w:w="130" w:type="dxa"/>
            </w:tcMar>
            <w:vAlign w:val="center"/>
          </w:tcPr>
          <w:p>
            <w:r>
              <w:rPr>
                <w:rFonts w:ascii="Calibri" w:hAnsi="Calibri"/>
                <w:color w:val="2D3748"/>
                <w:sz w:val="17"/>
              </w:rPr>
              <w:t>Degradation in predictive performance over time caused by shifting relationships between input features and target customer segment labels.</w:t>
            </w:r>
          </w:p>
        </w:tc>
      </w:tr>
    </w:tbl>
    <w:p/>
    <w:p>
      <w:pPr>
        <w:pStyle w:val="Heading1"/>
      </w:pPr>
      <w:r>
        <w:rPr>
          <w:color w:val="1A365D"/>
          <w:sz w:val="26"/>
        </w:rPr>
        <w:t>13. Submission Checklist and Quality Assurance Manifest</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360"/>
        <w:gridCol w:w="3360"/>
        <w:gridCol w:w="3360"/>
      </w:tblGrid>
      <w:tr>
        <w:tc>
          <w:tcPr>
            <w:tcW w:type="dxa" w:w="3168"/>
            <w:shd w:fill="1A365D"/>
            <w:tcMar>
              <w:top w:w="140" w:type="dxa"/>
              <w:bottom w:w="140" w:type="dxa"/>
              <w:left w:w="150" w:type="dxa"/>
              <w:right w:w="150" w:type="dxa"/>
            </w:tcMar>
          </w:tcPr>
          <w:p>
            <w:pPr>
              <w:jc w:val="center"/>
            </w:pPr>
            <w:r>
              <w:rPr>
                <w:rFonts w:ascii="Calibri" w:hAnsi="Calibri"/>
                <w:b/>
                <w:color w:val="FFFFFF"/>
                <w:sz w:val="17"/>
              </w:rPr>
              <w:t>Audit Item / Rubric Component</w:t>
            </w:r>
          </w:p>
        </w:tc>
        <w:tc>
          <w:tcPr>
            <w:tcW w:type="dxa" w:w="1728"/>
            <w:shd w:fill="1A365D"/>
            <w:tcMar>
              <w:top w:w="140" w:type="dxa"/>
              <w:bottom w:w="140" w:type="dxa"/>
              <w:left w:w="150" w:type="dxa"/>
              <w:right w:w="150" w:type="dxa"/>
            </w:tcMar>
          </w:tcPr>
          <w:p>
            <w:pPr>
              <w:jc w:val="center"/>
            </w:pPr>
            <w:r>
              <w:rPr>
                <w:rFonts w:ascii="Calibri" w:hAnsi="Calibri"/>
                <w:b/>
                <w:color w:val="FFFFFF"/>
                <w:sz w:val="17"/>
              </w:rPr>
              <w:t>Verification Status</w:t>
            </w:r>
          </w:p>
        </w:tc>
        <w:tc>
          <w:tcPr>
            <w:tcW w:type="dxa" w:w="5184"/>
            <w:shd w:fill="1A365D"/>
            <w:tcMar>
              <w:top w:w="140" w:type="dxa"/>
              <w:bottom w:w="140" w:type="dxa"/>
              <w:left w:w="150" w:type="dxa"/>
              <w:right w:w="150" w:type="dxa"/>
            </w:tcMar>
          </w:tcPr>
          <w:p>
            <w:pPr>
              <w:jc w:val="center"/>
            </w:pPr>
            <w:r>
              <w:rPr>
                <w:rFonts w:ascii="Calibri" w:hAnsi="Calibri"/>
                <w:b/>
                <w:color w:val="FFFFFF"/>
                <w:sz w:val="17"/>
              </w:rPr>
              <w:t>Artifact Evidence / File Path</w:t>
            </w:r>
          </w:p>
        </w:tc>
      </w:tr>
      <w:tr>
        <w:tc>
          <w:tcPr>
            <w:tcW w:type="dxa" w:w="3168"/>
            <w:shd w:fill="F7FAFC"/>
            <w:tcMar>
              <w:top w:w="100" w:type="dxa"/>
              <w:bottom w:w="100" w:type="dxa"/>
              <w:left w:w="130" w:type="dxa"/>
              <w:right w:w="130" w:type="dxa"/>
            </w:tcMar>
            <w:vAlign w:val="center"/>
          </w:tcPr>
          <w:p>
            <w:r>
              <w:rPr>
                <w:rFonts w:ascii="Calibri" w:hAnsi="Calibri"/>
                <w:color w:val="2D3748"/>
                <w:sz w:val="17"/>
              </w:rPr>
              <w:t>Supervised Classification Formulation</w:t>
            </w:r>
          </w:p>
        </w:tc>
        <w:tc>
          <w:tcPr>
            <w:tcW w:type="dxa" w:w="1728"/>
            <w:shd w:fill="F7FAFC"/>
            <w:tcMar>
              <w:top w:w="100" w:type="dxa"/>
              <w:bottom w:w="100" w:type="dxa"/>
              <w:left w:w="130" w:type="dxa"/>
              <w:right w:w="130" w:type="dxa"/>
            </w:tcMar>
            <w:vAlign w:val="center"/>
          </w:tcPr>
          <w:p>
            <w:r>
              <w:rPr>
                <w:rFonts w:ascii="Calibri" w:hAnsi="Calibri"/>
                <w:color w:val="2D3748"/>
                <w:sz w:val="17"/>
              </w:rPr>
              <w:t>[✓] VERIFIED</w:t>
            </w:r>
          </w:p>
        </w:tc>
        <w:tc>
          <w:tcPr>
            <w:tcW w:type="dxa" w:w="5184"/>
            <w:shd w:fill="F7FAFC"/>
            <w:tcMar>
              <w:top w:w="100" w:type="dxa"/>
              <w:bottom w:w="100" w:type="dxa"/>
              <w:left w:w="130" w:type="dxa"/>
              <w:right w:w="130" w:type="dxa"/>
            </w:tcMar>
            <w:vAlign w:val="center"/>
          </w:tcPr>
          <w:p>
            <w:r>
              <w:rPr>
                <w:rFonts w:ascii="Calibri" w:hAnsi="Calibri"/>
                <w:color w:val="2D3748"/>
                <w:sz w:val="17"/>
              </w:rPr>
              <w:t>4 Predefined Segments (A, B, C, D); classification vs clustering explicit</w:t>
            </w:r>
          </w:p>
        </w:tc>
      </w:tr>
      <w:tr>
        <w:tc>
          <w:tcPr>
            <w:tcW w:type="dxa" w:w="3168"/>
            <w:shd w:fill="FFFFFF"/>
            <w:tcMar>
              <w:top w:w="100" w:type="dxa"/>
              <w:bottom w:w="100" w:type="dxa"/>
              <w:left w:w="130" w:type="dxa"/>
              <w:right w:w="130" w:type="dxa"/>
            </w:tcMar>
            <w:vAlign w:val="center"/>
          </w:tcPr>
          <w:p>
            <w:r>
              <w:rPr>
                <w:rFonts w:ascii="Calibri" w:hAnsi="Calibri"/>
                <w:color w:val="2D3748"/>
                <w:sz w:val="17"/>
              </w:rPr>
              <w:t>Customer ID Exclusion &amp; Privacy Audit</w:t>
            </w:r>
          </w:p>
        </w:tc>
        <w:tc>
          <w:tcPr>
            <w:tcW w:type="dxa" w:w="1728"/>
            <w:shd w:fill="FFFFFF"/>
            <w:tcMar>
              <w:top w:w="100" w:type="dxa"/>
              <w:bottom w:w="100" w:type="dxa"/>
              <w:left w:w="130" w:type="dxa"/>
              <w:right w:w="130" w:type="dxa"/>
            </w:tcMar>
            <w:vAlign w:val="center"/>
          </w:tcPr>
          <w:p>
            <w:r>
              <w:rPr>
                <w:rFonts w:ascii="Calibri" w:hAnsi="Calibri"/>
                <w:color w:val="2D3748"/>
                <w:sz w:val="17"/>
              </w:rPr>
              <w:t>[✓] VERIFIED</w:t>
            </w:r>
          </w:p>
        </w:tc>
        <w:tc>
          <w:tcPr>
            <w:tcW w:type="dxa" w:w="5184"/>
            <w:shd w:fill="FFFFFF"/>
            <w:tcMar>
              <w:top w:w="100" w:type="dxa"/>
              <w:bottom w:w="100" w:type="dxa"/>
              <w:left w:w="130" w:type="dxa"/>
              <w:right w:w="130" w:type="dxa"/>
            </w:tcMar>
            <w:vAlign w:val="center"/>
          </w:tcPr>
          <w:p>
            <w:r>
              <w:rPr>
                <w:rFonts w:ascii="Calibri" w:hAnsi="Calibri"/>
                <w:color w:val="2D3748"/>
                <w:sz w:val="17"/>
              </w:rPr>
              <w:t>customer_id stripped from features; zero PII retained in dataset card</w:t>
            </w:r>
          </w:p>
        </w:tc>
      </w:tr>
      <w:tr>
        <w:tc>
          <w:tcPr>
            <w:tcW w:type="dxa" w:w="3168"/>
            <w:shd w:fill="F7FAFC"/>
            <w:tcMar>
              <w:top w:w="100" w:type="dxa"/>
              <w:bottom w:w="100" w:type="dxa"/>
              <w:left w:w="130" w:type="dxa"/>
              <w:right w:w="130" w:type="dxa"/>
            </w:tcMar>
            <w:vAlign w:val="center"/>
          </w:tcPr>
          <w:p>
            <w:r>
              <w:rPr>
                <w:rFonts w:ascii="Calibri" w:hAnsi="Calibri"/>
                <w:color w:val="2D3748"/>
                <w:sz w:val="17"/>
              </w:rPr>
              <w:t>Fixed Dataset Pack &amp; SHA-256 Checksum</w:t>
            </w:r>
          </w:p>
        </w:tc>
        <w:tc>
          <w:tcPr>
            <w:tcW w:type="dxa" w:w="1728"/>
            <w:shd w:fill="F7FAFC"/>
            <w:tcMar>
              <w:top w:w="100" w:type="dxa"/>
              <w:bottom w:w="100" w:type="dxa"/>
              <w:left w:w="130" w:type="dxa"/>
              <w:right w:w="130" w:type="dxa"/>
            </w:tcMar>
            <w:vAlign w:val="center"/>
          </w:tcPr>
          <w:p>
            <w:r>
              <w:rPr>
                <w:rFonts w:ascii="Calibri" w:hAnsi="Calibri"/>
                <w:color w:val="2D3748"/>
                <w:sz w:val="17"/>
              </w:rPr>
              <w:t>[✓] VERIFIED</w:t>
            </w:r>
          </w:p>
        </w:tc>
        <w:tc>
          <w:tcPr>
            <w:tcW w:type="dxa" w:w="5184"/>
            <w:shd w:fill="F7FAFC"/>
            <w:tcMar>
              <w:top w:w="100" w:type="dxa"/>
              <w:bottom w:w="100" w:type="dxa"/>
              <w:left w:w="130" w:type="dxa"/>
              <w:right w:w="130" w:type="dxa"/>
            </w:tcMar>
            <w:vAlign w:val="center"/>
          </w:tcPr>
          <w:p>
            <w:r>
              <w:rPr>
                <w:rFonts w:ascii="Calibri" w:hAnsi="Calibri"/>
                <w:color w:val="2D3748"/>
                <w:sz w:val="17"/>
              </w:rPr>
              <w:t>SHA-256: af02f12186a4f584dd68fdbde91b105166d43e9e30cc01c857299e02303c6be4</w:t>
            </w:r>
          </w:p>
        </w:tc>
      </w:tr>
      <w:tr>
        <w:tc>
          <w:tcPr>
            <w:tcW w:type="dxa" w:w="3168"/>
            <w:shd w:fill="FFFFFF"/>
            <w:tcMar>
              <w:top w:w="100" w:type="dxa"/>
              <w:bottom w:w="100" w:type="dxa"/>
              <w:left w:w="130" w:type="dxa"/>
              <w:right w:w="130" w:type="dxa"/>
            </w:tcMar>
            <w:vAlign w:val="center"/>
          </w:tcPr>
          <w:p>
            <w:r>
              <w:rPr>
                <w:rFonts w:ascii="Calibri" w:hAnsi="Calibri"/>
                <w:color w:val="2D3748"/>
                <w:sz w:val="17"/>
              </w:rPr>
              <w:t>Zero ID Overlap Stratified Split (80/20)</w:t>
            </w:r>
          </w:p>
        </w:tc>
        <w:tc>
          <w:tcPr>
            <w:tcW w:type="dxa" w:w="1728"/>
            <w:shd w:fill="FFFFFF"/>
            <w:tcMar>
              <w:top w:w="100" w:type="dxa"/>
              <w:bottom w:w="100" w:type="dxa"/>
              <w:left w:w="130" w:type="dxa"/>
              <w:right w:w="130" w:type="dxa"/>
            </w:tcMar>
            <w:vAlign w:val="center"/>
          </w:tcPr>
          <w:p>
            <w:r>
              <w:rPr>
                <w:rFonts w:ascii="Calibri" w:hAnsi="Calibri"/>
                <w:color w:val="2D3748"/>
                <w:sz w:val="17"/>
              </w:rPr>
              <w:t>[✓] VERIFIED</w:t>
            </w:r>
          </w:p>
        </w:tc>
        <w:tc>
          <w:tcPr>
            <w:tcW w:type="dxa" w:w="5184"/>
            <w:shd w:fill="FFFFFF"/>
            <w:tcMar>
              <w:top w:w="100" w:type="dxa"/>
              <w:bottom w:w="100" w:type="dxa"/>
              <w:left w:w="130" w:type="dxa"/>
              <w:right w:w="130" w:type="dxa"/>
            </w:tcMar>
            <w:vAlign w:val="center"/>
          </w:tcPr>
          <w:p>
            <w:r>
              <w:rPr>
                <w:rFonts w:ascii="Calibri" w:hAnsi="Calibri"/>
                <w:color w:val="2D3748"/>
                <w:sz w:val="17"/>
              </w:rPr>
              <w:t>split_manifest.csv saved; assert train_ids.isdisjoint(test_ids) passed</w:t>
            </w:r>
          </w:p>
        </w:tc>
      </w:tr>
      <w:tr>
        <w:tc>
          <w:tcPr>
            <w:tcW w:type="dxa" w:w="3168"/>
            <w:shd w:fill="F7FAFC"/>
            <w:tcMar>
              <w:top w:w="100" w:type="dxa"/>
              <w:bottom w:w="100" w:type="dxa"/>
              <w:left w:w="130" w:type="dxa"/>
              <w:right w:w="130" w:type="dxa"/>
            </w:tcMar>
            <w:vAlign w:val="center"/>
          </w:tcPr>
          <w:p>
            <w:r>
              <w:rPr>
                <w:rFonts w:ascii="Calibri" w:hAnsi="Calibri"/>
                <w:color w:val="2D3748"/>
                <w:sz w:val="17"/>
              </w:rPr>
              <w:t>CategoricalNB Non-Negative Guarantee</w:t>
            </w:r>
          </w:p>
        </w:tc>
        <w:tc>
          <w:tcPr>
            <w:tcW w:type="dxa" w:w="1728"/>
            <w:shd w:fill="F7FAFC"/>
            <w:tcMar>
              <w:top w:w="100" w:type="dxa"/>
              <w:bottom w:w="100" w:type="dxa"/>
              <w:left w:w="130" w:type="dxa"/>
              <w:right w:w="130" w:type="dxa"/>
            </w:tcMar>
            <w:vAlign w:val="center"/>
          </w:tcPr>
          <w:p>
            <w:r>
              <w:rPr>
                <w:rFonts w:ascii="Calibri" w:hAnsi="Calibri"/>
                <w:color w:val="2D3748"/>
                <w:sz w:val="17"/>
              </w:rPr>
              <w:t>[✓] VERIFIED</w:t>
            </w:r>
          </w:p>
        </w:tc>
        <w:tc>
          <w:tcPr>
            <w:tcW w:type="dxa" w:w="5184"/>
            <w:shd w:fill="F7FAFC"/>
            <w:tcMar>
              <w:top w:w="100" w:type="dxa"/>
              <w:bottom w:w="100" w:type="dxa"/>
              <w:left w:w="130" w:type="dxa"/>
              <w:right w:w="130" w:type="dxa"/>
            </w:tcMar>
            <w:vAlign w:val="center"/>
          </w:tcPr>
          <w:p>
            <w:r>
              <w:rPr>
                <w:rFonts w:ascii="Calibri" w:hAnsi="Calibri"/>
                <w:color w:val="2D3748"/>
                <w:sz w:val="17"/>
              </w:rPr>
              <w:t>SafeOrdinalToNonNegative: min(Xt) = 0.0 &gt;= 0 asserted</w:t>
            </w:r>
          </w:p>
        </w:tc>
      </w:tr>
      <w:tr>
        <w:tc>
          <w:tcPr>
            <w:tcW w:type="dxa" w:w="3168"/>
            <w:shd w:fill="FFFFFF"/>
            <w:tcMar>
              <w:top w:w="100" w:type="dxa"/>
              <w:bottom w:w="100" w:type="dxa"/>
              <w:left w:w="130" w:type="dxa"/>
              <w:right w:w="130" w:type="dxa"/>
            </w:tcMar>
            <w:vAlign w:val="center"/>
          </w:tcPr>
          <w:p>
            <w:r>
              <w:rPr>
                <w:rFonts w:ascii="Calibri" w:hAnsi="Calibri"/>
                <w:color w:val="2D3748"/>
                <w:sz w:val="17"/>
              </w:rPr>
              <w:t>Core Baseline Benchmark (Dummy + 3 NB)</w:t>
            </w:r>
          </w:p>
        </w:tc>
        <w:tc>
          <w:tcPr>
            <w:tcW w:type="dxa" w:w="1728"/>
            <w:shd w:fill="FFFFFF"/>
            <w:tcMar>
              <w:top w:w="100" w:type="dxa"/>
              <w:bottom w:w="100" w:type="dxa"/>
              <w:left w:w="130" w:type="dxa"/>
              <w:right w:w="130" w:type="dxa"/>
            </w:tcMar>
            <w:vAlign w:val="center"/>
          </w:tcPr>
          <w:p>
            <w:r>
              <w:rPr>
                <w:rFonts w:ascii="Calibri" w:hAnsi="Calibri"/>
                <w:color w:val="2D3748"/>
                <w:sz w:val="17"/>
              </w:rPr>
              <w:t>[✓] VERIFIED</w:t>
            </w:r>
          </w:p>
        </w:tc>
        <w:tc>
          <w:tcPr>
            <w:tcW w:type="dxa" w:w="5184"/>
            <w:shd w:fill="FFFFFF"/>
            <w:tcMar>
              <w:top w:w="100" w:type="dxa"/>
              <w:bottom w:w="100" w:type="dxa"/>
              <w:left w:w="130" w:type="dxa"/>
              <w:right w:w="130" w:type="dxa"/>
            </w:tcMar>
            <w:vAlign w:val="center"/>
          </w:tcPr>
          <w:p>
            <w:r>
              <w:rPr>
                <w:rFonts w:ascii="Calibri" w:hAnsi="Calibri"/>
                <w:color w:val="2D3748"/>
                <w:sz w:val="17"/>
              </w:rPr>
              <w:t>Dummy, GaussianNB, BernoulliNB, CategoricalNB evaluated on 5 folds</w:t>
            </w:r>
          </w:p>
        </w:tc>
      </w:tr>
      <w:tr>
        <w:tc>
          <w:tcPr>
            <w:tcW w:type="dxa" w:w="3168"/>
            <w:shd w:fill="F7FAFC"/>
            <w:tcMar>
              <w:top w:w="100" w:type="dxa"/>
              <w:bottom w:w="100" w:type="dxa"/>
              <w:left w:w="130" w:type="dxa"/>
              <w:right w:w="130" w:type="dxa"/>
            </w:tcMar>
            <w:vAlign w:val="center"/>
          </w:tcPr>
          <w:p>
            <w:r>
              <w:rPr>
                <w:rFonts w:ascii="Calibri" w:hAnsi="Calibri"/>
                <w:color w:val="2D3748"/>
                <w:sz w:val="17"/>
              </w:rPr>
              <w:t>Feature-Group Ablation Benchmark</w:t>
            </w:r>
          </w:p>
        </w:tc>
        <w:tc>
          <w:tcPr>
            <w:tcW w:type="dxa" w:w="1728"/>
            <w:shd w:fill="F7FAFC"/>
            <w:tcMar>
              <w:top w:w="100" w:type="dxa"/>
              <w:bottom w:w="100" w:type="dxa"/>
              <w:left w:w="130" w:type="dxa"/>
              <w:right w:w="130" w:type="dxa"/>
            </w:tcMar>
            <w:vAlign w:val="center"/>
          </w:tcPr>
          <w:p>
            <w:r>
              <w:rPr>
                <w:rFonts w:ascii="Calibri" w:hAnsi="Calibri"/>
                <w:color w:val="2D3748"/>
                <w:sz w:val="17"/>
              </w:rPr>
              <w:t>[✓] VERIFIED</w:t>
            </w:r>
          </w:p>
        </w:tc>
        <w:tc>
          <w:tcPr>
            <w:tcW w:type="dxa" w:w="5184"/>
            <w:shd w:fill="F7FAFC"/>
            <w:tcMar>
              <w:top w:w="100" w:type="dxa"/>
              <w:bottom w:w="100" w:type="dxa"/>
              <w:left w:w="130" w:type="dxa"/>
              <w:right w:w="130" w:type="dxa"/>
            </w:tcMar>
            <w:vAlign w:val="center"/>
          </w:tcPr>
          <w:p>
            <w:r>
              <w:rPr>
                <w:rFonts w:ascii="Calibri" w:hAnsi="Calibri"/>
                <w:color w:val="2D3748"/>
                <w:sz w:val="17"/>
              </w:rPr>
              <w:t>Demographic vs Psychographic vs Behavioral vs Combined compared</w:t>
            </w:r>
          </w:p>
        </w:tc>
      </w:tr>
      <w:tr>
        <w:tc>
          <w:tcPr>
            <w:tcW w:type="dxa" w:w="3168"/>
            <w:shd w:fill="FFFFFF"/>
            <w:tcMar>
              <w:top w:w="100" w:type="dxa"/>
              <w:bottom w:w="100" w:type="dxa"/>
              <w:left w:w="130" w:type="dxa"/>
              <w:right w:w="130" w:type="dxa"/>
            </w:tcMar>
            <w:vAlign w:val="center"/>
          </w:tcPr>
          <w:p>
            <w:r>
              <w:rPr>
                <w:rFonts w:ascii="Calibri" w:hAnsi="Calibri"/>
                <w:color w:val="2D3748"/>
                <w:sz w:val="17"/>
              </w:rPr>
              <w:t>Locked Test Set Single Evaluation</w:t>
            </w:r>
          </w:p>
        </w:tc>
        <w:tc>
          <w:tcPr>
            <w:tcW w:type="dxa" w:w="1728"/>
            <w:shd w:fill="FFFFFF"/>
            <w:tcMar>
              <w:top w:w="100" w:type="dxa"/>
              <w:bottom w:w="100" w:type="dxa"/>
              <w:left w:w="130" w:type="dxa"/>
              <w:right w:w="130" w:type="dxa"/>
            </w:tcMar>
            <w:vAlign w:val="center"/>
          </w:tcPr>
          <w:p>
            <w:r>
              <w:rPr>
                <w:rFonts w:ascii="Calibri" w:hAnsi="Calibri"/>
                <w:color w:val="2D3748"/>
                <w:sz w:val="17"/>
              </w:rPr>
              <w:t>[✓] VERIFIED</w:t>
            </w:r>
          </w:p>
        </w:tc>
        <w:tc>
          <w:tcPr>
            <w:tcW w:type="dxa" w:w="5184"/>
            <w:shd w:fill="FFFFFF"/>
            <w:tcMar>
              <w:top w:w="100" w:type="dxa"/>
              <w:bottom w:w="100" w:type="dxa"/>
              <w:left w:w="130" w:type="dxa"/>
              <w:right w:w="130" w:type="dxa"/>
            </w:tcMar>
            <w:vAlign w:val="center"/>
          </w:tcPr>
          <w:p>
            <w:r>
              <w:rPr>
                <w:rFonts w:ascii="Calibri" w:hAnsi="Calibri"/>
                <w:color w:val="2D3748"/>
                <w:sz w:val="17"/>
              </w:rPr>
              <w:t>Test Macro F1: 0.9983 (95% Bootstrap CI: [0.9957, 1.0000])</w:t>
            </w:r>
          </w:p>
        </w:tc>
      </w:tr>
      <w:tr>
        <w:tc>
          <w:tcPr>
            <w:tcW w:type="dxa" w:w="3168"/>
            <w:shd w:fill="F7FAFC"/>
            <w:tcMar>
              <w:top w:w="100" w:type="dxa"/>
              <w:bottom w:w="100" w:type="dxa"/>
              <w:left w:w="130" w:type="dxa"/>
              <w:right w:w="130" w:type="dxa"/>
            </w:tcMar>
            <w:vAlign w:val="center"/>
          </w:tcPr>
          <w:p>
            <w:r>
              <w:rPr>
                <w:rFonts w:ascii="Calibri" w:hAnsi="Calibri"/>
                <w:color w:val="2D3748"/>
                <w:sz w:val="17"/>
              </w:rPr>
              <w:t>5 Business-Critical Error Cases Interpreted</w:t>
            </w:r>
          </w:p>
        </w:tc>
        <w:tc>
          <w:tcPr>
            <w:tcW w:type="dxa" w:w="1728"/>
            <w:shd w:fill="F7FAFC"/>
            <w:tcMar>
              <w:top w:w="100" w:type="dxa"/>
              <w:bottom w:w="100" w:type="dxa"/>
              <w:left w:w="130" w:type="dxa"/>
              <w:right w:w="130" w:type="dxa"/>
            </w:tcMar>
            <w:vAlign w:val="center"/>
          </w:tcPr>
          <w:p>
            <w:r>
              <w:rPr>
                <w:rFonts w:ascii="Calibri" w:hAnsi="Calibri"/>
                <w:color w:val="2D3748"/>
                <w:sz w:val="17"/>
              </w:rPr>
              <w:t>[✓] VERIFIED</w:t>
            </w:r>
          </w:p>
        </w:tc>
        <w:tc>
          <w:tcPr>
            <w:tcW w:type="dxa" w:w="5184"/>
            <w:shd w:fill="F7FAFC"/>
            <w:tcMar>
              <w:top w:w="100" w:type="dxa"/>
              <w:bottom w:w="100" w:type="dxa"/>
              <w:left w:w="130" w:type="dxa"/>
              <w:right w:w="130" w:type="dxa"/>
            </w:tcMar>
            <w:vAlign w:val="center"/>
          </w:tcPr>
          <w:p>
            <w:r>
              <w:rPr>
                <w:rFonts w:ascii="Calibri" w:hAnsi="Calibri"/>
                <w:color w:val="2D3748"/>
                <w:sz w:val="17"/>
              </w:rPr>
              <w:t>interpreted_errors_5_cases.csv saved with root causes &amp; mitigations</w:t>
            </w:r>
          </w:p>
        </w:tc>
      </w:tr>
      <w:tr>
        <w:tc>
          <w:tcPr>
            <w:tcW w:type="dxa" w:w="3168"/>
            <w:shd w:fill="FFFFFF"/>
            <w:tcMar>
              <w:top w:w="100" w:type="dxa"/>
              <w:bottom w:w="100" w:type="dxa"/>
              <w:left w:w="130" w:type="dxa"/>
              <w:right w:w="130" w:type="dxa"/>
            </w:tcMar>
            <w:vAlign w:val="center"/>
          </w:tcPr>
          <w:p>
            <w:r>
              <w:rPr>
                <w:rFonts w:ascii="Calibri" w:hAnsi="Calibri"/>
                <w:color w:val="2D3748"/>
                <w:sz w:val="17"/>
              </w:rPr>
              <w:t>Tri-Level Selective Review Policy</w:t>
            </w:r>
          </w:p>
        </w:tc>
        <w:tc>
          <w:tcPr>
            <w:tcW w:type="dxa" w:w="1728"/>
            <w:shd w:fill="FFFFFF"/>
            <w:tcMar>
              <w:top w:w="100" w:type="dxa"/>
              <w:bottom w:w="100" w:type="dxa"/>
              <w:left w:w="130" w:type="dxa"/>
              <w:right w:w="130" w:type="dxa"/>
            </w:tcMar>
            <w:vAlign w:val="center"/>
          </w:tcPr>
          <w:p>
            <w:r>
              <w:rPr>
                <w:rFonts w:ascii="Calibri" w:hAnsi="Calibri"/>
                <w:color w:val="2D3748"/>
                <w:sz w:val="17"/>
              </w:rPr>
              <w:t>[✓] VERIFIED</w:t>
            </w:r>
          </w:p>
        </w:tc>
        <w:tc>
          <w:tcPr>
            <w:tcW w:type="dxa" w:w="5184"/>
            <w:shd w:fill="FFFFFF"/>
            <w:tcMar>
              <w:top w:w="100" w:type="dxa"/>
              <w:bottom w:w="100" w:type="dxa"/>
              <w:left w:w="130" w:type="dxa"/>
              <w:right w:w="130" w:type="dxa"/>
            </w:tcMar>
            <w:vAlign w:val="center"/>
          </w:tcPr>
          <w:p>
            <w:r>
              <w:rPr>
                <w:rFonts w:ascii="Calibri" w:hAnsi="Calibri"/>
                <w:color w:val="2D3748"/>
                <w:sz w:val="17"/>
              </w:rPr>
              <w:t>Frozen thresholds: High &gt;=0.75, Moderate &gt;=0.50, Low &lt;0.50</w:t>
            </w:r>
          </w:p>
        </w:tc>
      </w:tr>
      <w:tr>
        <w:tc>
          <w:tcPr>
            <w:tcW w:type="dxa" w:w="3168"/>
            <w:shd w:fill="F7FAFC"/>
            <w:tcMar>
              <w:top w:w="100" w:type="dxa"/>
              <w:bottom w:w="100" w:type="dxa"/>
              <w:left w:w="130" w:type="dxa"/>
              <w:right w:w="130" w:type="dxa"/>
            </w:tcMar>
            <w:vAlign w:val="center"/>
          </w:tcPr>
          <w:p>
            <w:r>
              <w:rPr>
                <w:rFonts w:ascii="Calibri" w:hAnsi="Calibri"/>
                <w:color w:val="2D3748"/>
                <w:sz w:val="17"/>
              </w:rPr>
              <w:t>New Customer Profile Prediction Suite</w:t>
            </w:r>
          </w:p>
        </w:tc>
        <w:tc>
          <w:tcPr>
            <w:tcW w:type="dxa" w:w="1728"/>
            <w:shd w:fill="F7FAFC"/>
            <w:tcMar>
              <w:top w:w="100" w:type="dxa"/>
              <w:bottom w:w="100" w:type="dxa"/>
              <w:left w:w="130" w:type="dxa"/>
              <w:right w:w="130" w:type="dxa"/>
            </w:tcMar>
            <w:vAlign w:val="center"/>
          </w:tcPr>
          <w:p>
            <w:r>
              <w:rPr>
                <w:rFonts w:ascii="Calibri" w:hAnsi="Calibri"/>
                <w:color w:val="2D3748"/>
                <w:sz w:val="17"/>
              </w:rPr>
              <w:t>[✓] VERIFIED</w:t>
            </w:r>
          </w:p>
        </w:tc>
        <w:tc>
          <w:tcPr>
            <w:tcW w:type="dxa" w:w="5184"/>
            <w:shd w:fill="F7FAFC"/>
            <w:tcMar>
              <w:top w:w="100" w:type="dxa"/>
              <w:bottom w:w="100" w:type="dxa"/>
              <w:left w:w="130" w:type="dxa"/>
              <w:right w:w="130" w:type="dxa"/>
            </w:tcMar>
            <w:vAlign w:val="center"/>
          </w:tcPr>
          <w:p>
            <w:r>
              <w:rPr>
                <w:rFonts w:ascii="Calibri" w:hAnsi="Calibri"/>
                <w:color w:val="2D3748"/>
                <w:sz w:val="17"/>
              </w:rPr>
              <w:t>predict_customer_segment() tested with schema validation &amp; 5 profiles</w:t>
            </w:r>
          </w:p>
        </w:tc>
      </w:tr>
      <w:tr>
        <w:tc>
          <w:tcPr>
            <w:tcW w:type="dxa" w:w="3168"/>
            <w:shd w:fill="FFFFFF"/>
            <w:tcMar>
              <w:top w:w="100" w:type="dxa"/>
              <w:bottom w:w="100" w:type="dxa"/>
              <w:left w:w="130" w:type="dxa"/>
              <w:right w:w="130" w:type="dxa"/>
            </w:tcMar>
            <w:vAlign w:val="center"/>
          </w:tcPr>
          <w:p>
            <w:r>
              <w:rPr>
                <w:rFonts w:ascii="Calibri" w:hAnsi="Calibri"/>
                <w:color w:val="2D3748"/>
                <w:sz w:val="17"/>
              </w:rPr>
              <w:t>Quantitative Fairness &amp; Temporal Drift</w:t>
            </w:r>
          </w:p>
        </w:tc>
        <w:tc>
          <w:tcPr>
            <w:tcW w:type="dxa" w:w="1728"/>
            <w:shd w:fill="FFFFFF"/>
            <w:tcMar>
              <w:top w:w="100" w:type="dxa"/>
              <w:bottom w:w="100" w:type="dxa"/>
              <w:left w:w="130" w:type="dxa"/>
              <w:right w:w="130" w:type="dxa"/>
            </w:tcMar>
            <w:vAlign w:val="center"/>
          </w:tcPr>
          <w:p>
            <w:r>
              <w:rPr>
                <w:rFonts w:ascii="Calibri" w:hAnsi="Calibri"/>
                <w:color w:val="2D3748"/>
                <w:sz w:val="17"/>
              </w:rPr>
              <w:t>[✓] VERIFIED</w:t>
            </w:r>
          </w:p>
        </w:tc>
        <w:tc>
          <w:tcPr>
            <w:tcW w:type="dxa" w:w="5184"/>
            <w:shd w:fill="FFFFFF"/>
            <w:tcMar>
              <w:top w:w="100" w:type="dxa"/>
              <w:bottom w:w="100" w:type="dxa"/>
              <w:left w:w="130" w:type="dxa"/>
              <w:right w:w="130" w:type="dxa"/>
            </w:tcMar>
            <w:vAlign w:val="center"/>
          </w:tcPr>
          <w:p>
            <w:r>
              <w:rPr>
                <w:rFonts w:ascii="Calibri" w:hAnsi="Calibri"/>
                <w:color w:val="2D3748"/>
                <w:sz w:val="17"/>
              </w:rPr>
              <w:t>Subgroup fairness audit &amp; recency chronological holdout completed</w:t>
            </w:r>
          </w:p>
        </w:tc>
      </w:tr>
      <w:tr>
        <w:tc>
          <w:tcPr>
            <w:tcW w:type="dxa" w:w="3168"/>
            <w:shd w:fill="F7FAFC"/>
            <w:tcMar>
              <w:top w:w="100" w:type="dxa"/>
              <w:bottom w:w="100" w:type="dxa"/>
              <w:left w:w="130" w:type="dxa"/>
              <w:right w:w="130" w:type="dxa"/>
            </w:tcMar>
            <w:vAlign w:val="center"/>
          </w:tcPr>
          <w:p>
            <w:r>
              <w:rPr>
                <w:rFonts w:ascii="Calibri" w:hAnsi="Calibri"/>
                <w:color w:val="2D3748"/>
                <w:sz w:val="17"/>
              </w:rPr>
              <w:t>TabTransformer Deep Learning Comparison</w:t>
            </w:r>
          </w:p>
        </w:tc>
        <w:tc>
          <w:tcPr>
            <w:tcW w:type="dxa" w:w="1728"/>
            <w:shd w:fill="F7FAFC"/>
            <w:tcMar>
              <w:top w:w="100" w:type="dxa"/>
              <w:bottom w:w="100" w:type="dxa"/>
              <w:left w:w="130" w:type="dxa"/>
              <w:right w:w="130" w:type="dxa"/>
            </w:tcMar>
            <w:vAlign w:val="center"/>
          </w:tcPr>
          <w:p>
            <w:r>
              <w:rPr>
                <w:rFonts w:ascii="Calibri" w:hAnsi="Calibri"/>
                <w:color w:val="2D3748"/>
                <w:sz w:val="17"/>
              </w:rPr>
              <w:t>[✓] VERIFIED</w:t>
            </w:r>
          </w:p>
        </w:tc>
        <w:tc>
          <w:tcPr>
            <w:tcW w:type="dxa" w:w="5184"/>
            <w:shd w:fill="F7FAFC"/>
            <w:tcMar>
              <w:top w:w="100" w:type="dxa"/>
              <w:bottom w:w="100" w:type="dxa"/>
              <w:left w:w="130" w:type="dxa"/>
              <w:right w:w="130" w:type="dxa"/>
            </w:tcMar>
            <w:vAlign w:val="center"/>
          </w:tcPr>
          <w:p>
            <w:r>
              <w:rPr>
                <w:rFonts w:ascii="Calibri" w:hAnsi="Calibri"/>
                <w:color w:val="2D3748"/>
                <w:sz w:val="17"/>
              </w:rPr>
              <w:t>TabTransformer / FT-Transformer latency &amp; parameter ROI evaluated</w:t>
            </w:r>
          </w:p>
        </w:tc>
      </w:tr>
      <w:tr>
        <w:tc>
          <w:tcPr>
            <w:tcW w:type="dxa" w:w="3168"/>
            <w:shd w:fill="FFFFFF"/>
            <w:tcMar>
              <w:top w:w="100" w:type="dxa"/>
              <w:bottom w:w="100" w:type="dxa"/>
              <w:left w:w="130" w:type="dxa"/>
              <w:right w:w="130" w:type="dxa"/>
            </w:tcMar>
            <w:vAlign w:val="center"/>
          </w:tcPr>
          <w:p>
            <w:r>
              <w:rPr>
                <w:rFonts w:ascii="Calibri" w:hAnsi="Calibri"/>
                <w:color w:val="2D3748"/>
                <w:sz w:val="17"/>
              </w:rPr>
              <w:t>Serialized Pipeline Artifact &amp; Invariance</w:t>
            </w:r>
          </w:p>
        </w:tc>
        <w:tc>
          <w:tcPr>
            <w:tcW w:type="dxa" w:w="1728"/>
            <w:shd w:fill="FFFFFF"/>
            <w:tcMar>
              <w:top w:w="100" w:type="dxa"/>
              <w:bottom w:w="100" w:type="dxa"/>
              <w:left w:w="130" w:type="dxa"/>
              <w:right w:w="130" w:type="dxa"/>
            </w:tcMar>
            <w:vAlign w:val="center"/>
          </w:tcPr>
          <w:p>
            <w:r>
              <w:rPr>
                <w:rFonts w:ascii="Calibri" w:hAnsi="Calibri"/>
                <w:color w:val="2D3748"/>
                <w:sz w:val="17"/>
              </w:rPr>
              <w:t>[✓] VERIFIED</w:t>
            </w:r>
          </w:p>
        </w:tc>
        <w:tc>
          <w:tcPr>
            <w:tcW w:type="dxa" w:w="5184"/>
            <w:shd w:fill="FFFFFF"/>
            <w:tcMar>
              <w:top w:w="100" w:type="dxa"/>
              <w:bottom w:w="100" w:type="dxa"/>
              <w:left w:w="130" w:type="dxa"/>
              <w:right w:w="130" w:type="dxa"/>
            </w:tcMar>
            <w:vAlign w:val="center"/>
          </w:tcPr>
          <w:p>
            <w:r>
              <w:rPr>
                <w:rFonts w:ascii="Calibri" w:hAnsi="Calibri"/>
                <w:color w:val="2D3748"/>
                <w:sz w:val="17"/>
              </w:rPr>
              <w:t>models/selected_pipeline.joblib reloaded; prediction invariance verified</w:t>
            </w:r>
          </w:p>
        </w:tc>
      </w:tr>
    </w:tbl>
    <w:p/>
    <w:tbl>
      <w:tblPr>
        <w:tblW w:type="auto" w:w="0"/>
        <w:tblLook w:firstColumn="1" w:firstRow="1" w:lastColumn="0" w:lastRow="0" w:noHBand="0" w:noVBand="1" w:val="04A0"/>
      </w:tblPr>
      <w:tblGrid>
        <w:gridCol w:w="10080"/>
      </w:tblGrid>
      <w:tr>
        <w:tc>
          <w:tcPr>
            <w:tcW w:type="dxa" w:w="10080"/>
            <w:shd w:fill="F7FAFC"/>
            <w:tcMar>
              <w:top w:w="120" w:type="dxa"/>
              <w:bottom w:w="120" w:type="dxa"/>
              <w:left w:w="140" w:type="dxa"/>
              <w:right w:w="140" w:type="dxa"/>
            </w:tcMar>
          </w:tcPr>
          <w:p>
            <w:r>
              <w:rPr>
                <w:color w:val="2D3748"/>
                <w:sz w:val="18"/>
              </w:rPr>
              <w:t>Academic Integrity &amp; Execution Attestation:</w:t>
              <w:br/>
              <w:t>This laboratory system and technical report were developed in compliance with academic integrity guidelines. All data splits, preprocessors, classifiers, error analyses, and validation metrics are deterministic, leak-free, and reproducible from top to bottom via python main.py and lab4da.ipynb.</w:t>
              <w:br/>
              <w:br/>
              <w:t>Student Signature: Madhusudhanan G (23MID0444)                  Date: August 18, 2026</w:t>
              <w:br/>
              <w:t>GitHub Code Repository: https://github.com/Madhumasa84/Adv_predictive/tree/main/lab4</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Student: Madhusudhanan G (Reg: 23MID0444) | SCOPE, VIT Vellore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MDI3003 Advanced Predictive Analytics | Lab 04 Report — Customer Segment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1809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18096"/>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