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240"/>
          <w:sz w:val="44"/>
        </w:rPr>
        <w:t>AQUA: Model Selection and Evaluation</w:t>
      </w:r>
    </w:p>
    <w:p>
      <w:pPr>
        <w:spacing w:before="0" w:after="80"/>
      </w:pPr>
      <w:r>
        <w:rPr>
          <w:rFonts w:ascii="Calibri" w:hAnsi="Calibri"/>
          <w:b/>
          <w:color w:val="1B559B"/>
          <w:sz w:val="22"/>
        </w:rPr>
        <w:t>AI-based Quality Understanding and Analytics • B.Tech IT Minor Project Technical Note</w:t>
      </w:r>
    </w:p>
    <w:p>
      <w:pPr>
        <w:spacing w:before="0" w:after="240"/>
      </w:pPr>
      <w:r>
        <w:rPr>
          <w:rFonts w:ascii="Calibri" w:hAnsi="Calibri"/>
          <w:i/>
          <w:color w:val="697382"/>
          <w:sz w:val="19"/>
        </w:rPr>
        <w:t>Technical companion to project presentation • Evaluation design, baseline benchmarks &amp; limitations • October 2026</w:t>
      </w:r>
    </w:p>
    <w:tbl>
      <w:tblPr>
        <w:tblW w:type="auto" w:w="0"/>
        <w:jc w:val="center"/>
        <w:tblLayout w:type="fixed"/>
        <w:tblLook w:firstColumn="1" w:firstRow="1" w:lastColumn="0" w:lastRow="0" w:noHBand="0" w:noVBand="1" w:val="04A0"/>
      </w:tblPr>
      <w:tblGrid>
        <w:gridCol w:w="9936"/>
      </w:tblGrid>
      <w:tr>
        <w:tc>
          <w:tcPr>
            <w:tcW w:type="dxa" w:w="9936"/>
            <w:shd w:fill="F0FDFE"/>
            <w:tcMar>
              <w:top w:w="140" w:type="dxa"/>
              <w:bottom w:w="140" w:type="dxa"/>
              <w:left w:w="180" w:type="dxa"/>
              <w:right w:w="160" w:type="dxa"/>
            </w:tcMar>
            <w:tcBorders>
              <w:left w:val="single" w:sz="24" w:space="0" w:color="107C8A"/>
              <w:top w:val="none"/>
              <w:right w:val="none"/>
              <w:bottom w:val="none"/>
            </w:tcBorders>
          </w:tcPr>
          <w:p>
            <w:pPr>
              <w:spacing w:before="0" w:after="0" w:line="276" w:lineRule="auto"/>
            </w:pPr>
            <w:r>
              <w:rPr>
                <w:rFonts w:ascii="Calibri" w:hAnsi="Calibri"/>
                <w:b/>
                <w:color w:val="0F2240"/>
                <w:sz w:val="19"/>
              </w:rPr>
              <w:t xml:space="preserve">Purpose: </w:t>
            </w:r>
            <w:r>
              <w:rPr>
                <w:rFonts w:ascii="Calibri" w:hAnsi="Calibri"/>
                <w:color w:val="2D3440"/>
                <w:sz w:val="19"/>
              </w:rPr>
              <w:t>Document the reported model choices, chronological evaluation design, baseline comparisons and limitations. This is a technical companion to the AQUA presentation, not a claim that the notebooks were rerun during document generation.</w:t>
            </w:r>
          </w:p>
        </w:tc>
      </w:tr>
    </w:tbl>
    <w:p>
      <w:pPr>
        <w:spacing w:after="80"/>
      </w:pPr>
    </w:p>
    <w:p>
      <w:pPr>
        <w:keepNext/>
        <w:spacing w:before="280" w:after="80"/>
      </w:pPr>
      <w:r>
        <w:rPr>
          <w:rFonts w:ascii="Calibri" w:hAnsi="Calibri"/>
          <w:b/>
          <w:color w:val="0F2240"/>
          <w:sz w:val="26"/>
        </w:rPr>
        <w:t>1. Executive Summary</w:t>
      </w:r>
    </w:p>
    <w:p>
      <w:pPr>
        <w:spacing w:before="0" w:after="80" w:line="276" w:lineRule="auto"/>
      </w:pPr>
      <w:r>
        <w:rPr>
          <w:rFonts w:ascii="Calibri" w:hAnsi="Calibri"/>
          <w:color w:val="2D3440"/>
          <w:sz w:val="20"/>
        </w:rPr>
        <w:t>AQUA investigates whether historical surface-water observations can support forecasting of Biochemical Oxygen Demand (BOD), Dissolved Oxygen (DO) and pH, and eventually provide useful context for early-warning decisions. The current work includes two distinct modelling tracks: a Yamuna BOD experiment with a 2021–2024 chronological split, and Ganga target-specific experiments for BOD, DO and pH. The results below are transcribed from reported metrics supplied for this deliverable; they have not been newly reproduced by executing the notebooks.</w:t>
      </w:r>
    </w:p>
    <w:p>
      <w:pPr>
        <w:pStyle w:val="ListBullet"/>
        <w:spacing w:before="0" w:after="50" w:line="276" w:lineRule="auto"/>
      </w:pPr>
      <w:r>
        <w:rPr>
          <w:rFonts w:ascii="Calibri" w:hAnsi="Calibri"/>
          <w:b/>
          <w:color w:val="0F2240"/>
          <w:sz w:val="20"/>
        </w:rPr>
        <w:t xml:space="preserve">Yamuna BOD (Gradient Boosting Regressor): </w:t>
      </w:r>
      <w:r>
        <w:rPr>
          <w:rFonts w:ascii="Calibri" w:hAnsi="Calibri"/>
          <w:color w:val="2D3440"/>
          <w:sz w:val="20"/>
        </w:rPr>
        <w:t>Improves validation metrics over persistence. On the 2024 test set, RMSE and R² improve, while MAE is very slightly worse than persistence.</w:t>
      </w:r>
    </w:p>
    <w:p>
      <w:pPr>
        <w:pStyle w:val="ListBullet"/>
        <w:spacing w:before="0" w:after="50" w:line="276" w:lineRule="auto"/>
      </w:pPr>
      <w:r>
        <w:rPr>
          <w:rFonts w:ascii="Calibri" w:hAnsi="Calibri"/>
          <w:b/>
          <w:color w:val="0F2240"/>
          <w:sz w:val="20"/>
        </w:rPr>
        <w:t xml:space="preserve">Ganga BOD (Extra Trees Regressor): </w:t>
      </w:r>
      <w:r>
        <w:rPr>
          <w:rFonts w:ascii="Calibri" w:hAnsi="Calibri"/>
          <w:color w:val="2D3440"/>
          <w:sz w:val="20"/>
        </w:rPr>
        <w:t>The model improves MAE, RMSE and R² over the reported persistence baseline, but overall R² remains modest.</w:t>
      </w:r>
    </w:p>
    <w:p>
      <w:pPr>
        <w:pStyle w:val="ListBullet"/>
        <w:spacing w:before="0" w:after="50" w:line="276" w:lineRule="auto"/>
      </w:pPr>
      <w:r>
        <w:rPr>
          <w:rFonts w:ascii="Calibri" w:hAnsi="Calibri"/>
          <w:b/>
          <w:color w:val="0F2240"/>
          <w:sz w:val="20"/>
        </w:rPr>
        <w:t xml:space="preserve">Ganga DO (Extra Trees Regressor): </w:t>
      </w:r>
      <w:r>
        <w:rPr>
          <w:rFonts w:ascii="Calibri" w:hAnsi="Calibri"/>
          <w:color w:val="2D3440"/>
          <w:sz w:val="20"/>
        </w:rPr>
        <w:t>The model does not outperform persistence on the reported test metrics.</w:t>
      </w:r>
    </w:p>
    <w:p>
      <w:pPr>
        <w:pStyle w:val="ListBullet"/>
        <w:spacing w:before="0" w:after="50" w:line="276" w:lineRule="auto"/>
      </w:pPr>
      <w:r>
        <w:rPr>
          <w:rFonts w:ascii="Calibri" w:hAnsi="Calibri"/>
          <w:b/>
          <w:color w:val="0F2240"/>
          <w:sz w:val="20"/>
        </w:rPr>
        <w:t xml:space="preserve">Ganga pH (HistGradientBoosting Regressor): </w:t>
      </w:r>
      <w:r>
        <w:rPr>
          <w:rFonts w:ascii="Calibri" w:hAnsi="Calibri"/>
          <w:color w:val="2D3440"/>
          <w:sz w:val="20"/>
        </w:rPr>
        <w:t>MAE and RMSE are lower than persistence, but R² is negative, signalling weak explanatory performance relative to a mean predictor.</w:t>
      </w:r>
    </w:p>
    <w:tbl>
      <w:tblPr>
        <w:tblW w:type="auto" w:w="0"/>
        <w:jc w:val="center"/>
        <w:tblLayout w:type="fixed"/>
        <w:tblLook w:firstColumn="1" w:firstRow="1" w:lastColumn="0" w:lastRow="0" w:noHBand="0" w:noVBand="1" w:val="04A0"/>
      </w:tblPr>
      <w:tblGrid>
        <w:gridCol w:w="9936"/>
      </w:tblGrid>
      <w:tr>
        <w:tc>
          <w:tcPr>
            <w:tcW w:type="dxa" w:w="9936"/>
            <w:shd w:fill="FEF3C7"/>
            <w:tcMar>
              <w:top w:w="140" w:type="dxa"/>
              <w:bottom w:w="140" w:type="dxa"/>
              <w:left w:w="180" w:type="dxa"/>
              <w:right w:w="160" w:type="dxa"/>
            </w:tcMar>
            <w:tcBorders>
              <w:left w:val="single" w:sz="24" w:space="0" w:color="D97706"/>
              <w:top w:val="none"/>
              <w:right w:val="none"/>
              <w:bottom w:val="none"/>
            </w:tcBorders>
          </w:tcPr>
          <w:p>
            <w:pPr>
              <w:spacing w:before="0" w:after="0" w:line="276" w:lineRule="auto"/>
            </w:pPr>
            <w:r>
              <w:rPr>
                <w:rFonts w:ascii="Calibri" w:hAnsi="Calibri"/>
                <w:b/>
                <w:color w:val="0F2240"/>
                <w:sz w:val="19"/>
              </w:rPr>
              <w:t xml:space="preserve">Configuration Caution: </w:t>
            </w:r>
            <w:r>
              <w:rPr>
                <w:rFonts w:ascii="Calibri" w:hAnsi="Calibri"/>
                <w:color w:val="2D3440"/>
                <w:sz w:val="19"/>
              </w:rPr>
              <w:t>The exact selected estimator settings, feature list and split implementation must be verified against the final executed notebook. A separate project progress report describes a different temporal Random Forest experiment; its results must not be mixed with the target-specific metrics in this document.</w:t>
            </w:r>
          </w:p>
        </w:tc>
      </w:tr>
    </w:tbl>
    <w:p>
      <w:pPr>
        <w:spacing w:after="80"/>
      </w:pPr>
    </w:p>
    <w:p>
      <w:pPr>
        <w:keepNext/>
        <w:spacing w:before="280" w:after="80"/>
      </w:pPr>
      <w:r>
        <w:rPr>
          <w:rFonts w:ascii="Calibri" w:hAnsi="Calibri"/>
          <w:b/>
          <w:color w:val="0F2240"/>
          <w:sz w:val="26"/>
        </w:rPr>
        <w:t>2. Datasets and Preprocessing</w:t>
      </w:r>
    </w:p>
    <w:p>
      <w:pPr>
        <w:keepNext/>
        <w:spacing w:before="200" w:after="60"/>
      </w:pPr>
      <w:r>
        <w:rPr>
          <w:rFonts w:ascii="Calibri" w:hAnsi="Calibri"/>
          <w:b/>
          <w:color w:val="1B559B"/>
          <w:sz w:val="22"/>
        </w:rPr>
        <w:t>2.1 Yamuna Modelling Data</w:t>
      </w:r>
    </w:p>
    <w:p>
      <w:pPr>
        <w:spacing w:before="0" w:after="80" w:line="276" w:lineRule="auto"/>
      </w:pPr>
      <w:r>
        <w:rPr>
          <w:rFonts w:ascii="Calibri" w:hAnsi="Calibri"/>
          <w:color w:val="2D3440"/>
          <w:sz w:val="20"/>
        </w:rPr>
        <w:t>The Yamuna experiment predicts BOD using station-aware surface-water observations. Previously recorded matched data contained 1,724 records across 15 stations, with 1,704 usable BOD observations across the years 2021–2025; however, the particular reported split used here is explicitly 2021–2022 training (678 rows), 2023 validation (470 rows), and 2024 testing (204 rows). The row counts in this split should be treated as the authoritative counts for this result table. The 2025 matched-data count was only one record in the earlier dataset summary and is not part of the stated test split.</w:t>
      </w:r>
    </w:p>
    <w:p>
      <w:pPr>
        <w:keepNext/>
        <w:spacing w:before="200" w:after="60"/>
      </w:pPr>
      <w:r>
        <w:rPr>
          <w:rFonts w:ascii="Calibri" w:hAnsi="Calibri"/>
          <w:b/>
          <w:color w:val="1B559B"/>
          <w:sz w:val="22"/>
        </w:rPr>
        <w:t>2.2 Ganga Modelling Data</w:t>
      </w:r>
    </w:p>
    <w:p>
      <w:pPr>
        <w:spacing w:before="0" w:after="80" w:line="276" w:lineRule="auto"/>
      </w:pPr>
      <w:r>
        <w:rPr>
          <w:rFonts w:ascii="Calibri" w:hAnsi="Calibri"/>
          <w:color w:val="2D3440"/>
          <w:sz w:val="20"/>
        </w:rPr>
        <w:t>The Uttar Pradesh Central Water Commission (CWC) Ganga surface-water pipeline integrated separate chemical, biological and physical datasets using station and Data Acquisition Time. The project progress report records 12,178 chemical records, 12,064 biological records and 12,173 physical records across 95 stations, covering 2021-01-01 to 2025-04-23. The merged master contained 12,062 station-date records. Target-specific model datasets are smaller because target availability and validity differ.</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4968"/>
        <w:gridCol w:w="4968"/>
      </w:tblGrid>
      <w:tr>
        <w:tc>
          <w:tcPr>
            <w:tcW w:type="dxa" w:w="3168"/>
            <w:shd w:fill="0F2240"/>
            <w:tcMar>
              <w:top w:w="120" w:type="dxa"/>
              <w:bottom w:w="120" w:type="dxa"/>
              <w:left w:w="100" w:type="dxa"/>
              <w:right w:w="100" w:type="dxa"/>
            </w:tcMar>
          </w:tcPr>
          <w:p>
            <w:r>
              <w:rPr>
                <w:rFonts w:ascii="Calibri" w:hAnsi="Calibri"/>
                <w:b/>
                <w:color w:val="FFFFFF"/>
                <w:sz w:val="18"/>
              </w:rPr>
              <w:t>Dataset / Item</w:t>
            </w:r>
          </w:p>
        </w:tc>
        <w:tc>
          <w:tcPr>
            <w:tcW w:type="dxa" w:w="6768"/>
            <w:shd w:fill="0F2240"/>
            <w:tcMar>
              <w:top w:w="120" w:type="dxa"/>
              <w:bottom w:w="120" w:type="dxa"/>
              <w:left w:w="100" w:type="dxa"/>
              <w:right w:w="100" w:type="dxa"/>
            </w:tcMar>
          </w:tcPr>
          <w:p>
            <w:r>
              <w:rPr>
                <w:rFonts w:ascii="Calibri" w:hAnsi="Calibri"/>
                <w:b/>
                <w:color w:val="FFFFFF"/>
                <w:sz w:val="18"/>
              </w:rPr>
              <w:t>Reported Information</w:t>
            </w:r>
          </w:p>
        </w:tc>
      </w:tr>
      <w:tr>
        <w:tc>
          <w:tcPr>
            <w:tcW w:type="dxa" w:w="3168"/>
            <w:shd w:fill="F8FAFC"/>
            <w:tcMar>
              <w:top w:w="90" w:type="dxa"/>
              <w:bottom w:w="90" w:type="dxa"/>
              <w:left w:w="100" w:type="dxa"/>
              <w:right w:w="100" w:type="dxa"/>
            </w:tcMar>
          </w:tcPr>
          <w:p>
            <w:r>
              <w:rPr>
                <w:rFonts w:ascii="Calibri" w:hAnsi="Calibri"/>
                <w:b/>
                <w:color w:val="2D3440"/>
                <w:sz w:val="17"/>
              </w:rPr>
              <w:t>Chemical file</w:t>
            </w:r>
          </w:p>
        </w:tc>
        <w:tc>
          <w:tcPr>
            <w:tcW w:type="dxa" w:w="6768"/>
            <w:shd w:fill="F8FAFC"/>
            <w:tcMar>
              <w:top w:w="90" w:type="dxa"/>
              <w:bottom w:w="90" w:type="dxa"/>
              <w:left w:w="100" w:type="dxa"/>
              <w:right w:w="100" w:type="dxa"/>
            </w:tcMar>
          </w:tcPr>
          <w:p>
            <w:r>
              <w:rPr>
                <w:rFonts w:ascii="Calibri" w:hAnsi="Calibri"/>
                <w:color w:val="2D3440"/>
                <w:sz w:val="17"/>
              </w:rPr>
              <w:t>12,178 records; 95 stations; 2021-01-01 to 2025-04-23</w:t>
            </w:r>
          </w:p>
        </w:tc>
      </w:tr>
      <w:tr>
        <w:tc>
          <w:tcPr>
            <w:tcW w:type="dxa" w:w="3168"/>
            <w:shd w:fill="FFFFFF"/>
            <w:tcMar>
              <w:top w:w="90" w:type="dxa"/>
              <w:bottom w:w="90" w:type="dxa"/>
              <w:left w:w="100" w:type="dxa"/>
              <w:right w:w="100" w:type="dxa"/>
            </w:tcMar>
          </w:tcPr>
          <w:p>
            <w:r>
              <w:rPr>
                <w:rFonts w:ascii="Calibri" w:hAnsi="Calibri"/>
                <w:b/>
                <w:color w:val="2D3440"/>
                <w:sz w:val="17"/>
              </w:rPr>
              <w:t>Biological file</w:t>
            </w:r>
          </w:p>
        </w:tc>
        <w:tc>
          <w:tcPr>
            <w:tcW w:type="dxa" w:w="6768"/>
            <w:shd w:fill="FFFFFF"/>
            <w:tcMar>
              <w:top w:w="90" w:type="dxa"/>
              <w:bottom w:w="90" w:type="dxa"/>
              <w:left w:w="100" w:type="dxa"/>
              <w:right w:w="100" w:type="dxa"/>
            </w:tcMar>
          </w:tcPr>
          <w:p>
            <w:r>
              <w:rPr>
                <w:rFonts w:ascii="Calibri" w:hAnsi="Calibri"/>
                <w:color w:val="2D3440"/>
                <w:sz w:val="17"/>
              </w:rPr>
              <w:t>12,064 records; 95 stations; 2021-01-01 to 2025-04-23</w:t>
            </w:r>
          </w:p>
        </w:tc>
      </w:tr>
      <w:tr>
        <w:tc>
          <w:tcPr>
            <w:tcW w:type="dxa" w:w="3168"/>
            <w:shd w:fill="F8FAFC"/>
            <w:tcMar>
              <w:top w:w="90" w:type="dxa"/>
              <w:bottom w:w="90" w:type="dxa"/>
              <w:left w:w="100" w:type="dxa"/>
              <w:right w:w="100" w:type="dxa"/>
            </w:tcMar>
          </w:tcPr>
          <w:p>
            <w:r>
              <w:rPr>
                <w:rFonts w:ascii="Calibri" w:hAnsi="Calibri"/>
                <w:b/>
                <w:color w:val="2D3440"/>
                <w:sz w:val="17"/>
              </w:rPr>
              <w:t>Physical file</w:t>
            </w:r>
          </w:p>
        </w:tc>
        <w:tc>
          <w:tcPr>
            <w:tcW w:type="dxa" w:w="6768"/>
            <w:shd w:fill="F8FAFC"/>
            <w:tcMar>
              <w:top w:w="90" w:type="dxa"/>
              <w:bottom w:w="90" w:type="dxa"/>
              <w:left w:w="100" w:type="dxa"/>
              <w:right w:w="100" w:type="dxa"/>
            </w:tcMar>
          </w:tcPr>
          <w:p>
            <w:r>
              <w:rPr>
                <w:rFonts w:ascii="Calibri" w:hAnsi="Calibri"/>
                <w:color w:val="2D3440"/>
                <w:sz w:val="17"/>
              </w:rPr>
              <w:t>12,173 records; 95 stations; 2021-01-01 to 2025-04-23</w:t>
            </w:r>
          </w:p>
        </w:tc>
      </w:tr>
      <w:tr>
        <w:tc>
          <w:tcPr>
            <w:tcW w:type="dxa" w:w="3168"/>
            <w:shd w:fill="FFFFFF"/>
            <w:tcMar>
              <w:top w:w="90" w:type="dxa"/>
              <w:bottom w:w="90" w:type="dxa"/>
              <w:left w:w="100" w:type="dxa"/>
              <w:right w:w="100" w:type="dxa"/>
            </w:tcMar>
          </w:tcPr>
          <w:p>
            <w:r>
              <w:rPr>
                <w:rFonts w:ascii="Calibri" w:hAnsi="Calibri"/>
                <w:b/>
                <w:color w:val="2D3440"/>
                <w:sz w:val="17"/>
              </w:rPr>
              <w:t>Merged master</w:t>
            </w:r>
          </w:p>
        </w:tc>
        <w:tc>
          <w:tcPr>
            <w:tcW w:type="dxa" w:w="6768"/>
            <w:shd w:fill="FFFFFF"/>
            <w:tcMar>
              <w:top w:w="90" w:type="dxa"/>
              <w:bottom w:w="90" w:type="dxa"/>
              <w:left w:w="100" w:type="dxa"/>
              <w:right w:w="100" w:type="dxa"/>
            </w:tcMar>
          </w:tcPr>
          <w:p>
            <w:r>
              <w:rPr>
                <w:rFonts w:ascii="Calibri" w:hAnsi="Calibri"/>
                <w:color w:val="2D3440"/>
                <w:sz w:val="17"/>
              </w:rPr>
              <w:t>12,062 station-date records; 95 stations</w:t>
            </w:r>
          </w:p>
        </w:tc>
      </w:tr>
      <w:tr>
        <w:tc>
          <w:tcPr>
            <w:tcW w:type="dxa" w:w="3168"/>
            <w:shd w:fill="F8FAFC"/>
            <w:tcMar>
              <w:top w:w="90" w:type="dxa"/>
              <w:bottom w:w="90" w:type="dxa"/>
              <w:left w:w="100" w:type="dxa"/>
              <w:right w:w="100" w:type="dxa"/>
            </w:tcMar>
          </w:tcPr>
          <w:p>
            <w:r>
              <w:rPr>
                <w:rFonts w:ascii="Calibri" w:hAnsi="Calibri"/>
                <w:b/>
                <w:color w:val="2D3440"/>
                <w:sz w:val="17"/>
              </w:rPr>
              <w:t>Core BOD predictors noted in report</w:t>
            </w:r>
          </w:p>
        </w:tc>
        <w:tc>
          <w:tcPr>
            <w:tcW w:type="dxa" w:w="6768"/>
            <w:shd w:fill="F8FAFC"/>
            <w:tcMar>
              <w:top w:w="90" w:type="dxa"/>
              <w:bottom w:w="90" w:type="dxa"/>
              <w:left w:w="100" w:type="dxa"/>
              <w:right w:w="100" w:type="dxa"/>
            </w:tcMar>
          </w:tcPr>
          <w:p>
            <w:r>
              <w:rPr>
                <w:rFonts w:ascii="Calibri" w:hAnsi="Calibri"/>
                <w:color w:val="2D3440"/>
                <w:sz w:val="17"/>
              </w:rPr>
              <w:t>DO, pH, TDS, electrical conductivity, turbidity, temperature, ammonia, nitrate and sulphate</w:t>
            </w:r>
          </w:p>
        </w:tc>
      </w:tr>
    </w:tbl>
    <w:p>
      <w:pPr>
        <w:spacing w:after="80"/>
      </w:pPr>
    </w:p>
    <w:p>
      <w:pPr>
        <w:keepNext/>
        <w:spacing w:before="200" w:after="60"/>
      </w:pPr>
      <w:r>
        <w:rPr>
          <w:rFonts w:ascii="Calibri" w:hAnsi="Calibri"/>
          <w:b/>
          <w:color w:val="1B559B"/>
          <w:sz w:val="22"/>
        </w:rPr>
        <w:t>2.3 Cleaning and Quality Checks</w:t>
      </w:r>
    </w:p>
    <w:p>
      <w:pPr>
        <w:pStyle w:val="ListBullet"/>
        <w:spacing w:before="0" w:after="50" w:line="276" w:lineRule="auto"/>
      </w:pPr>
      <w:r>
        <w:rPr>
          <w:rFonts w:ascii="Calibri" w:hAnsi="Calibri"/>
          <w:b/>
          <w:color w:val="0F2240"/>
          <w:sz w:val="20"/>
        </w:rPr>
        <w:t xml:space="preserve">Chronological Sorting: </w:t>
      </w:r>
      <w:r>
        <w:rPr>
          <w:rFonts w:ascii="Calibri" w:hAnsi="Calibri"/>
          <w:color w:val="2D3440"/>
          <w:sz w:val="20"/>
        </w:rPr>
        <w:t>Parse Data Acquisition Time using the source format and sort records chronologically within station.</w:t>
      </w:r>
    </w:p>
    <w:p>
      <w:pPr>
        <w:pStyle w:val="ListBullet"/>
        <w:spacing w:before="0" w:after="50" w:line="276" w:lineRule="auto"/>
      </w:pPr>
      <w:r>
        <w:rPr>
          <w:rFonts w:ascii="Calibri" w:hAnsi="Calibri"/>
          <w:b/>
          <w:color w:val="0F2240"/>
          <w:sz w:val="20"/>
        </w:rPr>
        <w:t xml:space="preserve">Key Alignment: </w:t>
      </w:r>
      <w:r>
        <w:rPr>
          <w:rFonts w:ascii="Calibri" w:hAnsi="Calibri"/>
          <w:color w:val="2D3440"/>
          <w:sz w:val="20"/>
        </w:rPr>
        <w:t>Standardize station identifiers and merge files using station plus acquisition timestamp.</w:t>
      </w:r>
    </w:p>
    <w:p>
      <w:pPr>
        <w:pStyle w:val="ListBullet"/>
        <w:spacing w:before="0" w:after="50" w:line="276" w:lineRule="auto"/>
      </w:pPr>
      <w:r>
        <w:rPr>
          <w:rFonts w:ascii="Calibri" w:hAnsi="Calibri"/>
          <w:b/>
          <w:color w:val="0F2240"/>
          <w:sz w:val="20"/>
        </w:rPr>
        <w:t xml:space="preserve">Data Audit: </w:t>
      </w:r>
      <w:r>
        <w:rPr>
          <w:rFonts w:ascii="Calibri" w:hAnsi="Calibri"/>
          <w:color w:val="2D3440"/>
          <w:sz w:val="20"/>
        </w:rPr>
        <w:t>Inspect station coverage, date ranges, parameter availability, missing values and duplicate keys.</w:t>
      </w:r>
    </w:p>
    <w:p>
      <w:pPr>
        <w:pStyle w:val="ListBullet"/>
        <w:spacing w:before="0" w:after="50" w:line="276" w:lineRule="auto"/>
      </w:pPr>
      <w:r>
        <w:rPr>
          <w:rFonts w:ascii="Calibri" w:hAnsi="Calibri"/>
          <w:b/>
          <w:color w:val="0F2240"/>
          <w:sz w:val="20"/>
        </w:rPr>
        <w:t xml:space="preserve">Plausibility Bounds: </w:t>
      </w:r>
      <w:r>
        <w:rPr>
          <w:rFonts w:ascii="Calibri" w:hAnsi="Calibri"/>
          <w:color w:val="2D3440"/>
          <w:sz w:val="20"/>
        </w:rPr>
        <w:t>Treat impossible pH values above 14 as missing; exclude non-positive values from the pH target dataset.</w:t>
      </w:r>
    </w:p>
    <w:p>
      <w:pPr>
        <w:pStyle w:val="ListBullet"/>
        <w:spacing w:before="0" w:after="50" w:line="276" w:lineRule="auto"/>
      </w:pPr>
      <w:r>
        <w:rPr>
          <w:rFonts w:ascii="Calibri" w:hAnsi="Calibri"/>
          <w:b/>
          <w:color w:val="0F2240"/>
          <w:sz w:val="20"/>
        </w:rPr>
        <w:t xml:space="preserve">Missing Target Policy: </w:t>
      </w:r>
      <w:r>
        <w:rPr>
          <w:rFonts w:ascii="Calibri" w:hAnsi="Calibri"/>
          <w:color w:val="2D3440"/>
          <w:sz w:val="20"/>
        </w:rPr>
        <w:t>Remove rows with missing target values for the target-specific modelling dataset.</w:t>
      </w:r>
    </w:p>
    <w:p>
      <w:pPr>
        <w:pStyle w:val="ListBullet"/>
        <w:spacing w:before="0" w:after="50" w:line="276" w:lineRule="auto"/>
      </w:pPr>
      <w:r>
        <w:rPr>
          <w:rFonts w:ascii="Calibri" w:hAnsi="Calibri"/>
          <w:b/>
          <w:color w:val="0F2240"/>
          <w:sz w:val="20"/>
        </w:rPr>
        <w:t xml:space="preserve">Leakage-Free Imputation: </w:t>
      </w:r>
      <w:r>
        <w:rPr>
          <w:rFonts w:ascii="Calibri" w:hAnsi="Calibri"/>
          <w:color w:val="2D3440"/>
          <w:sz w:val="20"/>
        </w:rPr>
        <w:t>Use training-only median imputation for missing model features. Imputation statistics must not be fit on validation or test rows.</w:t>
      </w:r>
    </w:p>
    <w:p>
      <w:pPr>
        <w:pStyle w:val="ListBullet"/>
        <w:spacing w:before="0" w:after="50" w:line="276" w:lineRule="auto"/>
      </w:pPr>
      <w:r>
        <w:rPr>
          <w:rFonts w:ascii="Calibri" w:hAnsi="Calibri"/>
          <w:b/>
          <w:color w:val="0F2240"/>
          <w:sz w:val="20"/>
        </w:rPr>
        <w:t xml:space="preserve">Sampling Gap Diagnostics: </w:t>
      </w:r>
      <w:r>
        <w:rPr>
          <w:rFonts w:ascii="Calibri" w:hAnsi="Calibri"/>
          <w:color w:val="2D3440"/>
          <w:sz w:val="20"/>
        </w:rPr>
        <w:t>The Ganga progress report records a median gap of about 10 days and a maximum gap of roughly 323 days. This is irregular sampling, not continuous daily monitoring.</w:t>
      </w:r>
    </w:p>
    <w:p>
      <w:pPr>
        <w:keepNext/>
        <w:spacing w:before="280" w:after="80"/>
      </w:pPr>
      <w:r>
        <w:rPr>
          <w:rFonts w:ascii="Calibri" w:hAnsi="Calibri"/>
          <w:b/>
          <w:color w:val="0F2240"/>
          <w:sz w:val="26"/>
        </w:rPr>
        <w:t>3. Feature Engineering and Temporal Framing</w:t>
      </w:r>
    </w:p>
    <w:p>
      <w:pPr>
        <w:spacing w:before="0" w:after="80" w:line="276" w:lineRule="auto"/>
      </w:pPr>
      <w:r>
        <w:rPr>
          <w:rFonts w:ascii="Calibri" w:hAnsi="Calibri"/>
          <w:color w:val="2D3440"/>
          <w:sz w:val="20"/>
        </w:rPr>
        <w:t>The forecasting task is framed as predicting the next observed value at a station, rather than assuming that every station has a complete daily time series. The dominant Ganga observation interval was reported as approximately 7–14 days, which motivated a corresponding forecasting horizon in the broader project experiments.</w:t>
      </w:r>
    </w:p>
    <w:p>
      <w:pPr>
        <w:keepNext/>
        <w:spacing w:before="200" w:after="60"/>
      </w:pPr>
      <w:r>
        <w:rPr>
          <w:rFonts w:ascii="Calibri" w:hAnsi="Calibri"/>
          <w:b/>
          <w:color w:val="1B559B"/>
          <w:sz w:val="22"/>
        </w:rPr>
        <w:t>3.1 Lag Features and Station-Specific History</w:t>
      </w:r>
    </w:p>
    <w:p>
      <w:pPr>
        <w:spacing w:before="0" w:after="80" w:line="276" w:lineRule="auto"/>
      </w:pPr>
      <w:r>
        <w:rPr>
          <w:rFonts w:ascii="Calibri" w:hAnsi="Calibri"/>
          <w:color w:val="2D3440"/>
          <w:sz w:val="20"/>
        </w:rPr>
        <w:t>Lag features encode recent observed conditions—for example, the previous value of a target or related parameter at the same station. Station-aware history is important because measurements from different locations can have different baselines and dynamics. In the earlier Yamuna experiment summary, 21 lag features were reported; confirm whether that exact feature count applies to the supplied final Yamuna estimator before quoting it as final.</w:t>
      </w:r>
    </w:p>
    <w:p>
      <w:pPr>
        <w:pStyle w:val="ListBullet"/>
        <w:spacing w:before="0" w:after="50" w:line="276" w:lineRule="auto"/>
      </w:pPr>
      <w:r>
        <w:rPr>
          <w:rFonts w:ascii="Calibri" w:hAnsi="Calibri"/>
          <w:b/>
          <w:color w:val="0F2240"/>
          <w:sz w:val="20"/>
        </w:rPr>
        <w:t xml:space="preserve">Station Isolation: </w:t>
      </w:r>
      <w:r>
        <w:rPr>
          <w:rFonts w:ascii="Calibri" w:hAnsi="Calibri"/>
          <w:color w:val="2D3440"/>
          <w:sz w:val="20"/>
        </w:rPr>
        <w:t>Create lags only after sorting by station and timestamp, and calculate them within each station so one station's value is never used as another station's history.</w:t>
      </w:r>
    </w:p>
    <w:p>
      <w:pPr>
        <w:pStyle w:val="ListBullet"/>
        <w:spacing w:before="0" w:after="50" w:line="276" w:lineRule="auto"/>
      </w:pPr>
      <w:r>
        <w:rPr>
          <w:rFonts w:ascii="Calibri" w:hAnsi="Calibri"/>
          <w:b/>
          <w:color w:val="0F2240"/>
          <w:sz w:val="20"/>
        </w:rPr>
        <w:t xml:space="preserve">Lookahead Prevention: </w:t>
      </w:r>
      <w:r>
        <w:rPr>
          <w:rFonts w:ascii="Calibri" w:hAnsi="Calibri"/>
          <w:color w:val="2D3440"/>
          <w:sz w:val="20"/>
        </w:rPr>
        <w:t>Shift historical values so that all predictors would have been available at forecast time. A feature that uses the target observation being predicted is leakage.</w:t>
      </w:r>
    </w:p>
    <w:p>
      <w:pPr>
        <w:pStyle w:val="ListBullet"/>
        <w:spacing w:before="0" w:after="50" w:line="276" w:lineRule="auto"/>
      </w:pPr>
      <w:r>
        <w:rPr>
          <w:rFonts w:ascii="Calibri" w:hAnsi="Calibri"/>
          <w:b/>
          <w:color w:val="0F2240"/>
          <w:sz w:val="20"/>
        </w:rPr>
        <w:t xml:space="preserve">Rolling Windows: </w:t>
      </w:r>
      <w:r>
        <w:rPr>
          <w:rFonts w:ascii="Calibri" w:hAnsi="Calibri"/>
          <w:color w:val="2D3440"/>
          <w:sz w:val="20"/>
        </w:rPr>
        <w:t>Where rolling statistics are used, compute them from past observations only and document the minimum history requirement.</w:t>
      </w:r>
    </w:p>
    <w:p>
      <w:pPr>
        <w:pStyle w:val="ListBullet"/>
        <w:spacing w:before="0" w:after="50" w:line="276" w:lineRule="auto"/>
      </w:pPr>
      <w:r>
        <w:rPr>
          <w:rFonts w:ascii="Calibri" w:hAnsi="Calibri"/>
          <w:b/>
          <w:color w:val="0F2240"/>
          <w:sz w:val="20"/>
        </w:rPr>
        <w:t xml:space="preserve">Exogenous Variables: </w:t>
      </w:r>
      <w:r>
        <w:rPr>
          <w:rFonts w:ascii="Calibri" w:hAnsi="Calibri"/>
          <w:color w:val="2D3440"/>
          <w:sz w:val="20"/>
        </w:rPr>
        <w:t>If calendar or weather variables are included, document their availability at prediction time. The broader report notes that weather variables did not improve its exact 2025 BOD test cases; therefore, a positive weather contribution should not be claimed without target-specific evidence.</w:t>
      </w:r>
    </w:p>
    <w:p>
      <w:pPr>
        <w:keepNext/>
        <w:spacing w:before="200" w:after="60"/>
      </w:pPr>
      <w:r>
        <w:rPr>
          <w:rFonts w:ascii="Calibri" w:hAnsi="Calibri"/>
          <w:b/>
          <w:color w:val="1B559B"/>
          <w:sz w:val="22"/>
        </w:rPr>
        <w:t>3.2 Chronological Splits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2484"/>
        <w:gridCol w:w="2484"/>
        <w:gridCol w:w="2484"/>
        <w:gridCol w:w="2484"/>
      </w:tblGrid>
      <w:tr>
        <w:tc>
          <w:tcPr>
            <w:tcW w:type="dxa" w:w="2592"/>
            <w:shd w:fill="0F2240"/>
            <w:tcMar>
              <w:top w:w="120" w:type="dxa"/>
              <w:bottom w:w="120" w:type="dxa"/>
              <w:left w:w="100" w:type="dxa"/>
              <w:right w:w="100" w:type="dxa"/>
            </w:tcMar>
          </w:tcPr>
          <w:p>
            <w:r>
              <w:rPr>
                <w:rFonts w:ascii="Calibri" w:hAnsi="Calibri"/>
                <w:b/>
                <w:color w:val="FFFFFF"/>
                <w:sz w:val="18"/>
              </w:rPr>
              <w:t>River / Target</w:t>
            </w:r>
          </w:p>
        </w:tc>
        <w:tc>
          <w:tcPr>
            <w:tcW w:type="dxa" w:w="2592"/>
            <w:shd w:fill="0F2240"/>
            <w:tcMar>
              <w:top w:w="120" w:type="dxa"/>
              <w:bottom w:w="120" w:type="dxa"/>
              <w:left w:w="100" w:type="dxa"/>
              <w:right w:w="100" w:type="dxa"/>
            </w:tcMar>
          </w:tcPr>
          <w:p>
            <w:r>
              <w:rPr>
                <w:rFonts w:ascii="Calibri" w:hAnsi="Calibri"/>
                <w:b/>
                <w:color w:val="FFFFFF"/>
                <w:sz w:val="18"/>
              </w:rPr>
              <w:t>Training</w:t>
            </w:r>
          </w:p>
        </w:tc>
        <w:tc>
          <w:tcPr>
            <w:tcW w:type="dxa" w:w="2304"/>
            <w:shd w:fill="0F2240"/>
            <w:tcMar>
              <w:top w:w="120" w:type="dxa"/>
              <w:bottom w:w="120" w:type="dxa"/>
              <w:left w:w="100" w:type="dxa"/>
              <w:right w:w="100" w:type="dxa"/>
            </w:tcMar>
          </w:tcPr>
          <w:p>
            <w:r>
              <w:rPr>
                <w:rFonts w:ascii="Calibri" w:hAnsi="Calibri"/>
                <w:b/>
                <w:color w:val="FFFFFF"/>
                <w:sz w:val="18"/>
              </w:rPr>
              <w:t>Validation</w:t>
            </w:r>
          </w:p>
        </w:tc>
        <w:tc>
          <w:tcPr>
            <w:tcW w:type="dxa" w:w="2448"/>
            <w:shd w:fill="0F2240"/>
            <w:tcMar>
              <w:top w:w="120" w:type="dxa"/>
              <w:bottom w:w="120" w:type="dxa"/>
              <w:left w:w="100" w:type="dxa"/>
              <w:right w:w="100" w:type="dxa"/>
            </w:tcMar>
          </w:tcPr>
          <w:p>
            <w:r>
              <w:rPr>
                <w:rFonts w:ascii="Calibri" w:hAnsi="Calibri"/>
                <w:b/>
                <w:color w:val="FFFFFF"/>
                <w:sz w:val="18"/>
              </w:rPr>
              <w:t>Test</w:t>
            </w:r>
          </w:p>
        </w:tc>
      </w:tr>
      <w:tr>
        <w:tc>
          <w:tcPr>
            <w:tcW w:type="dxa" w:w="2592"/>
            <w:shd w:fill="F8FAFC"/>
            <w:tcMar>
              <w:top w:w="90" w:type="dxa"/>
              <w:bottom w:w="90" w:type="dxa"/>
              <w:left w:w="100" w:type="dxa"/>
              <w:right w:w="100" w:type="dxa"/>
            </w:tcMar>
          </w:tcPr>
          <w:p>
            <w:r>
              <w:rPr>
                <w:rFonts w:ascii="Calibri" w:hAnsi="Calibri"/>
                <w:b/>
                <w:color w:val="2D3440"/>
                <w:sz w:val="17"/>
              </w:rPr>
              <w:t>Yamuna BOD</w:t>
            </w:r>
          </w:p>
        </w:tc>
        <w:tc>
          <w:tcPr>
            <w:tcW w:type="dxa" w:w="2592"/>
            <w:shd w:fill="F8FAFC"/>
            <w:tcMar>
              <w:top w:w="90" w:type="dxa"/>
              <w:bottom w:w="90" w:type="dxa"/>
              <w:left w:w="100" w:type="dxa"/>
              <w:right w:w="100" w:type="dxa"/>
            </w:tcMar>
          </w:tcPr>
          <w:p>
            <w:r>
              <w:rPr>
                <w:rFonts w:ascii="Calibri" w:hAnsi="Calibri"/>
                <w:color w:val="2D3440"/>
                <w:sz w:val="17"/>
              </w:rPr>
              <w:t>2021–2022; 678 rows</w:t>
            </w:r>
          </w:p>
        </w:tc>
        <w:tc>
          <w:tcPr>
            <w:tcW w:type="dxa" w:w="2304"/>
            <w:shd w:fill="F8FAFC"/>
            <w:tcMar>
              <w:top w:w="90" w:type="dxa"/>
              <w:bottom w:w="90" w:type="dxa"/>
              <w:left w:w="100" w:type="dxa"/>
              <w:right w:w="100" w:type="dxa"/>
            </w:tcMar>
          </w:tcPr>
          <w:p>
            <w:r>
              <w:rPr>
                <w:rFonts w:ascii="Calibri" w:hAnsi="Calibri"/>
                <w:color w:val="2D3440"/>
                <w:sz w:val="17"/>
              </w:rPr>
              <w:t>2023; 470 rows</w:t>
            </w:r>
          </w:p>
        </w:tc>
        <w:tc>
          <w:tcPr>
            <w:tcW w:type="dxa" w:w="2448"/>
            <w:shd w:fill="F8FAFC"/>
            <w:tcMar>
              <w:top w:w="90" w:type="dxa"/>
              <w:bottom w:w="90" w:type="dxa"/>
              <w:left w:w="100" w:type="dxa"/>
              <w:right w:w="100" w:type="dxa"/>
            </w:tcMar>
          </w:tcPr>
          <w:p>
            <w:r>
              <w:rPr>
                <w:rFonts w:ascii="Calibri" w:hAnsi="Calibri"/>
                <w:color w:val="2D3440"/>
                <w:sz w:val="17"/>
              </w:rPr>
              <w:t>2024; 204 rows</w:t>
            </w:r>
          </w:p>
        </w:tc>
      </w:tr>
      <w:tr>
        <w:tc>
          <w:tcPr>
            <w:tcW w:type="dxa" w:w="2592"/>
            <w:shd w:fill="FFFFFF"/>
            <w:tcMar>
              <w:top w:w="90" w:type="dxa"/>
              <w:bottom w:w="90" w:type="dxa"/>
              <w:left w:w="100" w:type="dxa"/>
              <w:right w:w="100" w:type="dxa"/>
            </w:tcMar>
          </w:tcPr>
          <w:p>
            <w:r>
              <w:rPr>
                <w:rFonts w:ascii="Calibri" w:hAnsi="Calibri"/>
                <w:b/>
                <w:color w:val="2D3440"/>
                <w:sz w:val="17"/>
              </w:rPr>
              <w:t>Ganga target-specific metrics</w:t>
            </w:r>
          </w:p>
        </w:tc>
        <w:tc>
          <w:tcPr>
            <w:tcW w:type="dxa" w:w="2592"/>
            <w:shd w:fill="FFFFFF"/>
            <w:tcMar>
              <w:top w:w="90" w:type="dxa"/>
              <w:bottom w:w="90" w:type="dxa"/>
              <w:left w:w="100" w:type="dxa"/>
              <w:right w:w="100" w:type="dxa"/>
            </w:tcMar>
          </w:tcPr>
          <w:p>
            <w:r>
              <w:rPr>
                <w:rFonts w:ascii="Calibri" w:hAnsi="Calibri"/>
                <w:color w:val="2D3440"/>
                <w:sz w:val="17"/>
              </w:rPr>
              <w:t>Exact split details need verification against notebook</w:t>
            </w:r>
          </w:p>
        </w:tc>
        <w:tc>
          <w:tcPr>
            <w:tcW w:type="dxa" w:w="2304"/>
            <w:shd w:fill="FFFFFF"/>
            <w:tcMar>
              <w:top w:w="90" w:type="dxa"/>
              <w:bottom w:w="90" w:type="dxa"/>
              <w:left w:w="100" w:type="dxa"/>
              <w:right w:w="100" w:type="dxa"/>
            </w:tcMar>
          </w:tcPr>
          <w:p>
            <w:r>
              <w:rPr>
                <w:rFonts w:ascii="Calibri" w:hAnsi="Calibri"/>
                <w:color w:val="2D3440"/>
                <w:sz w:val="17"/>
              </w:rPr>
              <w:t>Not provided in supplied result block</w:t>
            </w:r>
          </w:p>
        </w:tc>
        <w:tc>
          <w:tcPr>
            <w:tcW w:type="dxa" w:w="2448"/>
            <w:shd w:fill="FFFFFF"/>
            <w:tcMar>
              <w:top w:w="90" w:type="dxa"/>
              <w:bottom w:w="90" w:type="dxa"/>
              <w:left w:w="100" w:type="dxa"/>
              <w:right w:w="100" w:type="dxa"/>
            </w:tcMar>
          </w:tcPr>
          <w:p>
            <w:r>
              <w:rPr>
                <w:rFonts w:ascii="Calibri" w:hAnsi="Calibri"/>
                <w:color w:val="2D3440"/>
                <w:sz w:val="17"/>
              </w:rPr>
              <w:t>Reported test N=117 (DO persistence N=116)</w:t>
            </w:r>
          </w:p>
        </w:tc>
      </w:tr>
    </w:tbl>
    <w:p>
      <w:pPr>
        <w:spacing w:after="80"/>
      </w:pPr>
    </w:p>
    <w:p>
      <w:pPr>
        <w:spacing w:before="0" w:after="80" w:line="276" w:lineRule="auto"/>
      </w:pPr>
      <w:r>
        <w:rPr>
          <w:rFonts w:ascii="Calibri" w:hAnsi="Calibri"/>
          <w:color w:val="2D3440"/>
          <w:sz w:val="20"/>
        </w:rPr>
        <w:t>Chronological splitting better approximates deployment: the model learns from the past and is evaluated on later observations. Randomly splitting rows can leak temporal patterns and give an overly optimistic estimate. The Ganga progress report also describes a separate experiment with training 2021–2023, validation 2024 and test 2025; that is a distinct temporal Random Forest experiment and is not the same result set as the Ganga target-specific table in Section 5.</w:t>
      </w:r>
    </w:p>
    <w:p>
      <w:pPr>
        <w:keepNext/>
        <w:spacing w:before="280" w:after="80"/>
      </w:pPr>
      <w:r>
        <w:rPr>
          <w:rFonts w:ascii="Calibri" w:hAnsi="Calibri"/>
          <w:b/>
          <w:color w:val="0F2240"/>
          <w:sz w:val="26"/>
        </w:rPr>
        <w:t>4. Models and Why They Were Selected</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2484"/>
        <w:gridCol w:w="2484"/>
        <w:gridCol w:w="2484"/>
        <w:gridCol w:w="2484"/>
      </w:tblGrid>
      <w:tr>
        <w:tc>
          <w:tcPr>
            <w:tcW w:type="dxa" w:w="1872"/>
            <w:shd w:fill="0F2240"/>
            <w:tcMar>
              <w:top w:w="120" w:type="dxa"/>
              <w:bottom w:w="120" w:type="dxa"/>
              <w:left w:w="100" w:type="dxa"/>
              <w:right w:w="100" w:type="dxa"/>
            </w:tcMar>
          </w:tcPr>
          <w:p>
            <w:r>
              <w:rPr>
                <w:rFonts w:ascii="Calibri" w:hAnsi="Calibri"/>
                <w:b/>
                <w:color w:val="FFFFFF"/>
                <w:sz w:val="18"/>
              </w:rPr>
              <w:t>River / Target</w:t>
            </w:r>
          </w:p>
        </w:tc>
        <w:tc>
          <w:tcPr>
            <w:tcW w:type="dxa" w:w="2592"/>
            <w:shd w:fill="0F2240"/>
            <w:tcMar>
              <w:top w:w="120" w:type="dxa"/>
              <w:bottom w:w="120" w:type="dxa"/>
              <w:left w:w="100" w:type="dxa"/>
              <w:right w:w="100" w:type="dxa"/>
            </w:tcMar>
          </w:tcPr>
          <w:p>
            <w:r>
              <w:rPr>
                <w:rFonts w:ascii="Calibri" w:hAnsi="Calibri"/>
                <w:b/>
                <w:color w:val="FFFFFF"/>
                <w:sz w:val="18"/>
              </w:rPr>
              <w:t>Reported Estimator</w:t>
            </w:r>
          </w:p>
        </w:tc>
        <w:tc>
          <w:tcPr>
            <w:tcW w:type="dxa" w:w="3312"/>
            <w:shd w:fill="0F2240"/>
            <w:tcMar>
              <w:top w:w="120" w:type="dxa"/>
              <w:bottom w:w="120" w:type="dxa"/>
              <w:left w:w="100" w:type="dxa"/>
              <w:right w:w="100" w:type="dxa"/>
            </w:tcMar>
          </w:tcPr>
          <w:p>
            <w:r>
              <w:rPr>
                <w:rFonts w:ascii="Calibri" w:hAnsi="Calibri"/>
                <w:b/>
                <w:color w:val="FFFFFF"/>
                <w:sz w:val="18"/>
              </w:rPr>
              <w:t>Reasonable Modelling Rationale</w:t>
            </w:r>
          </w:p>
        </w:tc>
        <w:tc>
          <w:tcPr>
            <w:tcW w:type="dxa" w:w="2160"/>
            <w:shd w:fill="0F2240"/>
            <w:tcMar>
              <w:top w:w="120" w:type="dxa"/>
              <w:bottom w:w="120" w:type="dxa"/>
              <w:left w:w="100" w:type="dxa"/>
              <w:right w:w="100" w:type="dxa"/>
            </w:tcMar>
          </w:tcPr>
          <w:p>
            <w:r>
              <w:rPr>
                <w:rFonts w:ascii="Calibri" w:hAnsi="Calibri"/>
                <w:b/>
                <w:color w:val="FFFFFF"/>
                <w:sz w:val="18"/>
              </w:rPr>
              <w:t>Configuration Status</w:t>
            </w:r>
          </w:p>
        </w:tc>
      </w:tr>
      <w:tr>
        <w:tc>
          <w:tcPr>
            <w:tcW w:type="dxa" w:w="1872"/>
            <w:shd w:fill="F8FAFC"/>
            <w:tcMar>
              <w:top w:w="90" w:type="dxa"/>
              <w:bottom w:w="90" w:type="dxa"/>
              <w:left w:w="100" w:type="dxa"/>
              <w:right w:w="100" w:type="dxa"/>
            </w:tcMar>
          </w:tcPr>
          <w:p>
            <w:r>
              <w:rPr>
                <w:rFonts w:ascii="Calibri" w:hAnsi="Calibri"/>
                <w:b/>
                <w:color w:val="2D3440"/>
                <w:sz w:val="17"/>
              </w:rPr>
              <w:t>Yamuna — BOD</w:t>
            </w:r>
          </w:p>
        </w:tc>
        <w:tc>
          <w:tcPr>
            <w:tcW w:type="dxa" w:w="2592"/>
            <w:shd w:fill="F8FAFC"/>
            <w:tcMar>
              <w:top w:w="90" w:type="dxa"/>
              <w:bottom w:w="90" w:type="dxa"/>
              <w:left w:w="100" w:type="dxa"/>
              <w:right w:w="100" w:type="dxa"/>
            </w:tcMar>
          </w:tcPr>
          <w:p>
            <w:r>
              <w:rPr>
                <w:rFonts w:ascii="Calibri" w:hAnsi="Calibri"/>
                <w:b/>
                <w:color w:val="2D3440"/>
                <w:sz w:val="17"/>
              </w:rPr>
              <w:t>Gradient Boosting Regressor</w:t>
            </w:r>
          </w:p>
        </w:tc>
        <w:tc>
          <w:tcPr>
            <w:tcW w:type="dxa" w:w="3312"/>
            <w:shd w:fill="F8FAFC"/>
            <w:tcMar>
              <w:top w:w="90" w:type="dxa"/>
              <w:bottom w:w="90" w:type="dxa"/>
              <w:left w:w="100" w:type="dxa"/>
              <w:right w:w="100" w:type="dxa"/>
            </w:tcMar>
          </w:tcPr>
          <w:p>
            <w:r>
              <w:rPr>
                <w:rFonts w:ascii="Calibri" w:hAnsi="Calibri"/>
                <w:color w:val="2D3440"/>
                <w:sz w:val="17"/>
              </w:rPr>
              <w:t>Boosted shallow trees can model nonlinear relationships and interactions in tabular water-quality features.</w:t>
            </w:r>
          </w:p>
        </w:tc>
        <w:tc>
          <w:tcPr>
            <w:tcW w:type="dxa" w:w="2160"/>
            <w:shd w:fill="F8FAFC"/>
            <w:tcMar>
              <w:top w:w="90" w:type="dxa"/>
              <w:bottom w:w="90" w:type="dxa"/>
              <w:left w:w="100" w:type="dxa"/>
              <w:right w:w="100" w:type="dxa"/>
            </w:tcMar>
          </w:tcPr>
          <w:p>
            <w:r>
              <w:rPr>
                <w:rFonts w:ascii="Calibri" w:hAnsi="Calibri"/>
                <w:color w:val="2D3440"/>
                <w:sz w:val="17"/>
              </w:rPr>
              <w:t>Estimator family supplied; exact hyperparameters need notebook verification.</w:t>
            </w:r>
          </w:p>
        </w:tc>
      </w:tr>
      <w:tr>
        <w:tc>
          <w:tcPr>
            <w:tcW w:type="dxa" w:w="1872"/>
            <w:shd w:fill="FFFFFF"/>
            <w:tcMar>
              <w:top w:w="90" w:type="dxa"/>
              <w:bottom w:w="90" w:type="dxa"/>
              <w:left w:w="100" w:type="dxa"/>
              <w:right w:w="100" w:type="dxa"/>
            </w:tcMar>
          </w:tcPr>
          <w:p>
            <w:r>
              <w:rPr>
                <w:rFonts w:ascii="Calibri" w:hAnsi="Calibri"/>
                <w:b/>
                <w:color w:val="2D3440"/>
                <w:sz w:val="17"/>
              </w:rPr>
              <w:t>Ganga — BOD</w:t>
            </w:r>
          </w:p>
        </w:tc>
        <w:tc>
          <w:tcPr>
            <w:tcW w:type="dxa" w:w="2592"/>
            <w:shd w:fill="FFFFFF"/>
            <w:tcMar>
              <w:top w:w="90" w:type="dxa"/>
              <w:bottom w:w="90" w:type="dxa"/>
              <w:left w:w="100" w:type="dxa"/>
              <w:right w:w="100" w:type="dxa"/>
            </w:tcMar>
          </w:tcPr>
          <w:p>
            <w:r>
              <w:rPr>
                <w:rFonts w:ascii="Calibri" w:hAnsi="Calibri"/>
                <w:b/>
                <w:color w:val="2D3440"/>
                <w:sz w:val="17"/>
              </w:rPr>
              <w:t>Extra Trees Regressor</w:t>
            </w:r>
          </w:p>
        </w:tc>
        <w:tc>
          <w:tcPr>
            <w:tcW w:type="dxa" w:w="3312"/>
            <w:shd w:fill="FFFFFF"/>
            <w:tcMar>
              <w:top w:w="90" w:type="dxa"/>
              <w:bottom w:w="90" w:type="dxa"/>
              <w:left w:w="100" w:type="dxa"/>
              <w:right w:w="100" w:type="dxa"/>
            </w:tcMar>
          </w:tcPr>
          <w:p>
            <w:r>
              <w:rPr>
                <w:rFonts w:ascii="Calibri" w:hAnsi="Calibri"/>
                <w:color w:val="2D3440"/>
                <w:sz w:val="17"/>
              </w:rPr>
              <w:t>Randomized tree splits and ensemble averaging can capture nonlinear effects while reducing reliance on one tree.</w:t>
            </w:r>
          </w:p>
        </w:tc>
        <w:tc>
          <w:tcPr>
            <w:tcW w:type="dxa" w:w="2160"/>
            <w:shd w:fill="FFFFFF"/>
            <w:tcMar>
              <w:top w:w="90" w:type="dxa"/>
              <w:bottom w:w="90" w:type="dxa"/>
              <w:left w:w="100" w:type="dxa"/>
              <w:right w:w="100" w:type="dxa"/>
            </w:tcMar>
          </w:tcPr>
          <w:p>
            <w:r>
              <w:rPr>
                <w:rFonts w:ascii="Calibri" w:hAnsi="Calibri"/>
                <w:color w:val="2D3440"/>
                <w:sz w:val="17"/>
              </w:rPr>
              <w:t>Estimator family supplied; exact hyperparameters need notebook verification.</w:t>
            </w:r>
          </w:p>
        </w:tc>
      </w:tr>
      <w:tr>
        <w:tc>
          <w:tcPr>
            <w:tcW w:type="dxa" w:w="1872"/>
            <w:shd w:fill="F8FAFC"/>
            <w:tcMar>
              <w:top w:w="90" w:type="dxa"/>
              <w:bottom w:w="90" w:type="dxa"/>
              <w:left w:w="100" w:type="dxa"/>
              <w:right w:w="100" w:type="dxa"/>
            </w:tcMar>
          </w:tcPr>
          <w:p>
            <w:r>
              <w:rPr>
                <w:rFonts w:ascii="Calibri" w:hAnsi="Calibri"/>
                <w:b/>
                <w:color w:val="2D3440"/>
                <w:sz w:val="17"/>
              </w:rPr>
              <w:t>Ganga — DO</w:t>
            </w:r>
          </w:p>
        </w:tc>
        <w:tc>
          <w:tcPr>
            <w:tcW w:type="dxa" w:w="2592"/>
            <w:shd w:fill="F8FAFC"/>
            <w:tcMar>
              <w:top w:w="90" w:type="dxa"/>
              <w:bottom w:w="90" w:type="dxa"/>
              <w:left w:w="100" w:type="dxa"/>
              <w:right w:w="100" w:type="dxa"/>
            </w:tcMar>
          </w:tcPr>
          <w:p>
            <w:r>
              <w:rPr>
                <w:rFonts w:ascii="Calibri" w:hAnsi="Calibri"/>
                <w:b/>
                <w:color w:val="2D3440"/>
                <w:sz w:val="17"/>
              </w:rPr>
              <w:t>Extra Trees Regressor</w:t>
            </w:r>
          </w:p>
        </w:tc>
        <w:tc>
          <w:tcPr>
            <w:tcW w:type="dxa" w:w="3312"/>
            <w:shd w:fill="F8FAFC"/>
            <w:tcMar>
              <w:top w:w="90" w:type="dxa"/>
              <w:bottom w:w="90" w:type="dxa"/>
              <w:left w:w="100" w:type="dxa"/>
              <w:right w:w="100" w:type="dxa"/>
            </w:tcMar>
          </w:tcPr>
          <w:p>
            <w:r>
              <w:rPr>
                <w:rFonts w:ascii="Calibri" w:hAnsi="Calibri"/>
                <w:color w:val="2D3440"/>
                <w:sz w:val="17"/>
              </w:rPr>
              <w:t>Same ensemble rationale; evaluated independently for the DO target.</w:t>
            </w:r>
          </w:p>
        </w:tc>
        <w:tc>
          <w:tcPr>
            <w:tcW w:type="dxa" w:w="2160"/>
            <w:shd w:fill="F8FAFC"/>
            <w:tcMar>
              <w:top w:w="90" w:type="dxa"/>
              <w:bottom w:w="90" w:type="dxa"/>
              <w:left w:w="100" w:type="dxa"/>
              <w:right w:w="100" w:type="dxa"/>
            </w:tcMar>
          </w:tcPr>
          <w:p>
            <w:r>
              <w:rPr>
                <w:rFonts w:ascii="Calibri" w:hAnsi="Calibri"/>
                <w:color w:val="2D3440"/>
                <w:sz w:val="17"/>
              </w:rPr>
              <w:t>Estimator family supplied; exact hyperparameters need notebook verification.</w:t>
            </w:r>
          </w:p>
        </w:tc>
      </w:tr>
      <w:tr>
        <w:tc>
          <w:tcPr>
            <w:tcW w:type="dxa" w:w="1872"/>
            <w:shd w:fill="FFFFFF"/>
            <w:tcMar>
              <w:top w:w="90" w:type="dxa"/>
              <w:bottom w:w="90" w:type="dxa"/>
              <w:left w:w="100" w:type="dxa"/>
              <w:right w:w="100" w:type="dxa"/>
            </w:tcMar>
          </w:tcPr>
          <w:p>
            <w:r>
              <w:rPr>
                <w:rFonts w:ascii="Calibri" w:hAnsi="Calibri"/>
                <w:b/>
                <w:color w:val="2D3440"/>
                <w:sz w:val="17"/>
              </w:rPr>
              <w:t>Ganga — pH</w:t>
            </w:r>
          </w:p>
        </w:tc>
        <w:tc>
          <w:tcPr>
            <w:tcW w:type="dxa" w:w="2592"/>
            <w:shd w:fill="FFFFFF"/>
            <w:tcMar>
              <w:top w:w="90" w:type="dxa"/>
              <w:bottom w:w="90" w:type="dxa"/>
              <w:left w:w="100" w:type="dxa"/>
              <w:right w:w="100" w:type="dxa"/>
            </w:tcMar>
          </w:tcPr>
          <w:p>
            <w:r>
              <w:rPr>
                <w:rFonts w:ascii="Calibri" w:hAnsi="Calibri"/>
                <w:b/>
                <w:color w:val="2D3440"/>
                <w:sz w:val="17"/>
              </w:rPr>
              <w:t>HistGradientBoosting Regressor</w:t>
            </w:r>
          </w:p>
        </w:tc>
        <w:tc>
          <w:tcPr>
            <w:tcW w:type="dxa" w:w="3312"/>
            <w:shd w:fill="FFFFFF"/>
            <w:tcMar>
              <w:top w:w="90" w:type="dxa"/>
              <w:bottom w:w="90" w:type="dxa"/>
              <w:left w:w="100" w:type="dxa"/>
              <w:right w:w="100" w:type="dxa"/>
            </w:tcMar>
          </w:tcPr>
          <w:p>
            <w:r>
              <w:rPr>
                <w:rFonts w:ascii="Calibri" w:hAnsi="Calibri"/>
                <w:color w:val="2D3440"/>
                <w:sz w:val="17"/>
              </w:rPr>
              <w:t>Histogram-based gradient boosting can fit nonlinear tabular patterns efficiently.</w:t>
            </w:r>
          </w:p>
        </w:tc>
        <w:tc>
          <w:tcPr>
            <w:tcW w:type="dxa" w:w="2160"/>
            <w:shd w:fill="FFFFFF"/>
            <w:tcMar>
              <w:top w:w="90" w:type="dxa"/>
              <w:bottom w:w="90" w:type="dxa"/>
              <w:left w:w="100" w:type="dxa"/>
              <w:right w:w="100" w:type="dxa"/>
            </w:tcMar>
          </w:tcPr>
          <w:p>
            <w:r>
              <w:rPr>
                <w:rFonts w:ascii="Calibri" w:hAnsi="Calibri"/>
                <w:color w:val="2D3440"/>
                <w:sz w:val="17"/>
              </w:rPr>
              <w:t>Estimator family supplied; exact hyperparameters need notebook verification.</w:t>
            </w:r>
          </w:p>
        </w:tc>
      </w:tr>
    </w:tbl>
    <w:p>
      <w:pPr>
        <w:spacing w:after="80"/>
      </w:pPr>
    </w:p>
    <w:p>
      <w:pPr>
        <w:spacing w:before="0" w:after="80" w:line="276" w:lineRule="auto"/>
      </w:pPr>
      <w:r>
        <w:rPr>
          <w:rFonts w:ascii="Calibri" w:hAnsi="Calibri"/>
          <w:color w:val="2D3440"/>
          <w:sz w:val="20"/>
        </w:rPr>
        <w:t>These rationales explain why the families are plausible choices; they are not proof that a particular estimator won a documented model-selection contest. Do not state that the supplied estimator was the best among a specific candidate set unless the final notebook contains the comparison.</w:t>
      </w:r>
    </w:p>
    <w:p>
      <w:pPr>
        <w:keepNext/>
        <w:spacing w:before="280" w:after="80"/>
      </w:pPr>
      <w:r>
        <w:rPr>
          <w:rFonts w:ascii="Calibri" w:hAnsi="Calibri"/>
          <w:b/>
          <w:color w:val="0F2240"/>
          <w:sz w:val="26"/>
        </w:rPr>
        <w:t>5. Reported Evaluation Results</w:t>
      </w:r>
    </w:p>
    <w:p>
      <w:pPr>
        <w:spacing w:before="0" w:after="80" w:line="276" w:lineRule="auto"/>
      </w:pPr>
      <w:r>
        <w:rPr>
          <w:rFonts w:ascii="Calibri" w:hAnsi="Calibri"/>
          <w:color w:val="2D3440"/>
          <w:sz w:val="20"/>
        </w:rPr>
        <w:t>The following values are the supplied reported results. They are presented as reported—not as newly reproduced results. Metrics are shown to four decimal places to preserve the values provided.</w:t>
      </w:r>
    </w:p>
    <w:p>
      <w:pPr>
        <w:keepNext/>
        <w:spacing w:before="200" w:after="60"/>
      </w:pPr>
      <w:r>
        <w:rPr>
          <w:rFonts w:ascii="Calibri" w:hAnsi="Calibri"/>
          <w:b/>
          <w:color w:val="1B559B"/>
          <w:sz w:val="22"/>
        </w:rPr>
        <w:t>5.1 Yamuna — BOD (Chronological Split)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987"/>
        <w:gridCol w:w="1987"/>
        <w:gridCol w:w="1987"/>
        <w:gridCol w:w="1987"/>
        <w:gridCol w:w="1987"/>
      </w:tblGrid>
      <w:tr>
        <w:tc>
          <w:tcPr>
            <w:tcW w:type="dxa" w:w="3600"/>
            <w:shd w:fill="0F2240"/>
            <w:tcMar>
              <w:top w:w="120" w:type="dxa"/>
              <w:bottom w:w="120" w:type="dxa"/>
              <w:left w:w="100" w:type="dxa"/>
              <w:right w:w="100" w:type="dxa"/>
            </w:tcMar>
          </w:tcPr>
          <w:p>
            <w:r>
              <w:rPr>
                <w:rFonts w:ascii="Calibri" w:hAnsi="Calibri"/>
                <w:b/>
                <w:color w:val="FFFFFF"/>
                <w:sz w:val="18"/>
              </w:rPr>
              <w:t>Split / Method</w:t>
            </w:r>
          </w:p>
        </w:tc>
        <w:tc>
          <w:tcPr>
            <w:tcW w:type="dxa" w:w="1152"/>
            <w:shd w:fill="0F2240"/>
            <w:tcMar>
              <w:top w:w="120" w:type="dxa"/>
              <w:bottom w:w="120" w:type="dxa"/>
              <w:left w:w="100" w:type="dxa"/>
              <w:right w:w="100" w:type="dxa"/>
            </w:tcMar>
          </w:tcPr>
          <w:p>
            <w:r>
              <w:rPr>
                <w:rFonts w:ascii="Calibri" w:hAnsi="Calibri"/>
                <w:b/>
                <w:color w:val="FFFFFF"/>
                <w:sz w:val="18"/>
              </w:rPr>
              <w:t>N</w:t>
            </w:r>
          </w:p>
        </w:tc>
        <w:tc>
          <w:tcPr>
            <w:tcW w:type="dxa" w:w="1728"/>
            <w:shd w:fill="0F2240"/>
            <w:tcMar>
              <w:top w:w="120" w:type="dxa"/>
              <w:bottom w:w="120" w:type="dxa"/>
              <w:left w:w="100" w:type="dxa"/>
              <w:right w:w="100" w:type="dxa"/>
            </w:tcMar>
          </w:tcPr>
          <w:p>
            <w:r>
              <w:rPr>
                <w:rFonts w:ascii="Calibri" w:hAnsi="Calibri"/>
                <w:b/>
                <w:color w:val="FFFFFF"/>
                <w:sz w:val="18"/>
              </w:rPr>
              <w:t>MAE</w:t>
            </w:r>
          </w:p>
        </w:tc>
        <w:tc>
          <w:tcPr>
            <w:tcW w:type="dxa" w:w="1728"/>
            <w:shd w:fill="0F2240"/>
            <w:tcMar>
              <w:top w:w="120" w:type="dxa"/>
              <w:bottom w:w="120" w:type="dxa"/>
              <w:left w:w="100" w:type="dxa"/>
              <w:right w:w="100" w:type="dxa"/>
            </w:tcMar>
          </w:tcPr>
          <w:p>
            <w:r>
              <w:rPr>
                <w:rFonts w:ascii="Calibri" w:hAnsi="Calibri"/>
                <w:b/>
                <w:color w:val="FFFFFF"/>
                <w:sz w:val="18"/>
              </w:rPr>
              <w:t>RMSE</w:t>
            </w:r>
          </w:p>
        </w:tc>
        <w:tc>
          <w:tcPr>
            <w:tcW w:type="dxa" w:w="1728"/>
            <w:shd w:fill="0F2240"/>
            <w:tcMar>
              <w:top w:w="120" w:type="dxa"/>
              <w:bottom w:w="120" w:type="dxa"/>
              <w:left w:w="100" w:type="dxa"/>
              <w:right w:w="100" w:type="dxa"/>
            </w:tcMar>
          </w:tcPr>
          <w:p>
            <w:r>
              <w:rPr>
                <w:rFonts w:ascii="Calibri" w:hAnsi="Calibri"/>
                <w:b/>
                <w:color w:val="FFFFFF"/>
                <w:sz w:val="18"/>
              </w:rPr>
              <w:t>R²</w:t>
            </w:r>
          </w:p>
        </w:tc>
      </w:tr>
      <w:tr>
        <w:tc>
          <w:tcPr>
            <w:tcW w:type="dxa" w:w="3600"/>
            <w:shd w:fill="F8FAFC"/>
            <w:tcMar>
              <w:top w:w="90" w:type="dxa"/>
              <w:bottom w:w="90" w:type="dxa"/>
              <w:left w:w="100" w:type="dxa"/>
              <w:right w:w="100" w:type="dxa"/>
            </w:tcMar>
          </w:tcPr>
          <w:p>
            <w:pPr>
              <w:jc w:val="left"/>
            </w:pPr>
            <w:r>
              <w:rPr>
                <w:rFonts w:ascii="Calibri" w:hAnsi="Calibri"/>
                <w:b/>
                <w:color w:val="2D3440"/>
                <w:sz w:val="17"/>
              </w:rPr>
              <w:t>Validation — Gradient Boosting</w:t>
            </w:r>
          </w:p>
        </w:tc>
        <w:tc>
          <w:tcPr>
            <w:tcW w:type="dxa" w:w="1152"/>
            <w:shd w:fill="F8FAFC"/>
            <w:tcMar>
              <w:top w:w="90" w:type="dxa"/>
              <w:bottom w:w="90" w:type="dxa"/>
              <w:left w:w="100" w:type="dxa"/>
              <w:right w:w="100" w:type="dxa"/>
            </w:tcMar>
          </w:tcPr>
          <w:p>
            <w:pPr>
              <w:jc w:val="center"/>
            </w:pPr>
            <w:r>
              <w:rPr>
                <w:rFonts w:ascii="Calibri" w:hAnsi="Calibri"/>
                <w:color w:val="2D3440"/>
                <w:sz w:val="17"/>
              </w:rPr>
              <w:t>470</w:t>
            </w:r>
          </w:p>
        </w:tc>
        <w:tc>
          <w:tcPr>
            <w:tcW w:type="dxa" w:w="1728"/>
            <w:shd w:fill="F8FAFC"/>
            <w:tcMar>
              <w:top w:w="90" w:type="dxa"/>
              <w:bottom w:w="90" w:type="dxa"/>
              <w:left w:w="100" w:type="dxa"/>
              <w:right w:w="100" w:type="dxa"/>
            </w:tcMar>
          </w:tcPr>
          <w:p>
            <w:pPr>
              <w:jc w:val="center"/>
            </w:pPr>
            <w:r>
              <w:rPr>
                <w:rFonts w:ascii="Calibri" w:hAnsi="Calibri"/>
                <w:color w:val="2D3440"/>
                <w:sz w:val="17"/>
              </w:rPr>
              <w:t>8.3442</w:t>
            </w:r>
          </w:p>
        </w:tc>
        <w:tc>
          <w:tcPr>
            <w:tcW w:type="dxa" w:w="1728"/>
            <w:shd w:fill="F8FAFC"/>
            <w:tcMar>
              <w:top w:w="90" w:type="dxa"/>
              <w:bottom w:w="90" w:type="dxa"/>
              <w:left w:w="100" w:type="dxa"/>
              <w:right w:w="100" w:type="dxa"/>
            </w:tcMar>
          </w:tcPr>
          <w:p>
            <w:pPr>
              <w:jc w:val="center"/>
            </w:pPr>
            <w:r>
              <w:rPr>
                <w:rFonts w:ascii="Calibri" w:hAnsi="Calibri"/>
                <w:color w:val="2D3440"/>
                <w:sz w:val="17"/>
              </w:rPr>
              <w:t>14.7699</w:t>
            </w:r>
          </w:p>
        </w:tc>
        <w:tc>
          <w:tcPr>
            <w:tcW w:type="dxa" w:w="1728"/>
            <w:shd w:fill="F8FAFC"/>
            <w:tcMar>
              <w:top w:w="90" w:type="dxa"/>
              <w:bottom w:w="90" w:type="dxa"/>
              <w:left w:w="100" w:type="dxa"/>
              <w:right w:w="100" w:type="dxa"/>
            </w:tcMar>
          </w:tcPr>
          <w:p>
            <w:pPr>
              <w:jc w:val="center"/>
            </w:pPr>
            <w:r>
              <w:rPr>
                <w:rFonts w:ascii="Calibri" w:hAnsi="Calibri"/>
                <w:color w:val="2D3440"/>
                <w:sz w:val="17"/>
              </w:rPr>
              <w:t>0.3375</w:t>
            </w:r>
          </w:p>
        </w:tc>
      </w:tr>
      <w:tr>
        <w:tc>
          <w:tcPr>
            <w:tcW w:type="dxa" w:w="3600"/>
            <w:shd w:fill="FFFFFF"/>
            <w:tcMar>
              <w:top w:w="90" w:type="dxa"/>
              <w:bottom w:w="90" w:type="dxa"/>
              <w:left w:w="100" w:type="dxa"/>
              <w:right w:w="100" w:type="dxa"/>
            </w:tcMar>
          </w:tcPr>
          <w:p>
            <w:pPr>
              <w:jc w:val="left"/>
            </w:pPr>
            <w:r>
              <w:rPr>
                <w:rFonts w:ascii="Calibri" w:hAnsi="Calibri"/>
                <w:color w:val="2D3440"/>
                <w:sz w:val="17"/>
              </w:rPr>
              <w:t>Validation — persistence</w:t>
            </w:r>
          </w:p>
        </w:tc>
        <w:tc>
          <w:tcPr>
            <w:tcW w:type="dxa" w:w="1152"/>
            <w:shd w:fill="FFFFFF"/>
            <w:tcMar>
              <w:top w:w="90" w:type="dxa"/>
              <w:bottom w:w="90" w:type="dxa"/>
              <w:left w:w="100" w:type="dxa"/>
              <w:right w:w="100" w:type="dxa"/>
            </w:tcMar>
          </w:tcPr>
          <w:p>
            <w:pPr>
              <w:jc w:val="center"/>
            </w:pPr>
            <w:r>
              <w:rPr>
                <w:rFonts w:ascii="Calibri" w:hAnsi="Calibri"/>
                <w:color w:val="2D3440"/>
                <w:sz w:val="17"/>
              </w:rPr>
              <w:t>470</w:t>
            </w:r>
          </w:p>
        </w:tc>
        <w:tc>
          <w:tcPr>
            <w:tcW w:type="dxa" w:w="1728"/>
            <w:shd w:fill="FFFFFF"/>
            <w:tcMar>
              <w:top w:w="90" w:type="dxa"/>
              <w:bottom w:w="90" w:type="dxa"/>
              <w:left w:w="100" w:type="dxa"/>
              <w:right w:w="100" w:type="dxa"/>
            </w:tcMar>
          </w:tcPr>
          <w:p>
            <w:pPr>
              <w:jc w:val="center"/>
            </w:pPr>
            <w:r>
              <w:rPr>
                <w:rFonts w:ascii="Calibri" w:hAnsi="Calibri"/>
                <w:color w:val="2D3440"/>
                <w:sz w:val="17"/>
              </w:rPr>
              <w:t>9.6194</w:t>
            </w:r>
          </w:p>
        </w:tc>
        <w:tc>
          <w:tcPr>
            <w:tcW w:type="dxa" w:w="1728"/>
            <w:shd w:fill="FFFFFF"/>
            <w:tcMar>
              <w:top w:w="90" w:type="dxa"/>
              <w:bottom w:w="90" w:type="dxa"/>
              <w:left w:w="100" w:type="dxa"/>
              <w:right w:w="100" w:type="dxa"/>
            </w:tcMar>
          </w:tcPr>
          <w:p>
            <w:pPr>
              <w:jc w:val="center"/>
            </w:pPr>
            <w:r>
              <w:rPr>
                <w:rFonts w:ascii="Calibri" w:hAnsi="Calibri"/>
                <w:color w:val="2D3440"/>
                <w:sz w:val="17"/>
              </w:rPr>
              <w:t>19.2399</w:t>
            </w:r>
          </w:p>
        </w:tc>
        <w:tc>
          <w:tcPr>
            <w:tcW w:type="dxa" w:w="1728"/>
            <w:shd w:fill="FFFFFF"/>
            <w:tcMar>
              <w:top w:w="90" w:type="dxa"/>
              <w:bottom w:w="90" w:type="dxa"/>
              <w:left w:w="100" w:type="dxa"/>
              <w:right w:w="100" w:type="dxa"/>
            </w:tcMar>
          </w:tcPr>
          <w:p>
            <w:pPr>
              <w:jc w:val="center"/>
            </w:pPr>
            <w:r>
              <w:rPr>
                <w:rFonts w:ascii="Calibri" w:hAnsi="Calibri"/>
                <w:color w:val="2D3440"/>
                <w:sz w:val="17"/>
              </w:rPr>
              <w:t>−0.1242</w:t>
            </w:r>
          </w:p>
        </w:tc>
      </w:tr>
      <w:tr>
        <w:tc>
          <w:tcPr>
            <w:tcW w:type="dxa" w:w="3600"/>
            <w:shd w:fill="F8FAFC"/>
            <w:tcMar>
              <w:top w:w="90" w:type="dxa"/>
              <w:bottom w:w="90" w:type="dxa"/>
              <w:left w:w="100" w:type="dxa"/>
              <w:right w:w="100" w:type="dxa"/>
            </w:tcMar>
          </w:tcPr>
          <w:p>
            <w:pPr>
              <w:jc w:val="left"/>
            </w:pPr>
            <w:r>
              <w:rPr>
                <w:rFonts w:ascii="Calibri" w:hAnsi="Calibri"/>
                <w:b/>
                <w:color w:val="2D3440"/>
                <w:sz w:val="17"/>
              </w:rPr>
              <w:t>Test — Gradient Boosting</w:t>
            </w:r>
          </w:p>
        </w:tc>
        <w:tc>
          <w:tcPr>
            <w:tcW w:type="dxa" w:w="1152"/>
            <w:shd w:fill="F8FAFC"/>
            <w:tcMar>
              <w:top w:w="90" w:type="dxa"/>
              <w:bottom w:w="90" w:type="dxa"/>
              <w:left w:w="100" w:type="dxa"/>
              <w:right w:w="100" w:type="dxa"/>
            </w:tcMar>
          </w:tcPr>
          <w:p>
            <w:pPr>
              <w:jc w:val="center"/>
            </w:pPr>
            <w:r>
              <w:rPr>
                <w:rFonts w:ascii="Calibri" w:hAnsi="Calibri"/>
                <w:color w:val="2D3440"/>
                <w:sz w:val="17"/>
              </w:rPr>
              <w:t>204</w:t>
            </w:r>
          </w:p>
        </w:tc>
        <w:tc>
          <w:tcPr>
            <w:tcW w:type="dxa" w:w="1728"/>
            <w:shd w:fill="F8FAFC"/>
            <w:tcMar>
              <w:top w:w="90" w:type="dxa"/>
              <w:bottom w:w="90" w:type="dxa"/>
              <w:left w:w="100" w:type="dxa"/>
              <w:right w:w="100" w:type="dxa"/>
            </w:tcMar>
          </w:tcPr>
          <w:p>
            <w:pPr>
              <w:jc w:val="center"/>
            </w:pPr>
            <w:r>
              <w:rPr>
                <w:rFonts w:ascii="Calibri" w:hAnsi="Calibri"/>
                <w:color w:val="2D3440"/>
                <w:sz w:val="17"/>
              </w:rPr>
              <w:t>6.2883</w:t>
            </w:r>
          </w:p>
        </w:tc>
        <w:tc>
          <w:tcPr>
            <w:tcW w:type="dxa" w:w="1728"/>
            <w:shd w:fill="F8FAFC"/>
            <w:tcMar>
              <w:top w:w="90" w:type="dxa"/>
              <w:bottom w:w="90" w:type="dxa"/>
              <w:left w:w="100" w:type="dxa"/>
              <w:right w:w="100" w:type="dxa"/>
            </w:tcMar>
          </w:tcPr>
          <w:p>
            <w:pPr>
              <w:jc w:val="center"/>
            </w:pPr>
            <w:r>
              <w:rPr>
                <w:rFonts w:ascii="Calibri" w:hAnsi="Calibri"/>
                <w:color w:val="2D3440"/>
                <w:sz w:val="17"/>
              </w:rPr>
              <w:t>9.5471</w:t>
            </w:r>
          </w:p>
        </w:tc>
        <w:tc>
          <w:tcPr>
            <w:tcW w:type="dxa" w:w="1728"/>
            <w:shd w:fill="F8FAFC"/>
            <w:tcMar>
              <w:top w:w="90" w:type="dxa"/>
              <w:bottom w:w="90" w:type="dxa"/>
              <w:left w:w="100" w:type="dxa"/>
              <w:right w:w="100" w:type="dxa"/>
            </w:tcMar>
          </w:tcPr>
          <w:p>
            <w:pPr>
              <w:jc w:val="center"/>
            </w:pPr>
            <w:r>
              <w:rPr>
                <w:rFonts w:ascii="Calibri" w:hAnsi="Calibri"/>
                <w:color w:val="2D3440"/>
                <w:sz w:val="17"/>
              </w:rPr>
              <w:t>0.5267</w:t>
            </w:r>
          </w:p>
        </w:tc>
      </w:tr>
      <w:tr>
        <w:tc>
          <w:tcPr>
            <w:tcW w:type="dxa" w:w="3600"/>
            <w:shd w:fill="FFFFFF"/>
            <w:tcMar>
              <w:top w:w="90" w:type="dxa"/>
              <w:bottom w:w="90" w:type="dxa"/>
              <w:left w:w="100" w:type="dxa"/>
              <w:right w:w="100" w:type="dxa"/>
            </w:tcMar>
          </w:tcPr>
          <w:p>
            <w:pPr>
              <w:jc w:val="left"/>
            </w:pPr>
            <w:r>
              <w:rPr>
                <w:rFonts w:ascii="Calibri" w:hAnsi="Calibri"/>
                <w:color w:val="2D3440"/>
                <w:sz w:val="17"/>
              </w:rPr>
              <w:t>Test — persistence</w:t>
            </w:r>
          </w:p>
        </w:tc>
        <w:tc>
          <w:tcPr>
            <w:tcW w:type="dxa" w:w="1152"/>
            <w:shd w:fill="FFFFFF"/>
            <w:tcMar>
              <w:top w:w="90" w:type="dxa"/>
              <w:bottom w:w="90" w:type="dxa"/>
              <w:left w:w="100" w:type="dxa"/>
              <w:right w:w="100" w:type="dxa"/>
            </w:tcMar>
          </w:tcPr>
          <w:p>
            <w:pPr>
              <w:jc w:val="center"/>
            </w:pPr>
            <w:r>
              <w:rPr>
                <w:rFonts w:ascii="Calibri" w:hAnsi="Calibri"/>
                <w:color w:val="2D3440"/>
                <w:sz w:val="17"/>
              </w:rPr>
              <w:t>204</w:t>
            </w:r>
          </w:p>
        </w:tc>
        <w:tc>
          <w:tcPr>
            <w:tcW w:type="dxa" w:w="1728"/>
            <w:shd w:fill="FFFFFF"/>
            <w:tcMar>
              <w:top w:w="90" w:type="dxa"/>
              <w:bottom w:w="90" w:type="dxa"/>
              <w:left w:w="100" w:type="dxa"/>
              <w:right w:w="100" w:type="dxa"/>
            </w:tcMar>
          </w:tcPr>
          <w:p>
            <w:pPr>
              <w:jc w:val="center"/>
            </w:pPr>
            <w:r>
              <w:rPr>
                <w:rFonts w:ascii="Calibri" w:hAnsi="Calibri"/>
                <w:color w:val="2D3440"/>
                <w:sz w:val="17"/>
              </w:rPr>
              <w:t>6.2338</w:t>
            </w:r>
          </w:p>
        </w:tc>
        <w:tc>
          <w:tcPr>
            <w:tcW w:type="dxa" w:w="1728"/>
            <w:shd w:fill="FFFFFF"/>
            <w:tcMar>
              <w:top w:w="90" w:type="dxa"/>
              <w:bottom w:w="90" w:type="dxa"/>
              <w:left w:w="100" w:type="dxa"/>
              <w:right w:w="100" w:type="dxa"/>
            </w:tcMar>
          </w:tcPr>
          <w:p>
            <w:pPr>
              <w:jc w:val="center"/>
            </w:pPr>
            <w:r>
              <w:rPr>
                <w:rFonts w:ascii="Calibri" w:hAnsi="Calibri"/>
                <w:color w:val="2D3440"/>
                <w:sz w:val="17"/>
              </w:rPr>
              <w:t>11.2376</w:t>
            </w:r>
          </w:p>
        </w:tc>
        <w:tc>
          <w:tcPr>
            <w:tcW w:type="dxa" w:w="1728"/>
            <w:shd w:fill="FFFFFF"/>
            <w:tcMar>
              <w:top w:w="90" w:type="dxa"/>
              <w:bottom w:w="90" w:type="dxa"/>
              <w:left w:w="100" w:type="dxa"/>
              <w:right w:w="100" w:type="dxa"/>
            </w:tcMar>
          </w:tcPr>
          <w:p>
            <w:pPr>
              <w:jc w:val="center"/>
            </w:pPr>
            <w:r>
              <w:rPr>
                <w:rFonts w:ascii="Calibri" w:hAnsi="Calibri"/>
                <w:color w:val="2D3440"/>
                <w:sz w:val="17"/>
              </w:rPr>
              <w:t>0.3442</w:t>
            </w:r>
          </w:p>
        </w:tc>
      </w:tr>
    </w:tbl>
    <w:p>
      <w:pPr>
        <w:spacing w:after="80"/>
      </w:pPr>
    </w:p>
    <w:p>
      <w:pPr>
        <w:spacing w:before="0" w:after="80" w:line="276" w:lineRule="auto"/>
      </w:pPr>
      <w:r>
        <w:rPr>
          <w:rFonts w:ascii="Calibri" w:hAnsi="Calibri"/>
          <w:color w:val="2D3440"/>
          <w:sz w:val="20"/>
        </w:rPr>
        <w:t>Interpretation: On validation, Gradient Boosting improves all three reported metrics relative to persistence. On the 2024 test set, the model has lower RMSE and higher R², but its MAE is 0.0545 higher (worse) than persistence. Therefore the defensible conclusion is mixed but useful: the model reduces the influence of larger errors and explains more test-set variance than the baseline, but it does not improve average absolute error on this test set.</w:t>
      </w:r>
    </w:p>
    <w:p>
      <w:pPr>
        <w:spacing w:before="0" w:after="80" w:line="276" w:lineRule="auto"/>
      </w:pPr>
      <w:r>
        <w:rPr>
          <w:rFonts w:ascii="Calibri" w:hAnsi="Calibri"/>
          <w:color w:val="2D3440"/>
          <w:sz w:val="20"/>
        </w:rPr>
        <w:t>A separate earlier Yamuna experiment summary reported a different metric set (validation MAE 7.7730, RMSE 15.3462, R² 0.3302; test MAE 6.8624, RMSE 9.9892, R² 0.4318) and noted underprediction of large BOD increases. Those values are not substituted into the table above because they appear to belong to a different experiment/configuration. Check notebook version and feature pipeline before final submission.</w:t>
      </w:r>
    </w:p>
    <w:p>
      <w:pPr>
        <w:keepNext/>
        <w:spacing w:before="200" w:after="60"/>
      </w:pPr>
      <w:r>
        <w:rPr>
          <w:rFonts w:ascii="Calibri" w:hAnsi="Calibri"/>
          <w:b/>
          <w:color w:val="1B559B"/>
          <w:sz w:val="22"/>
        </w:rPr>
        <w:t>5.2 Ganga — BOD, DO and pH</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1419"/>
        <w:gridCol w:w="1419"/>
        <w:gridCol w:w="1419"/>
        <w:gridCol w:w="1419"/>
        <w:gridCol w:w="1419"/>
        <w:gridCol w:w="1419"/>
        <w:gridCol w:w="1419"/>
      </w:tblGrid>
      <w:tr>
        <w:tc>
          <w:tcPr>
            <w:tcW w:type="dxa" w:w="864"/>
            <w:shd w:fill="0F2240"/>
            <w:tcMar>
              <w:top w:w="120" w:type="dxa"/>
              <w:bottom w:w="120" w:type="dxa"/>
              <w:left w:w="80" w:type="dxa"/>
              <w:right w:w="80" w:type="dxa"/>
            </w:tcMar>
          </w:tcPr>
          <w:p>
            <w:r>
              <w:rPr>
                <w:rFonts w:ascii="Calibri" w:hAnsi="Calibri"/>
                <w:b/>
                <w:color w:val="FFFFFF"/>
                <w:sz w:val="17"/>
              </w:rPr>
              <w:t>Target</w:t>
            </w:r>
          </w:p>
        </w:tc>
        <w:tc>
          <w:tcPr>
            <w:tcW w:type="dxa" w:w="2160"/>
            <w:shd w:fill="0F2240"/>
            <w:tcMar>
              <w:top w:w="120" w:type="dxa"/>
              <w:bottom w:w="120" w:type="dxa"/>
              <w:left w:w="80" w:type="dxa"/>
              <w:right w:w="80" w:type="dxa"/>
            </w:tcMar>
          </w:tcPr>
          <w:p>
            <w:r>
              <w:rPr>
                <w:rFonts w:ascii="Calibri" w:hAnsi="Calibri"/>
                <w:b/>
                <w:color w:val="FFFFFF"/>
                <w:sz w:val="17"/>
              </w:rPr>
              <w:t>Estimator</w:t>
            </w:r>
          </w:p>
        </w:tc>
        <w:tc>
          <w:tcPr>
            <w:tcW w:type="dxa" w:w="720"/>
            <w:shd w:fill="0F2240"/>
            <w:tcMar>
              <w:top w:w="120" w:type="dxa"/>
              <w:bottom w:w="120" w:type="dxa"/>
              <w:left w:w="80" w:type="dxa"/>
              <w:right w:w="80" w:type="dxa"/>
            </w:tcMar>
          </w:tcPr>
          <w:p>
            <w:r>
              <w:rPr>
                <w:rFonts w:ascii="Calibri" w:hAnsi="Calibri"/>
                <w:b/>
                <w:color w:val="FFFFFF"/>
                <w:sz w:val="17"/>
              </w:rPr>
              <w:t>N</w:t>
            </w:r>
          </w:p>
        </w:tc>
        <w:tc>
          <w:tcPr>
            <w:tcW w:type="dxa" w:w="1152"/>
            <w:shd w:fill="0F2240"/>
            <w:tcMar>
              <w:top w:w="120" w:type="dxa"/>
              <w:bottom w:w="120" w:type="dxa"/>
              <w:left w:w="80" w:type="dxa"/>
              <w:right w:w="80" w:type="dxa"/>
            </w:tcMar>
          </w:tcPr>
          <w:p>
            <w:r>
              <w:rPr>
                <w:rFonts w:ascii="Calibri" w:hAnsi="Calibri"/>
                <w:b/>
                <w:color w:val="FFFFFF"/>
                <w:sz w:val="17"/>
              </w:rPr>
              <w:t>Model MAE</w:t>
            </w:r>
          </w:p>
        </w:tc>
        <w:tc>
          <w:tcPr>
            <w:tcW w:type="dxa" w:w="1152"/>
            <w:shd w:fill="0F2240"/>
            <w:tcMar>
              <w:top w:w="120" w:type="dxa"/>
              <w:bottom w:w="120" w:type="dxa"/>
              <w:left w:w="80" w:type="dxa"/>
              <w:right w:w="80" w:type="dxa"/>
            </w:tcMar>
          </w:tcPr>
          <w:p>
            <w:r>
              <w:rPr>
                <w:rFonts w:ascii="Calibri" w:hAnsi="Calibri"/>
                <w:b/>
                <w:color w:val="FFFFFF"/>
                <w:sz w:val="17"/>
              </w:rPr>
              <w:t>Model RMSE</w:t>
            </w:r>
          </w:p>
        </w:tc>
        <w:tc>
          <w:tcPr>
            <w:tcW w:type="dxa" w:w="1152"/>
            <w:shd w:fill="0F2240"/>
            <w:tcMar>
              <w:top w:w="120" w:type="dxa"/>
              <w:bottom w:w="120" w:type="dxa"/>
              <w:left w:w="80" w:type="dxa"/>
              <w:right w:w="80" w:type="dxa"/>
            </w:tcMar>
          </w:tcPr>
          <w:p>
            <w:r>
              <w:rPr>
                <w:rFonts w:ascii="Calibri" w:hAnsi="Calibri"/>
                <w:b/>
                <w:color w:val="FFFFFF"/>
                <w:sz w:val="17"/>
              </w:rPr>
              <w:t>Model R²</w:t>
            </w:r>
          </w:p>
        </w:tc>
        <w:tc>
          <w:tcPr>
            <w:tcW w:type="dxa" w:w="2736"/>
            <w:shd w:fill="0F2240"/>
            <w:tcMar>
              <w:top w:w="120" w:type="dxa"/>
              <w:bottom w:w="120" w:type="dxa"/>
              <w:left w:w="80" w:type="dxa"/>
              <w:right w:w="80" w:type="dxa"/>
            </w:tcMar>
          </w:tcPr>
          <w:p>
            <w:r>
              <w:rPr>
                <w:rFonts w:ascii="Calibri" w:hAnsi="Calibri"/>
                <w:b/>
                <w:color w:val="FFFFFF"/>
                <w:sz w:val="17"/>
              </w:rPr>
              <w:t>Persistence Baseline (MAE / RMSE / R²)</w:t>
            </w:r>
          </w:p>
        </w:tc>
      </w:tr>
      <w:tr>
        <w:tc>
          <w:tcPr>
            <w:tcW w:type="dxa" w:w="864"/>
            <w:shd w:fill="F8FAFC"/>
            <w:tcMar>
              <w:top w:w="90" w:type="dxa"/>
              <w:bottom w:w="90" w:type="dxa"/>
              <w:left w:w="80" w:type="dxa"/>
              <w:right w:w="80" w:type="dxa"/>
            </w:tcMar>
          </w:tcPr>
          <w:p>
            <w:pPr>
              <w:jc w:val="center"/>
            </w:pPr>
            <w:r>
              <w:rPr>
                <w:rFonts w:ascii="Calibri" w:hAnsi="Calibri"/>
                <w:b/>
                <w:color w:val="2D3440"/>
                <w:sz w:val="17"/>
              </w:rPr>
              <w:t>BOD</w:t>
            </w:r>
          </w:p>
        </w:tc>
        <w:tc>
          <w:tcPr>
            <w:tcW w:type="dxa" w:w="2160"/>
            <w:shd w:fill="F8FAFC"/>
            <w:tcMar>
              <w:top w:w="90" w:type="dxa"/>
              <w:bottom w:w="90" w:type="dxa"/>
              <w:left w:w="80" w:type="dxa"/>
              <w:right w:w="80" w:type="dxa"/>
            </w:tcMar>
          </w:tcPr>
          <w:p>
            <w:pPr>
              <w:jc w:val="left"/>
            </w:pPr>
            <w:r>
              <w:rPr>
                <w:rFonts w:ascii="Calibri" w:hAnsi="Calibri"/>
                <w:color w:val="2D3440"/>
                <w:sz w:val="17"/>
              </w:rPr>
              <w:t>Extra Trees</w:t>
            </w:r>
          </w:p>
        </w:tc>
        <w:tc>
          <w:tcPr>
            <w:tcW w:type="dxa" w:w="720"/>
            <w:shd w:fill="F8FAFC"/>
            <w:tcMar>
              <w:top w:w="90" w:type="dxa"/>
              <w:bottom w:w="90" w:type="dxa"/>
              <w:left w:w="80" w:type="dxa"/>
              <w:right w:w="80" w:type="dxa"/>
            </w:tcMar>
          </w:tcPr>
          <w:p>
            <w:pPr>
              <w:jc w:val="center"/>
            </w:pPr>
            <w:r>
              <w:rPr>
                <w:rFonts w:ascii="Calibri" w:hAnsi="Calibri"/>
                <w:color w:val="2D3440"/>
                <w:sz w:val="17"/>
              </w:rPr>
              <w:t>117</w:t>
            </w:r>
          </w:p>
        </w:tc>
        <w:tc>
          <w:tcPr>
            <w:tcW w:type="dxa" w:w="1152"/>
            <w:shd w:fill="F8FAFC"/>
            <w:tcMar>
              <w:top w:w="90" w:type="dxa"/>
              <w:bottom w:w="90" w:type="dxa"/>
              <w:left w:w="80" w:type="dxa"/>
              <w:right w:w="80" w:type="dxa"/>
            </w:tcMar>
          </w:tcPr>
          <w:p>
            <w:pPr>
              <w:jc w:val="center"/>
            </w:pPr>
            <w:r>
              <w:rPr>
                <w:rFonts w:ascii="Calibri" w:hAnsi="Calibri"/>
                <w:color w:val="2D3440"/>
                <w:sz w:val="17"/>
              </w:rPr>
              <w:t>1.7539</w:t>
            </w:r>
          </w:p>
        </w:tc>
        <w:tc>
          <w:tcPr>
            <w:tcW w:type="dxa" w:w="1152"/>
            <w:shd w:fill="F8FAFC"/>
            <w:tcMar>
              <w:top w:w="90" w:type="dxa"/>
              <w:bottom w:w="90" w:type="dxa"/>
              <w:left w:w="80" w:type="dxa"/>
              <w:right w:w="80" w:type="dxa"/>
            </w:tcMar>
          </w:tcPr>
          <w:p>
            <w:pPr>
              <w:jc w:val="center"/>
            </w:pPr>
            <w:r>
              <w:rPr>
                <w:rFonts w:ascii="Calibri" w:hAnsi="Calibri"/>
                <w:color w:val="2D3440"/>
                <w:sz w:val="17"/>
              </w:rPr>
              <w:t>2.3435</w:t>
            </w:r>
          </w:p>
        </w:tc>
        <w:tc>
          <w:tcPr>
            <w:tcW w:type="dxa" w:w="1152"/>
            <w:shd w:fill="F8FAFC"/>
            <w:tcMar>
              <w:top w:w="90" w:type="dxa"/>
              <w:bottom w:w="90" w:type="dxa"/>
              <w:left w:w="80" w:type="dxa"/>
              <w:right w:w="80" w:type="dxa"/>
            </w:tcMar>
          </w:tcPr>
          <w:p>
            <w:pPr>
              <w:jc w:val="center"/>
            </w:pPr>
            <w:r>
              <w:rPr>
                <w:rFonts w:ascii="Calibri" w:hAnsi="Calibri"/>
                <w:color w:val="2D3440"/>
                <w:sz w:val="17"/>
              </w:rPr>
              <w:t>0.2048</w:t>
            </w:r>
          </w:p>
        </w:tc>
        <w:tc>
          <w:tcPr>
            <w:tcW w:type="dxa" w:w="2736"/>
            <w:shd w:fill="F8FAFC"/>
            <w:tcMar>
              <w:top w:w="90" w:type="dxa"/>
              <w:bottom w:w="90" w:type="dxa"/>
              <w:left w:w="80" w:type="dxa"/>
              <w:right w:w="80" w:type="dxa"/>
            </w:tcMar>
          </w:tcPr>
          <w:p>
            <w:pPr>
              <w:jc w:val="left"/>
            </w:pPr>
            <w:r>
              <w:rPr>
                <w:rFonts w:ascii="Calibri" w:hAnsi="Calibri"/>
                <w:color w:val="2D3440"/>
                <w:sz w:val="17"/>
              </w:rPr>
              <w:t>1.9282 / 2.6401 / −0.0091</w:t>
            </w:r>
          </w:p>
        </w:tc>
      </w:tr>
      <w:tr>
        <w:tc>
          <w:tcPr>
            <w:tcW w:type="dxa" w:w="864"/>
            <w:shd w:fill="FFFFFF"/>
            <w:tcMar>
              <w:top w:w="90" w:type="dxa"/>
              <w:bottom w:w="90" w:type="dxa"/>
              <w:left w:w="80" w:type="dxa"/>
              <w:right w:w="80" w:type="dxa"/>
            </w:tcMar>
          </w:tcPr>
          <w:p>
            <w:pPr>
              <w:jc w:val="center"/>
            </w:pPr>
            <w:r>
              <w:rPr>
                <w:rFonts w:ascii="Calibri" w:hAnsi="Calibri"/>
                <w:b/>
                <w:color w:val="2D3440"/>
                <w:sz w:val="17"/>
              </w:rPr>
              <w:t>DO</w:t>
            </w:r>
          </w:p>
        </w:tc>
        <w:tc>
          <w:tcPr>
            <w:tcW w:type="dxa" w:w="2160"/>
            <w:shd w:fill="FFFFFF"/>
            <w:tcMar>
              <w:top w:w="90" w:type="dxa"/>
              <w:bottom w:w="90" w:type="dxa"/>
              <w:left w:w="80" w:type="dxa"/>
              <w:right w:w="80" w:type="dxa"/>
            </w:tcMar>
          </w:tcPr>
          <w:p>
            <w:pPr>
              <w:jc w:val="left"/>
            </w:pPr>
            <w:r>
              <w:rPr>
                <w:rFonts w:ascii="Calibri" w:hAnsi="Calibri"/>
                <w:color w:val="2D3440"/>
                <w:sz w:val="17"/>
              </w:rPr>
              <w:t>Extra Trees</w:t>
            </w:r>
          </w:p>
        </w:tc>
        <w:tc>
          <w:tcPr>
            <w:tcW w:type="dxa" w:w="720"/>
            <w:shd w:fill="FFFFFF"/>
            <w:tcMar>
              <w:top w:w="90" w:type="dxa"/>
              <w:bottom w:w="90" w:type="dxa"/>
              <w:left w:w="80" w:type="dxa"/>
              <w:right w:w="80" w:type="dxa"/>
            </w:tcMar>
          </w:tcPr>
          <w:p>
            <w:pPr>
              <w:jc w:val="center"/>
            </w:pPr>
            <w:r>
              <w:rPr>
                <w:rFonts w:ascii="Calibri" w:hAnsi="Calibri"/>
                <w:color w:val="2D3440"/>
                <w:sz w:val="17"/>
              </w:rPr>
              <w:t>117</w:t>
            </w:r>
          </w:p>
        </w:tc>
        <w:tc>
          <w:tcPr>
            <w:tcW w:type="dxa" w:w="1152"/>
            <w:shd w:fill="FFFFFF"/>
            <w:tcMar>
              <w:top w:w="90" w:type="dxa"/>
              <w:bottom w:w="90" w:type="dxa"/>
              <w:left w:w="80" w:type="dxa"/>
              <w:right w:w="80" w:type="dxa"/>
            </w:tcMar>
          </w:tcPr>
          <w:p>
            <w:pPr>
              <w:jc w:val="center"/>
            </w:pPr>
            <w:r>
              <w:rPr>
                <w:rFonts w:ascii="Calibri" w:hAnsi="Calibri"/>
                <w:color w:val="2D3440"/>
                <w:sz w:val="17"/>
              </w:rPr>
              <w:t>0.6376</w:t>
            </w:r>
          </w:p>
        </w:tc>
        <w:tc>
          <w:tcPr>
            <w:tcW w:type="dxa" w:w="1152"/>
            <w:shd w:fill="FFFFFF"/>
            <w:tcMar>
              <w:top w:w="90" w:type="dxa"/>
              <w:bottom w:w="90" w:type="dxa"/>
              <w:left w:w="80" w:type="dxa"/>
              <w:right w:w="80" w:type="dxa"/>
            </w:tcMar>
          </w:tcPr>
          <w:p>
            <w:pPr>
              <w:jc w:val="center"/>
            </w:pPr>
            <w:r>
              <w:rPr>
                <w:rFonts w:ascii="Calibri" w:hAnsi="Calibri"/>
                <w:color w:val="2D3440"/>
                <w:sz w:val="17"/>
              </w:rPr>
              <w:t>0.8726</w:t>
            </w:r>
          </w:p>
        </w:tc>
        <w:tc>
          <w:tcPr>
            <w:tcW w:type="dxa" w:w="1152"/>
            <w:shd w:fill="FFFFFF"/>
            <w:tcMar>
              <w:top w:w="90" w:type="dxa"/>
              <w:bottom w:w="90" w:type="dxa"/>
              <w:left w:w="80" w:type="dxa"/>
              <w:right w:w="80" w:type="dxa"/>
            </w:tcMar>
          </w:tcPr>
          <w:p>
            <w:pPr>
              <w:jc w:val="center"/>
            </w:pPr>
            <w:r>
              <w:rPr>
                <w:rFonts w:ascii="Calibri" w:hAnsi="Calibri"/>
                <w:color w:val="2D3440"/>
                <w:sz w:val="17"/>
              </w:rPr>
              <w:t>0.2481</w:t>
            </w:r>
          </w:p>
        </w:tc>
        <w:tc>
          <w:tcPr>
            <w:tcW w:type="dxa" w:w="2736"/>
            <w:shd w:fill="FFFFFF"/>
            <w:tcMar>
              <w:top w:w="90" w:type="dxa"/>
              <w:bottom w:w="90" w:type="dxa"/>
              <w:left w:w="80" w:type="dxa"/>
              <w:right w:w="80" w:type="dxa"/>
            </w:tcMar>
          </w:tcPr>
          <w:p>
            <w:pPr>
              <w:jc w:val="left"/>
            </w:pPr>
            <w:r>
              <w:rPr>
                <w:rFonts w:ascii="Calibri" w:hAnsi="Calibri"/>
                <w:color w:val="2D3440"/>
                <w:sz w:val="17"/>
              </w:rPr>
              <w:t>0.6207 / 0.8551 / 0.2838 (N=116)</w:t>
            </w:r>
          </w:p>
        </w:tc>
      </w:tr>
      <w:tr>
        <w:tc>
          <w:tcPr>
            <w:tcW w:type="dxa" w:w="864"/>
            <w:shd w:fill="F8FAFC"/>
            <w:tcMar>
              <w:top w:w="90" w:type="dxa"/>
              <w:bottom w:w="90" w:type="dxa"/>
              <w:left w:w="80" w:type="dxa"/>
              <w:right w:w="80" w:type="dxa"/>
            </w:tcMar>
          </w:tcPr>
          <w:p>
            <w:pPr>
              <w:jc w:val="center"/>
            </w:pPr>
            <w:r>
              <w:rPr>
                <w:rFonts w:ascii="Calibri" w:hAnsi="Calibri"/>
                <w:b/>
                <w:color w:val="2D3440"/>
                <w:sz w:val="17"/>
              </w:rPr>
              <w:t>pH</w:t>
            </w:r>
          </w:p>
        </w:tc>
        <w:tc>
          <w:tcPr>
            <w:tcW w:type="dxa" w:w="2160"/>
            <w:shd w:fill="F8FAFC"/>
            <w:tcMar>
              <w:top w:w="90" w:type="dxa"/>
              <w:bottom w:w="90" w:type="dxa"/>
              <w:left w:w="80" w:type="dxa"/>
              <w:right w:w="80" w:type="dxa"/>
            </w:tcMar>
          </w:tcPr>
          <w:p>
            <w:pPr>
              <w:jc w:val="left"/>
            </w:pPr>
            <w:r>
              <w:rPr>
                <w:rFonts w:ascii="Calibri" w:hAnsi="Calibri"/>
                <w:color w:val="2D3440"/>
                <w:sz w:val="17"/>
              </w:rPr>
              <w:t>HistGradientBoosting</w:t>
            </w:r>
          </w:p>
        </w:tc>
        <w:tc>
          <w:tcPr>
            <w:tcW w:type="dxa" w:w="720"/>
            <w:shd w:fill="F8FAFC"/>
            <w:tcMar>
              <w:top w:w="90" w:type="dxa"/>
              <w:bottom w:w="90" w:type="dxa"/>
              <w:left w:w="80" w:type="dxa"/>
              <w:right w:w="80" w:type="dxa"/>
            </w:tcMar>
          </w:tcPr>
          <w:p>
            <w:pPr>
              <w:jc w:val="center"/>
            </w:pPr>
            <w:r>
              <w:rPr>
                <w:rFonts w:ascii="Calibri" w:hAnsi="Calibri"/>
                <w:color w:val="2D3440"/>
                <w:sz w:val="17"/>
              </w:rPr>
              <w:t>117</w:t>
            </w:r>
          </w:p>
        </w:tc>
        <w:tc>
          <w:tcPr>
            <w:tcW w:type="dxa" w:w="1152"/>
            <w:shd w:fill="F8FAFC"/>
            <w:tcMar>
              <w:top w:w="90" w:type="dxa"/>
              <w:bottom w:w="90" w:type="dxa"/>
              <w:left w:w="80" w:type="dxa"/>
              <w:right w:w="80" w:type="dxa"/>
            </w:tcMar>
          </w:tcPr>
          <w:p>
            <w:pPr>
              <w:jc w:val="center"/>
            </w:pPr>
            <w:r>
              <w:rPr>
                <w:rFonts w:ascii="Calibri" w:hAnsi="Calibri"/>
                <w:color w:val="2D3440"/>
                <w:sz w:val="17"/>
              </w:rPr>
              <w:t>0.1101</w:t>
            </w:r>
          </w:p>
        </w:tc>
        <w:tc>
          <w:tcPr>
            <w:tcW w:type="dxa" w:w="1152"/>
            <w:shd w:fill="F8FAFC"/>
            <w:tcMar>
              <w:top w:w="90" w:type="dxa"/>
              <w:bottom w:w="90" w:type="dxa"/>
              <w:left w:w="80" w:type="dxa"/>
              <w:right w:w="80" w:type="dxa"/>
            </w:tcMar>
          </w:tcPr>
          <w:p>
            <w:pPr>
              <w:jc w:val="center"/>
            </w:pPr>
            <w:r>
              <w:rPr>
                <w:rFonts w:ascii="Calibri" w:hAnsi="Calibri"/>
                <w:color w:val="2D3440"/>
                <w:sz w:val="17"/>
              </w:rPr>
              <w:t>0.1721</w:t>
            </w:r>
          </w:p>
        </w:tc>
        <w:tc>
          <w:tcPr>
            <w:tcW w:type="dxa" w:w="1152"/>
            <w:shd w:fill="F8FAFC"/>
            <w:tcMar>
              <w:top w:w="90" w:type="dxa"/>
              <w:bottom w:w="90" w:type="dxa"/>
              <w:left w:w="80" w:type="dxa"/>
              <w:right w:w="80" w:type="dxa"/>
            </w:tcMar>
          </w:tcPr>
          <w:p>
            <w:pPr>
              <w:jc w:val="center"/>
            </w:pPr>
            <w:r>
              <w:rPr>
                <w:rFonts w:ascii="Calibri" w:hAnsi="Calibri"/>
                <w:color w:val="2D3440"/>
                <w:sz w:val="17"/>
              </w:rPr>
              <w:t>−0.2033</w:t>
            </w:r>
          </w:p>
        </w:tc>
        <w:tc>
          <w:tcPr>
            <w:tcW w:type="dxa" w:w="2736"/>
            <w:shd w:fill="F8FAFC"/>
            <w:tcMar>
              <w:top w:w="90" w:type="dxa"/>
              <w:bottom w:w="90" w:type="dxa"/>
              <w:left w:w="80" w:type="dxa"/>
              <w:right w:w="80" w:type="dxa"/>
            </w:tcMar>
          </w:tcPr>
          <w:p>
            <w:pPr>
              <w:jc w:val="left"/>
            </w:pPr>
            <w:r>
              <w:rPr>
                <w:rFonts w:ascii="Calibri" w:hAnsi="Calibri"/>
                <w:color w:val="2D3440"/>
                <w:sz w:val="17"/>
              </w:rPr>
              <w:t>0.1291 / 0.2206 / −0.9787</w:t>
            </w:r>
          </w:p>
        </w:tc>
      </w:tr>
    </w:tbl>
    <w:p>
      <w:pPr>
        <w:spacing w:after="80"/>
      </w:pPr>
    </w:p>
    <w:p>
      <w:pPr>
        <w:spacing w:before="0" w:after="80" w:line="276" w:lineRule="auto"/>
      </w:pPr>
      <w:r>
        <w:rPr>
          <w:rFonts w:ascii="Calibri" w:hAnsi="Calibri"/>
          <w:color w:val="2D3440"/>
          <w:sz w:val="20"/>
        </w:rPr>
        <w:t>Target-by-Target Interpretation:</w:t>
      </w:r>
    </w:p>
    <w:p>
      <w:pPr>
        <w:pStyle w:val="ListBullet"/>
        <w:spacing w:before="0" w:after="50" w:line="276" w:lineRule="auto"/>
      </w:pPr>
      <w:r>
        <w:rPr>
          <w:rFonts w:ascii="Calibri" w:hAnsi="Calibri"/>
          <w:b/>
          <w:color w:val="0F2240"/>
          <w:sz w:val="20"/>
        </w:rPr>
        <w:t xml:space="preserve">BOD: </w:t>
      </w:r>
      <w:r>
        <w:rPr>
          <w:rFonts w:ascii="Calibri" w:hAnsi="Calibri"/>
          <w:color w:val="2D3440"/>
          <w:sz w:val="20"/>
        </w:rPr>
        <w:t>Extra Trees improves MAE by 0.1743 and RMSE by 0.2966 versus persistence, and R² is positive while the baseline R² is slightly negative. This is evidence of improvement, but R² = 0.2048 indicates modest explanatory strength.</w:t>
      </w:r>
    </w:p>
    <w:p>
      <w:pPr>
        <w:pStyle w:val="ListBullet"/>
        <w:spacing w:before="0" w:after="50" w:line="276" w:lineRule="auto"/>
      </w:pPr>
      <w:r>
        <w:rPr>
          <w:rFonts w:ascii="Calibri" w:hAnsi="Calibri"/>
          <w:b/>
          <w:color w:val="0F2240"/>
          <w:sz w:val="20"/>
        </w:rPr>
        <w:t xml:space="preserve">DO: </w:t>
      </w:r>
      <w:r>
        <w:rPr>
          <w:rFonts w:ascii="Calibri" w:hAnsi="Calibri"/>
          <w:color w:val="2D3440"/>
          <w:sz w:val="20"/>
        </w:rPr>
        <w:t>Extra Trees is worse than persistence on MAE (0.6376 vs 0.6207), RMSE (0.8726 vs 0.8551) and R² (0.2481 vs 0.2838). The baseline uses N=116 rather than 117, so the comparison is not perfectly matched. The reported result does not support claiming that the DO model beats persistence.</w:t>
      </w:r>
    </w:p>
    <w:p>
      <w:pPr>
        <w:pStyle w:val="ListBullet"/>
        <w:spacing w:before="0" w:after="50" w:line="276" w:lineRule="auto"/>
      </w:pPr>
      <w:r>
        <w:rPr>
          <w:rFonts w:ascii="Calibri" w:hAnsi="Calibri"/>
          <w:b/>
          <w:color w:val="0F2240"/>
          <w:sz w:val="20"/>
        </w:rPr>
        <w:t xml:space="preserve">pH: </w:t>
      </w:r>
      <w:r>
        <w:rPr>
          <w:rFonts w:ascii="Calibri" w:hAnsi="Calibri"/>
          <w:color w:val="2D3440"/>
          <w:sz w:val="20"/>
        </w:rPr>
        <w:t>The model has lower MAE and RMSE than persistence, but R² = −0.2033. Negative R² means squared error is worse than the test-set-mean predictor. Lower absolute errors alone do not establish strong explanatory performance; inspect target variance, residuals, calibration and split composition.</w:t>
      </w:r>
    </w:p>
    <w:p>
      <w:pPr>
        <w:keepNext/>
        <w:spacing w:before="280" w:after="80"/>
      </w:pPr>
      <w:r>
        <w:rPr>
          <w:rFonts w:ascii="Calibri" w:hAnsi="Calibri"/>
          <w:b/>
          <w:color w:val="0F2240"/>
          <w:sz w:val="26"/>
        </w:rPr>
        <w:t>6. Metric Definitions and Persistence Baseline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left w:val="none"/>
          <w:right w:val="none"/>
          <w:insideV w:val="none"/>
        </w:tblBorders>
      </w:tblPr>
      <w:tblGrid>
        <w:gridCol w:w="3312"/>
        <w:gridCol w:w="3312"/>
        <w:gridCol w:w="3312"/>
      </w:tblGrid>
      <w:tr>
        <w:tc>
          <w:tcPr>
            <w:tcW w:type="dxa" w:w="1728"/>
            <w:shd w:fill="0F2240"/>
            <w:tcMar>
              <w:top w:w="120" w:type="dxa"/>
              <w:bottom w:w="120" w:type="dxa"/>
              <w:left w:w="100" w:type="dxa"/>
              <w:right w:w="100" w:type="dxa"/>
            </w:tcMar>
          </w:tcPr>
          <w:p>
            <w:r>
              <w:rPr>
                <w:rFonts w:ascii="Calibri" w:hAnsi="Calibri"/>
                <w:b/>
                <w:color w:val="FFFFFF"/>
                <w:sz w:val="18"/>
              </w:rPr>
              <w:t>Metric</w:t>
            </w:r>
          </w:p>
        </w:tc>
        <w:tc>
          <w:tcPr>
            <w:tcW w:type="dxa" w:w="4608"/>
            <w:shd w:fill="0F2240"/>
            <w:tcMar>
              <w:top w:w="120" w:type="dxa"/>
              <w:bottom w:w="120" w:type="dxa"/>
              <w:left w:w="100" w:type="dxa"/>
              <w:right w:w="100" w:type="dxa"/>
            </w:tcMar>
          </w:tcPr>
          <w:p>
            <w:r>
              <w:rPr>
                <w:rFonts w:ascii="Calibri" w:hAnsi="Calibri"/>
                <w:b/>
                <w:color w:val="FFFFFF"/>
                <w:sz w:val="18"/>
              </w:rPr>
              <w:t>Meaning</w:t>
            </w:r>
          </w:p>
        </w:tc>
        <w:tc>
          <w:tcPr>
            <w:tcW w:type="dxa" w:w="3600"/>
            <w:shd w:fill="0F2240"/>
            <w:tcMar>
              <w:top w:w="120" w:type="dxa"/>
              <w:bottom w:w="120" w:type="dxa"/>
              <w:left w:w="100" w:type="dxa"/>
              <w:right w:w="100" w:type="dxa"/>
            </w:tcMar>
          </w:tcPr>
          <w:p>
            <w:r>
              <w:rPr>
                <w:rFonts w:ascii="Calibri" w:hAnsi="Calibri"/>
                <w:b/>
                <w:color w:val="FFFFFF"/>
                <w:sz w:val="18"/>
              </w:rPr>
              <w:t>How to Interpret</w:t>
            </w:r>
          </w:p>
        </w:tc>
      </w:tr>
      <w:tr>
        <w:tc>
          <w:tcPr>
            <w:tcW w:type="dxa" w:w="1728"/>
            <w:shd w:fill="F8FAFC"/>
            <w:tcMar>
              <w:top w:w="90" w:type="dxa"/>
              <w:bottom w:w="90" w:type="dxa"/>
              <w:left w:w="100" w:type="dxa"/>
              <w:right w:w="100" w:type="dxa"/>
            </w:tcMar>
          </w:tcPr>
          <w:p>
            <w:r>
              <w:rPr>
                <w:rFonts w:ascii="Calibri" w:hAnsi="Calibri"/>
                <w:b/>
                <w:color w:val="2D3440"/>
                <w:sz w:val="17"/>
              </w:rPr>
              <w:t>MAE</w:t>
            </w:r>
          </w:p>
        </w:tc>
        <w:tc>
          <w:tcPr>
            <w:tcW w:type="dxa" w:w="4608"/>
            <w:shd w:fill="F8FAFC"/>
            <w:tcMar>
              <w:top w:w="90" w:type="dxa"/>
              <w:bottom w:w="90" w:type="dxa"/>
              <w:left w:w="100" w:type="dxa"/>
              <w:right w:w="100" w:type="dxa"/>
            </w:tcMar>
          </w:tcPr>
          <w:p>
            <w:r>
              <w:rPr>
                <w:rFonts w:ascii="Calibri" w:hAnsi="Calibri"/>
                <w:color w:val="2D3440"/>
                <w:sz w:val="17"/>
              </w:rPr>
              <w:t>Mean absolute difference between actual and predicted values.</w:t>
            </w:r>
          </w:p>
        </w:tc>
        <w:tc>
          <w:tcPr>
            <w:tcW w:type="dxa" w:w="3600"/>
            <w:shd w:fill="F8FAFC"/>
            <w:tcMar>
              <w:top w:w="90" w:type="dxa"/>
              <w:bottom w:w="90" w:type="dxa"/>
              <w:left w:w="100" w:type="dxa"/>
              <w:right w:w="100" w:type="dxa"/>
            </w:tcMar>
          </w:tcPr>
          <w:p>
            <w:r>
              <w:rPr>
                <w:rFonts w:ascii="Calibri" w:hAnsi="Calibri"/>
                <w:color w:val="2D3440"/>
                <w:sz w:val="17"/>
              </w:rPr>
              <w:t>Lower is better; in the target's original units.</w:t>
            </w:r>
          </w:p>
        </w:tc>
      </w:tr>
      <w:tr>
        <w:tc>
          <w:tcPr>
            <w:tcW w:type="dxa" w:w="1728"/>
            <w:shd w:fill="FFFFFF"/>
            <w:tcMar>
              <w:top w:w="90" w:type="dxa"/>
              <w:bottom w:w="90" w:type="dxa"/>
              <w:left w:w="100" w:type="dxa"/>
              <w:right w:w="100" w:type="dxa"/>
            </w:tcMar>
          </w:tcPr>
          <w:p>
            <w:r>
              <w:rPr>
                <w:rFonts w:ascii="Calibri" w:hAnsi="Calibri"/>
                <w:b/>
                <w:color w:val="2D3440"/>
                <w:sz w:val="17"/>
              </w:rPr>
              <w:t>RMSE</w:t>
            </w:r>
          </w:p>
        </w:tc>
        <w:tc>
          <w:tcPr>
            <w:tcW w:type="dxa" w:w="4608"/>
            <w:shd w:fill="FFFFFF"/>
            <w:tcMar>
              <w:top w:w="90" w:type="dxa"/>
              <w:bottom w:w="90" w:type="dxa"/>
              <w:left w:w="100" w:type="dxa"/>
              <w:right w:w="100" w:type="dxa"/>
            </w:tcMar>
          </w:tcPr>
          <w:p>
            <w:r>
              <w:rPr>
                <w:rFonts w:ascii="Calibri" w:hAnsi="Calibri"/>
                <w:color w:val="2D3440"/>
                <w:sz w:val="17"/>
              </w:rPr>
              <w:t>Square root of mean squared error.</w:t>
            </w:r>
          </w:p>
        </w:tc>
        <w:tc>
          <w:tcPr>
            <w:tcW w:type="dxa" w:w="3600"/>
            <w:shd w:fill="FFFFFF"/>
            <w:tcMar>
              <w:top w:w="90" w:type="dxa"/>
              <w:bottom w:w="90" w:type="dxa"/>
              <w:left w:w="100" w:type="dxa"/>
              <w:right w:w="100" w:type="dxa"/>
            </w:tcMar>
          </w:tcPr>
          <w:p>
            <w:r>
              <w:rPr>
                <w:rFonts w:ascii="Calibri" w:hAnsi="Calibri"/>
                <w:color w:val="2D3440"/>
                <w:sz w:val="17"/>
              </w:rPr>
              <w:t>Lower is better; penalizes large misses more strongly than MAE.</w:t>
            </w:r>
          </w:p>
        </w:tc>
      </w:tr>
      <w:tr>
        <w:tc>
          <w:tcPr>
            <w:tcW w:type="dxa" w:w="1728"/>
            <w:shd w:fill="F8FAFC"/>
            <w:tcMar>
              <w:top w:w="90" w:type="dxa"/>
              <w:bottom w:w="90" w:type="dxa"/>
              <w:left w:w="100" w:type="dxa"/>
              <w:right w:w="100" w:type="dxa"/>
            </w:tcMar>
          </w:tcPr>
          <w:p>
            <w:r>
              <w:rPr>
                <w:rFonts w:ascii="Calibri" w:hAnsi="Calibri"/>
                <w:b/>
                <w:color w:val="2D3440"/>
                <w:sz w:val="17"/>
              </w:rPr>
              <w:t>R²</w:t>
            </w:r>
          </w:p>
        </w:tc>
        <w:tc>
          <w:tcPr>
            <w:tcW w:type="dxa" w:w="4608"/>
            <w:shd w:fill="F8FAFC"/>
            <w:tcMar>
              <w:top w:w="90" w:type="dxa"/>
              <w:bottom w:w="90" w:type="dxa"/>
              <w:left w:w="100" w:type="dxa"/>
              <w:right w:w="100" w:type="dxa"/>
            </w:tcMar>
          </w:tcPr>
          <w:p>
            <w:r>
              <w:rPr>
                <w:rFonts w:ascii="Calibri" w:hAnsi="Calibri"/>
                <w:color w:val="2D3440"/>
                <w:sz w:val="17"/>
              </w:rPr>
              <w:t>1 − model squared error / squared error of predicting the test-set mean.</w:t>
            </w:r>
          </w:p>
        </w:tc>
        <w:tc>
          <w:tcPr>
            <w:tcW w:type="dxa" w:w="3600"/>
            <w:shd w:fill="F8FAFC"/>
            <w:tcMar>
              <w:top w:w="90" w:type="dxa"/>
              <w:bottom w:w="90" w:type="dxa"/>
              <w:left w:w="100" w:type="dxa"/>
              <w:right w:w="100" w:type="dxa"/>
            </w:tcMar>
          </w:tcPr>
          <w:p>
            <w:r>
              <w:rPr>
                <w:rFonts w:ascii="Calibri" w:hAnsi="Calibri"/>
                <w:color w:val="2D3440"/>
                <w:sz w:val="17"/>
              </w:rPr>
              <w:t>1 is perfect; 0 is mean-predictor level; negative is worse than the mean predictor.</w:t>
            </w:r>
          </w:p>
        </w:tc>
      </w:tr>
      <w:tr>
        <w:tc>
          <w:tcPr>
            <w:tcW w:type="dxa" w:w="1728"/>
            <w:shd w:fill="FFFFFF"/>
            <w:tcMar>
              <w:top w:w="90" w:type="dxa"/>
              <w:bottom w:w="90" w:type="dxa"/>
              <w:left w:w="100" w:type="dxa"/>
              <w:right w:w="100" w:type="dxa"/>
            </w:tcMar>
          </w:tcPr>
          <w:p>
            <w:r>
              <w:rPr>
                <w:rFonts w:ascii="Calibri" w:hAnsi="Calibri"/>
                <w:b/>
                <w:color w:val="2D3440"/>
                <w:sz w:val="17"/>
              </w:rPr>
              <w:t>Persistence</w:t>
            </w:r>
          </w:p>
        </w:tc>
        <w:tc>
          <w:tcPr>
            <w:tcW w:type="dxa" w:w="4608"/>
            <w:shd w:fill="FFFFFF"/>
            <w:tcMar>
              <w:top w:w="90" w:type="dxa"/>
              <w:bottom w:w="90" w:type="dxa"/>
              <w:left w:w="100" w:type="dxa"/>
              <w:right w:w="100" w:type="dxa"/>
            </w:tcMar>
          </w:tcPr>
          <w:p>
            <w:r>
              <w:rPr>
                <w:rFonts w:ascii="Calibri" w:hAnsi="Calibri"/>
                <w:color w:val="2D3440"/>
                <w:sz w:val="17"/>
              </w:rPr>
              <w:t>Predict the latest available observation as the next value.</w:t>
            </w:r>
          </w:p>
        </w:tc>
        <w:tc>
          <w:tcPr>
            <w:tcW w:type="dxa" w:w="3600"/>
            <w:shd w:fill="FFFFFF"/>
            <w:tcMar>
              <w:top w:w="90" w:type="dxa"/>
              <w:bottom w:w="90" w:type="dxa"/>
              <w:left w:w="100" w:type="dxa"/>
              <w:right w:w="100" w:type="dxa"/>
            </w:tcMar>
          </w:tcPr>
          <w:p>
            <w:r>
              <w:rPr>
                <w:rFonts w:ascii="Calibri" w:hAnsi="Calibri"/>
                <w:color w:val="2D3440"/>
                <w:sz w:val="17"/>
              </w:rPr>
              <w:t>A strong simple baseline for slowly changing variables; the ML model should add value beyond copying the last value.</w:t>
            </w:r>
          </w:p>
        </w:tc>
      </w:tr>
    </w:tbl>
    <w:p>
      <w:pPr>
        <w:spacing w:after="80"/>
      </w:pPr>
    </w:p>
    <w:p>
      <w:pPr>
        <w:spacing w:before="0" w:after="80" w:line="276" w:lineRule="auto"/>
      </w:pPr>
      <w:r>
        <w:rPr>
          <w:rFonts w:ascii="Calibri" w:hAnsi="Calibri"/>
          <w:color w:val="2D3440"/>
          <w:sz w:val="20"/>
        </w:rPr>
        <w:t>MAE and RMSE should not be compared directly across BOD, DO and pH because the parameters have different units, ranges and measurement scales. Comparisons are most meaningful within the same target and test subset.</w:t>
      </w:r>
    </w:p>
    <w:p>
      <w:pPr>
        <w:keepNext/>
        <w:spacing w:before="280" w:after="80"/>
      </w:pPr>
      <w:r>
        <w:rPr>
          <w:rFonts w:ascii="Calibri" w:hAnsi="Calibri"/>
          <w:b/>
          <w:color w:val="0F2240"/>
          <w:sz w:val="26"/>
        </w:rPr>
        <w:t>7. Diagnostics, Limitations and Risks</w:t>
      </w:r>
    </w:p>
    <w:p>
      <w:pPr>
        <w:pStyle w:val="ListBullet"/>
        <w:spacing w:before="0" w:after="50" w:line="276" w:lineRule="auto"/>
      </w:pPr>
      <w:r>
        <w:rPr>
          <w:rFonts w:ascii="Calibri" w:hAnsi="Calibri"/>
          <w:b/>
          <w:color w:val="0F2240"/>
          <w:sz w:val="20"/>
        </w:rPr>
        <w:t xml:space="preserve">Irregular Observation Timing: </w:t>
      </w:r>
      <w:r>
        <w:rPr>
          <w:rFonts w:ascii="Calibri" w:hAnsi="Calibri"/>
          <w:color w:val="2D3440"/>
          <w:sz w:val="20"/>
        </w:rPr>
        <w:t>Large gaps make a fixed-horizon interpretation difficult. Report the target as the next observed value unless exact timestamp-aware forecasting has been implemented and verified.</w:t>
      </w:r>
    </w:p>
    <w:p>
      <w:pPr>
        <w:pStyle w:val="ListBullet"/>
        <w:spacing w:before="0" w:after="50" w:line="276" w:lineRule="auto"/>
      </w:pPr>
      <w:r>
        <w:rPr>
          <w:rFonts w:ascii="Calibri" w:hAnsi="Calibri"/>
          <w:b/>
          <w:color w:val="0F2240"/>
          <w:sz w:val="20"/>
        </w:rPr>
        <w:t xml:space="preserve">Station Selection: </w:t>
      </w:r>
      <w:r>
        <w:rPr>
          <w:rFonts w:ascii="Calibri" w:hAnsi="Calibri"/>
          <w:color w:val="2D3440"/>
          <w:sz w:val="20"/>
        </w:rPr>
        <w:t>Verify that the selected stations are truly part of the intended river system, that aliases are standardized correctly, and that the modelling table does not mix incompatible sites.</w:t>
      </w:r>
    </w:p>
    <w:p>
      <w:pPr>
        <w:pStyle w:val="ListBullet"/>
        <w:spacing w:before="0" w:after="50" w:line="276" w:lineRule="auto"/>
      </w:pPr>
      <w:r>
        <w:rPr>
          <w:rFonts w:ascii="Calibri" w:hAnsi="Calibri"/>
          <w:b/>
          <w:color w:val="0F2240"/>
          <w:sz w:val="20"/>
        </w:rPr>
        <w:t xml:space="preserve">High BOD Underprediction: </w:t>
      </w:r>
      <w:r>
        <w:rPr>
          <w:rFonts w:ascii="Calibri" w:hAnsi="Calibri"/>
          <w:color w:val="2D3440"/>
          <w:sz w:val="20"/>
        </w:rPr>
        <w:t>Inspect residuals by target magnitude and station; report tail performance and consider robust loss functions or carefully justified target transformations.</w:t>
      </w:r>
    </w:p>
    <w:p>
      <w:pPr>
        <w:pStyle w:val="ListBullet"/>
        <w:spacing w:before="0" w:after="50" w:line="276" w:lineRule="auto"/>
      </w:pPr>
      <w:r>
        <w:rPr>
          <w:rFonts w:ascii="Calibri" w:hAnsi="Calibri"/>
          <w:b/>
          <w:color w:val="0F2240"/>
          <w:sz w:val="20"/>
        </w:rPr>
        <w:t xml:space="preserve">Mixed Model Performance: </w:t>
      </w:r>
      <w:r>
        <w:rPr>
          <w:rFonts w:ascii="Calibri" w:hAnsi="Calibri"/>
          <w:color w:val="2D3440"/>
          <w:sz w:val="20"/>
        </w:rPr>
        <w:t>The Ganga DO model does not beat persistence; pH has negative R². These are substantive results, not details to hide.</w:t>
      </w:r>
    </w:p>
    <w:p>
      <w:pPr>
        <w:pStyle w:val="ListBullet"/>
        <w:spacing w:before="0" w:after="50" w:line="276" w:lineRule="auto"/>
      </w:pPr>
      <w:r>
        <w:rPr>
          <w:rFonts w:ascii="Calibri" w:hAnsi="Calibri"/>
          <w:b/>
          <w:color w:val="0F2240"/>
          <w:sz w:val="20"/>
        </w:rPr>
        <w:t xml:space="preserve">Unequal Baseline Sample Count: </w:t>
      </w:r>
      <w:r>
        <w:rPr>
          <w:rFonts w:ascii="Calibri" w:hAnsi="Calibri"/>
          <w:color w:val="2D3440"/>
          <w:sz w:val="20"/>
        </w:rPr>
        <w:t>DO model N=117 and persistence N=116. For a fair comparison, recompute both methods on the same rows where possible.</w:t>
      </w:r>
    </w:p>
    <w:p>
      <w:pPr>
        <w:pStyle w:val="ListBullet"/>
        <w:spacing w:before="0" w:after="50" w:line="276" w:lineRule="auto"/>
      </w:pPr>
      <w:r>
        <w:rPr>
          <w:rFonts w:ascii="Calibri" w:hAnsi="Calibri"/>
          <w:b/>
          <w:color w:val="0F2240"/>
          <w:sz w:val="20"/>
        </w:rPr>
        <w:t xml:space="preserve">Potential Temporal Leakage: </w:t>
      </w:r>
      <w:r>
        <w:rPr>
          <w:rFonts w:ascii="Calibri" w:hAnsi="Calibri"/>
          <w:color w:val="2D3440"/>
          <w:sz w:val="20"/>
        </w:rPr>
        <w:t>Verify lag generation, feature imputation and any scaling/selection are fitted only on training data and that future observations are unavailable to predictors.</w:t>
      </w:r>
    </w:p>
    <w:p>
      <w:pPr>
        <w:pStyle w:val="ListBullet"/>
        <w:spacing w:before="0" w:after="50" w:line="276" w:lineRule="auto"/>
      </w:pPr>
      <w:r>
        <w:rPr>
          <w:rFonts w:ascii="Calibri" w:hAnsi="Calibri"/>
          <w:b/>
          <w:color w:val="0F2240"/>
          <w:sz w:val="20"/>
        </w:rPr>
        <w:t xml:space="preserve">Weather Variables: </w:t>
      </w:r>
      <w:r>
        <w:rPr>
          <w:rFonts w:ascii="Calibri" w:hAnsi="Calibri"/>
          <w:color w:val="2D3440"/>
          <w:sz w:val="20"/>
        </w:rPr>
        <w:t>Only claim value if a controlled ablation on identical test rows demonstrates an improvement. The broader report says weather did not improve its exact 2025 BOD test cases.</w:t>
      </w:r>
    </w:p>
    <w:p>
      <w:pPr>
        <w:pStyle w:val="ListBullet"/>
        <w:spacing w:before="0" w:after="50" w:line="276" w:lineRule="auto"/>
      </w:pPr>
      <w:r>
        <w:rPr>
          <w:rFonts w:ascii="Calibri" w:hAnsi="Calibri"/>
          <w:b/>
          <w:color w:val="0F2240"/>
          <w:sz w:val="20"/>
        </w:rPr>
        <w:t xml:space="preserve">Early-Warning Thresholds: </w:t>
      </w:r>
      <w:r>
        <w:rPr>
          <w:rFonts w:ascii="Calibri" w:hAnsi="Calibri"/>
          <w:color w:val="2D3440"/>
          <w:sz w:val="20"/>
        </w:rPr>
        <w:t>A threshold derived from the training distribution is a project-specific alert heuristic, not a regulatory standard. Use relevant official criteria only with correct parameter, intended-use class and units.</w:t>
      </w:r>
    </w:p>
    <w:p>
      <w:pPr>
        <w:pStyle w:val="ListBullet"/>
        <w:spacing w:before="0" w:after="50" w:line="276" w:lineRule="auto"/>
      </w:pPr>
      <w:r>
        <w:rPr>
          <w:rFonts w:ascii="Calibri" w:hAnsi="Calibri"/>
          <w:b/>
          <w:color w:val="0F2240"/>
          <w:sz w:val="20"/>
        </w:rPr>
        <w:t xml:space="preserve">Reproducibility: </w:t>
      </w:r>
      <w:r>
        <w:rPr>
          <w:rFonts w:ascii="Calibri" w:hAnsi="Calibri"/>
          <w:color w:val="2D3440"/>
          <w:sz w:val="20"/>
        </w:rPr>
        <w:t>Record notebook filename/version, source data versions, random seeds, estimator parameters, feature columns, split dates, row counts and metric computation code.</w:t>
      </w:r>
    </w:p>
    <w:p>
      <w:pPr>
        <w:pStyle w:val="ListBullet"/>
        <w:spacing w:before="0" w:after="50" w:line="276" w:lineRule="auto"/>
      </w:pPr>
      <w:r>
        <w:rPr>
          <w:rFonts w:ascii="Calibri" w:hAnsi="Calibri"/>
          <w:b/>
          <w:color w:val="0F2240"/>
          <w:sz w:val="20"/>
        </w:rPr>
        <w:t xml:space="preserve">Deployment Status: </w:t>
      </w:r>
      <w:r>
        <w:rPr>
          <w:rFonts w:ascii="Calibri" w:hAnsi="Calibri"/>
          <w:color w:val="2D3440"/>
          <w:sz w:val="20"/>
        </w:rPr>
        <w:t>Model experiments do not mean a full-stack dashboard or live alert service is complete. Label integration and operational alerting as planned until demonstrated.</w:t>
      </w:r>
    </w:p>
    <w:p>
      <w:pPr>
        <w:keepNext/>
        <w:spacing w:before="280" w:after="80"/>
      </w:pPr>
      <w:r>
        <w:rPr>
          <w:rFonts w:ascii="Calibri" w:hAnsi="Calibri"/>
          <w:b/>
          <w:color w:val="0F2240"/>
          <w:sz w:val="26"/>
        </w:rPr>
        <w:t>8. Reproducibility Checklist Before Submission</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Open the final executed notebook and confirm the estimator class and exact hyperparameters for each target.</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Confirm the actual feature list and whether the reported Yamuna 21-lag feature set applies to this final run.</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Confirm Ganga train/validation/test years and row counts for the target-specific results.</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Recompute metrics on the exact same test rows for model and persistence, especially Ganga DO.</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Check whether BOD target units are mg/L and record the units from the source dataset metadata before stating them aloud.</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Verify that high-BOD underprediction appears in the final run's residuals or prediction plots before attributing it to this exact configuration.</w:t>
      </w:r>
    </w:p>
    <w:p>
      <w:pPr>
        <w:pStyle w:val="ListBullet"/>
        <w:spacing w:before="0" w:after="50" w:line="276" w:lineRule="auto"/>
      </w:pPr>
      <w:r>
        <w:rPr>
          <w:rFonts w:ascii="Calibri" w:hAnsi="Calibri"/>
          <w:b/>
          <w:color w:val="0F2240"/>
          <w:sz w:val="20"/>
        </w:rPr>
        <w:t xml:space="preserve">☐ </w:t>
      </w:r>
      <w:r>
        <w:rPr>
          <w:rFonts w:ascii="Calibri" w:hAnsi="Calibri"/>
          <w:color w:val="2D3440"/>
          <w:sz w:val="20"/>
        </w:rPr>
        <w:t>Keep a copy of the metric output or notebook cell as evidence; do not describe the values as reproduced unless rerun.</w:t>
      </w:r>
    </w:p>
    <w:p>
      <w:pPr>
        <w:keepNext/>
        <w:spacing w:before="280" w:after="80"/>
      </w:pPr>
      <w:r>
        <w:rPr>
          <w:rFonts w:ascii="Calibri" w:hAnsi="Calibri"/>
          <w:b/>
          <w:color w:val="0F2240"/>
          <w:sz w:val="26"/>
        </w:rPr>
        <w:t>9. Short Viva Answer: Which Models Did You Use and Why?</w:t>
      </w:r>
    </w:p>
    <w:tbl>
      <w:tblPr>
        <w:tblW w:type="auto" w:w="0"/>
        <w:jc w:val="center"/>
        <w:tblLayout w:type="fixed"/>
        <w:tblLook w:firstColumn="1" w:firstRow="1" w:lastColumn="0" w:lastRow="0" w:noHBand="0" w:noVBand="1" w:val="04A0"/>
      </w:tblPr>
      <w:tblGrid>
        <w:gridCol w:w="9936"/>
      </w:tblGrid>
      <w:tr>
        <w:tc>
          <w:tcPr>
            <w:tcW w:type="dxa" w:w="9936"/>
            <w:shd w:fill="F1F5F9"/>
            <w:tcMar>
              <w:top w:w="140" w:type="dxa"/>
              <w:bottom w:w="140" w:type="dxa"/>
              <w:left w:w="180" w:type="dxa"/>
              <w:right w:w="160" w:type="dxa"/>
            </w:tcMar>
            <w:tcBorders>
              <w:left w:val="single" w:sz="24" w:space="0" w:color="0F2240"/>
              <w:top w:val="none"/>
              <w:right w:val="none"/>
              <w:bottom w:val="none"/>
            </w:tcBorders>
          </w:tcPr>
          <w:p>
            <w:pPr>
              <w:spacing w:before="0" w:after="0" w:line="276" w:lineRule="auto"/>
            </w:pPr>
            <w:r>
              <w:rPr>
                <w:rFonts w:ascii="Calibri" w:hAnsi="Calibri"/>
                <w:b/>
                <w:color w:val="0F2240"/>
                <w:sz w:val="19"/>
              </w:rPr>
              <w:t xml:space="preserve">Suggested Viva Answer: </w:t>
            </w:r>
            <w:r>
              <w:rPr>
                <w:rFonts w:ascii="Calibri" w:hAnsi="Calibri"/>
                <w:color w:val="2D3440"/>
                <w:sz w:val="19"/>
              </w:rPr>
              <w:t>“For the reported target-specific experiments, I used Gradient Boosting Regressor for Yamuna BOD, Extra Trees Regressor for Ganga BOD and dissolved oxygen, and HistGradientBoosting Regressor for Ganga pH. These are tree-ensemble methods that can capture nonlinear relationships in tabular environmental data. I evaluated them chronologically and compared them with a persistence baseline, which predicts the last observed value. The results are mixed: Yamuna improves RMSE and R² on test but has slightly worse MAE than persistence; Ganga BOD improves over persistence; Ganga DO does not; and pH has lower absolute errors but negative R². So the project emphasizes honest target-wise evaluation rather than claiming every model works equally well.”</w:t>
            </w:r>
          </w:p>
        </w:tc>
      </w:tr>
    </w:tbl>
    <w:p>
      <w:pPr>
        <w:spacing w:after="80"/>
      </w:pPr>
    </w:p>
    <w:p>
      <w:pPr>
        <w:spacing w:before="0" w:after="80" w:line="276" w:lineRule="auto"/>
      </w:pPr>
      <w:r>
        <w:rPr>
          <w:rFonts w:ascii="Calibri" w:hAnsi="Calibri"/>
          <w:color w:val="2D3440"/>
          <w:sz w:val="20"/>
        </w:rPr>
        <w:t>If asked for exact hyperparameters, answer from the final executed notebook. The supplied result block identifies estimator families and metrics but does not establish all selected hyperparameters.</w:t>
      </w:r>
    </w:p>
    <w:p>
      <w:pPr>
        <w:keepNext/>
        <w:spacing w:before="280" w:after="80"/>
      </w:pPr>
      <w:r>
        <w:rPr>
          <w:rFonts w:ascii="Calibri" w:hAnsi="Calibri"/>
          <w:b/>
          <w:color w:val="0F2240"/>
          <w:sz w:val="26"/>
        </w:rPr>
        <w:t>10. Conclusion</w:t>
      </w:r>
    </w:p>
    <w:p>
      <w:pPr>
        <w:spacing w:before="0" w:after="80" w:line="276" w:lineRule="auto"/>
      </w:pPr>
      <w:r>
        <w:rPr>
          <w:rFonts w:ascii="Calibri" w:hAnsi="Calibri"/>
          <w:color w:val="2D3440"/>
          <w:sz w:val="20"/>
        </w:rPr>
        <w:t>AQUA demonstrates a structured path from heterogeneous water-quality observations to chronological ML evaluation and potential early-warning support. The key technical contribution is not that every target is solved; it is that the pipeline compares target-specific models against a meaningful persistence baseline and exposes where performance is promising, mixed or weak. The next priorities are configuration verification, matched-row baseline evaluation, station-level validation, error analysis for high BOD observations, and careful integration into an application that communicates data freshness and uncertainty.</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left w:val="single" w:sz="24" w:space="0" w:color="697382"/>
              <w:top w:val="none"/>
              <w:right w:val="none"/>
              <w:bottom w:val="none"/>
            </w:tcBorders>
          </w:tcPr>
          <w:p>
            <w:pPr>
              <w:spacing w:before="0" w:after="0" w:line="276" w:lineRule="auto"/>
            </w:pPr>
            <w:r>
              <w:rPr>
                <w:rFonts w:ascii="Calibri" w:hAnsi="Calibri"/>
                <w:b/>
                <w:color w:val="0F2240"/>
                <w:sz w:val="19"/>
              </w:rPr>
              <w:t xml:space="preserve">Version Note: </w:t>
            </w:r>
            <w:r>
              <w:rPr>
                <w:rFonts w:ascii="Calibri" w:hAnsi="Calibri"/>
                <w:color w:val="2D3440"/>
                <w:sz w:val="19"/>
              </w:rPr>
              <w:t>Prepared from project information and reported metrics available in the conversation and prior project documentation. No notebook execution was performed while generating this document.</w:t>
            </w:r>
          </w:p>
        </w:tc>
      </w:tr>
    </w:tbl>
    <w:p>
      <w:pPr>
        <w:spacing w:after="8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796"/>
        <w:sz w:val="17"/>
      </w:rPr>
      <w:t>Minor Project Technical Companion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796"/>
        <w:sz w:val="17"/>
      </w:rPr>
      <w:t>AQUA • Model Selection &amp; Evaluation Technical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