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B7F8C"/>
          <w:spacing w:val="60"/>
          <w:sz w:val="20"/>
          <w:szCs w:val="20"/>
        </w:rPr>
        <w:t xml:space="preserve">AQUA  |  LITERATURE REVIEW</w:t>
      </w:r>
    </w:p>
    <w:p>
      <w:pPr>
        <w:spacing w:after="140" w:before="120"/>
      </w:pPr>
      <w:r>
        <w:rPr>
          <w:rFonts w:ascii="Calibri" w:cs="Calibri" w:eastAsia="Calibri" w:hAnsi="Calibri"/>
          <w:b/>
          <w:bCs/>
          <w:color w:val="0B3C5D"/>
          <w:sz w:val="52"/>
          <w:szCs w:val="52"/>
        </w:rPr>
        <w:t xml:space="preserve">Recurring Research Gaps Identified from the Literature</w:t>
      </w:r>
    </w:p>
    <w:p>
      <w:pPr>
        <w:pBdr>
          <w:bottom w:val="single" w:color="1B7F8C" w:sz="18" w:space="10"/>
        </w:pBdr>
        <w:spacing w:after="240"/>
      </w:pPr>
      <w:r>
        <w:rPr>
          <w:rFonts w:ascii="Calibri" w:cs="Calibri" w:eastAsia="Calibri" w:hAnsi="Calibri"/>
          <w:i/>
          <w:iCs/>
          <w:color w:val="5F6B73"/>
          <w:sz w:val="26"/>
          <w:szCs w:val="26"/>
        </w:rPr>
        <w:t xml:space="preserve">Six recurring themes shaping the research direction of AQUA</w:t>
      </w:r>
    </w:p>
    <w:p>
      <w:pPr>
        <w:spacing w:after="120" w:line="288"/>
      </w:pPr>
      <w:r>
        <w:rPr>
          <w:rFonts w:ascii="Calibri" w:cs="Calibri" w:eastAsia="Calibri" w:hAnsi="Calibri"/>
          <w:color w:val="1F2A33"/>
          <w:sz w:val="22"/>
          <w:szCs w:val="22"/>
        </w:rPr>
        <w:t xml:space="preserve">The review of the selected research papers reveals six recurring themes that are particularly relevant to the research direction of AQUA. Each theme below summarizes the challenges reported in the literature, the key papers behind it, the resulting research gap, and what it means for AQUA.</w:t>
      </w:r>
    </w:p>
    <w:p>
      <w:pPr>
        <w:pStyle w:val="Heading2"/>
        <w:keepNext/>
      </w:pPr>
      <w:r>
        <w:rPr>
          <w:rFonts w:ascii="Calibri" w:cs="Calibri" w:eastAsia="Calibri" w:hAnsi="Calibri"/>
          <w:b/>
          <w:bCs/>
          <w:color w:val="1B7F8C"/>
          <w:spacing w:val="30"/>
          <w:sz w:val="18"/>
          <w:szCs w:val="18"/>
        </w:rPr>
        <w:t xml:space="preserve">THE SIX THEMES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2300"/>
        <w:gridCol w:w="3409"/>
        <w:gridCol w:w="3409"/>
      </w:tblGrid>
      <w:tr>
        <w:trPr>
          <w:cantSplit/>
          <w:tblHeader/>
        </w:trPr>
        <w:tc>
          <w:tcPr>
            <w:tcW w:type="dxa" w:w="520"/>
            <w:tcBorders>
              <w:top w:val="single" w:color="D5DDE2" w:sz="4"/>
              <w:left w:val="single" w:color="D5DDE2" w:sz="4"/>
              <w:bottom w:val="single" w:color="D5DDE2" w:sz="4"/>
              <w:right w:val="single" w:color="D5DDE2" w:sz="4"/>
            </w:tcBorders>
            <w:shd w:fill="0B3C5D" w:color="auto" w:val="clear"/>
            <w:tcMar>
              <w:top w:type="dxa" w:w="90"/>
              <w:left w:type="dxa" w:w="110"/>
              <w:bottom w:type="dxa" w:w="90"/>
              <w:right w:type="dxa" w:w="110"/>
            </w:tcMar>
          </w:tcPr>
          <w:p>
            <w:pPr>
              <w:spacing w:line="259"/>
            </w:pPr>
            <w:r>
              <w:rPr>
                <w:rFonts w:ascii="Calibri" w:cs="Calibri" w:eastAsia="Calibri" w:hAnsi="Calibri"/>
                <w:b/>
                <w:bCs/>
                <w:color w:val="FFFFFF"/>
                <w:sz w:val="19"/>
                <w:szCs w:val="19"/>
              </w:rPr>
              <w:t xml:space="preserve">#</w:t>
            </w:r>
          </w:p>
        </w:tc>
        <w:tc>
          <w:tcPr>
            <w:tcW w:type="dxa" w:w="2300"/>
            <w:tcBorders>
              <w:top w:val="single" w:color="D5DDE2" w:sz="4"/>
              <w:left w:val="single" w:color="D5DDE2" w:sz="4"/>
              <w:bottom w:val="single" w:color="D5DDE2" w:sz="4"/>
              <w:right w:val="single" w:color="D5DDE2" w:sz="4"/>
            </w:tcBorders>
            <w:shd w:fill="0B3C5D" w:color="auto" w:val="clear"/>
            <w:tcMar>
              <w:top w:type="dxa" w:w="90"/>
              <w:left w:type="dxa" w:w="110"/>
              <w:bottom w:type="dxa" w:w="90"/>
              <w:right w:type="dxa" w:w="110"/>
            </w:tcMar>
          </w:tcPr>
          <w:p>
            <w:pPr>
              <w:spacing w:line="259"/>
            </w:pPr>
            <w:r>
              <w:rPr>
                <w:rFonts w:ascii="Calibri" w:cs="Calibri" w:eastAsia="Calibri" w:hAnsi="Calibri"/>
                <w:b/>
                <w:bCs/>
                <w:color w:val="FFFFFF"/>
                <w:sz w:val="19"/>
                <w:szCs w:val="19"/>
              </w:rPr>
              <w:t xml:space="preserve">Theme</w:t>
            </w:r>
          </w:p>
        </w:tc>
        <w:tc>
          <w:tcPr>
            <w:tcW w:type="dxa" w:w="3409"/>
            <w:tcBorders>
              <w:top w:val="single" w:color="D5DDE2" w:sz="4"/>
              <w:left w:val="single" w:color="D5DDE2" w:sz="4"/>
              <w:bottom w:val="single" w:color="D5DDE2" w:sz="4"/>
              <w:right w:val="single" w:color="D5DDE2" w:sz="4"/>
            </w:tcBorders>
            <w:shd w:fill="0B3C5D" w:color="auto" w:val="clear"/>
            <w:tcMar>
              <w:top w:type="dxa" w:w="90"/>
              <w:left w:type="dxa" w:w="110"/>
              <w:bottom w:type="dxa" w:w="90"/>
              <w:right w:type="dxa" w:w="110"/>
            </w:tcMar>
          </w:tcPr>
          <w:p>
            <w:pPr>
              <w:spacing w:line="259"/>
            </w:pPr>
            <w:r>
              <w:rPr>
                <w:rFonts w:ascii="Calibri" w:cs="Calibri" w:eastAsia="Calibri" w:hAnsi="Calibri"/>
                <w:b/>
                <w:bCs/>
                <w:color w:val="FFFFFF"/>
                <w:sz w:val="19"/>
                <w:szCs w:val="19"/>
              </w:rPr>
              <w:t xml:space="preserve">Core gap</w:t>
            </w:r>
          </w:p>
        </w:tc>
        <w:tc>
          <w:tcPr>
            <w:tcW w:type="dxa" w:w="3409"/>
            <w:tcBorders>
              <w:top w:val="single" w:color="D5DDE2" w:sz="4"/>
              <w:left w:val="single" w:color="D5DDE2" w:sz="4"/>
              <w:bottom w:val="single" w:color="D5DDE2" w:sz="4"/>
              <w:right w:val="single" w:color="D5DDE2" w:sz="4"/>
            </w:tcBorders>
            <w:shd w:fill="0B3C5D" w:color="auto" w:val="clear"/>
            <w:tcMar>
              <w:top w:type="dxa" w:w="90"/>
              <w:left w:type="dxa" w:w="110"/>
              <w:bottom w:type="dxa" w:w="90"/>
              <w:right w:type="dxa" w:w="110"/>
            </w:tcMar>
          </w:tcPr>
          <w:p>
            <w:pPr>
              <w:spacing w:line="259"/>
            </w:pPr>
            <w:r>
              <w:rPr>
                <w:rFonts w:ascii="Calibri" w:cs="Calibri" w:eastAsia="Calibri" w:hAnsi="Calibri"/>
                <w:b/>
                <w:bCs/>
                <w:color w:val="FFFFFF"/>
                <w:sz w:val="19"/>
                <w:szCs w:val="19"/>
              </w:rPr>
              <w:t xml:space="preserve">Why it matters for AQUA</w:t>
            </w:r>
          </w:p>
        </w:tc>
      </w:tr>
      <w:tr>
        <w:trPr>
          <w:cantSplit/>
        </w:trPr>
        <w:tc>
          <w:tcPr>
            <w:tcW w:type="dxa" w:w="520"/>
            <w:tcBorders>
              <w:top w:val="single" w:color="D5DDE2" w:sz="4"/>
              <w:left w:val="single" w:color="D5DDE2" w:sz="4"/>
              <w:bottom w:val="single" w:color="D5DDE2" w:sz="4"/>
              <w:right w:val="single" w:color="D5DDE2" w:sz="4"/>
            </w:tcBorders>
            <w:shd w:fill="FFFFFF" w:color="auto" w:val="clear"/>
            <w:tcMar>
              <w:top w:type="dxa" w:w="80"/>
              <w:left w:type="dxa" w:w="110"/>
              <w:bottom w:type="dxa" w:w="80"/>
              <w:right w:type="dxa" w:w="110"/>
            </w:tcMar>
          </w:tcPr>
          <w:p>
            <w:pPr>
              <w:spacing w:line="259"/>
            </w:pPr>
            <w:r>
              <w:rPr>
                <w:rFonts w:ascii="Calibri" w:cs="Calibri" w:eastAsia="Calibri" w:hAnsi="Calibri"/>
                <w:b/>
                <w:bCs/>
                <w:color w:val="1B7F8C"/>
                <w:sz w:val="19"/>
                <w:szCs w:val="19"/>
              </w:rPr>
              <w:t xml:space="preserve">01</w:t>
            </w:r>
          </w:p>
        </w:tc>
        <w:tc>
          <w:tcPr>
            <w:tcW w:type="dxa" w:w="2300"/>
            <w:tcBorders>
              <w:top w:val="single" w:color="D5DDE2" w:sz="4"/>
              <w:left w:val="single" w:color="D5DDE2" w:sz="4"/>
              <w:bottom w:val="single" w:color="D5DDE2" w:sz="4"/>
              <w:right w:val="single" w:color="D5DDE2" w:sz="4"/>
            </w:tcBorders>
            <w:shd w:fill="FFFFFF" w:color="auto" w:val="clear"/>
            <w:tcMar>
              <w:top w:type="dxa" w:w="80"/>
              <w:left w:type="dxa" w:w="110"/>
              <w:bottom w:type="dxa" w:w="80"/>
              <w:right w:type="dxa" w:w="110"/>
            </w:tcMar>
          </w:tcPr>
          <w:p>
            <w:pPr>
              <w:spacing w:line="259"/>
            </w:pPr>
            <w:r>
              <w:rPr>
                <w:rFonts w:ascii="Calibri" w:cs="Calibri" w:eastAsia="Calibri" w:hAnsi="Calibri"/>
                <w:b/>
                <w:bCs/>
                <w:color w:val="0B3C5D"/>
                <w:sz w:val="19"/>
                <w:szCs w:val="19"/>
              </w:rPr>
              <w:t xml:space="preserve">Spatial Generalization</w:t>
            </w:r>
          </w:p>
        </w:tc>
        <w:tc>
          <w:tcPr>
            <w:tcW w:type="dxa" w:w="3409"/>
            <w:tcBorders>
              <w:top w:val="single" w:color="D5DDE2" w:sz="4"/>
              <w:left w:val="single" w:color="D5DDE2" w:sz="4"/>
              <w:bottom w:val="single" w:color="D5DDE2" w:sz="4"/>
              <w:right w:val="single" w:color="D5DDE2" w:sz="4"/>
            </w:tcBorders>
            <w:shd w:fill="FFFFFF" w:color="auto" w:val="clear"/>
            <w:tcMar>
              <w:top w:type="dxa" w:w="80"/>
              <w:left w:type="dxa" w:w="110"/>
              <w:bottom w:type="dxa" w:w="80"/>
              <w:right w:type="dxa" w:w="110"/>
            </w:tcMar>
          </w:tcPr>
          <w:p>
            <w:pPr>
              <w:spacing w:line="259"/>
            </w:pPr>
            <w:r>
              <w:rPr>
                <w:rFonts w:ascii="Calibri" w:cs="Calibri" w:eastAsia="Calibri" w:hAnsi="Calibri"/>
                <w:color w:val="1F2A33"/>
                <w:sz w:val="19"/>
                <w:szCs w:val="19"/>
              </w:rPr>
              <w:t xml:space="preserve">Transfer to unseen or unmonitored stations remains difficult.</w:t>
            </w:r>
          </w:p>
        </w:tc>
        <w:tc>
          <w:tcPr>
            <w:tcW w:type="dxa" w:w="3409"/>
            <w:tcBorders>
              <w:top w:val="single" w:color="D5DDE2" w:sz="4"/>
              <w:left w:val="single" w:color="D5DDE2" w:sz="4"/>
              <w:bottom w:val="single" w:color="D5DDE2" w:sz="4"/>
              <w:right w:val="single" w:color="D5DDE2" w:sz="4"/>
            </w:tcBorders>
            <w:shd w:fill="FFFFFF" w:color="auto" w:val="clear"/>
            <w:tcMar>
              <w:top w:type="dxa" w:w="80"/>
              <w:left w:type="dxa" w:w="110"/>
              <w:bottom w:type="dxa" w:w="80"/>
              <w:right w:type="dxa" w:w="110"/>
            </w:tcMar>
          </w:tcPr>
          <w:p>
            <w:pPr>
              <w:spacing w:line="259"/>
            </w:pPr>
            <w:r>
              <w:rPr>
                <w:rFonts w:ascii="Calibri" w:cs="Calibri" w:eastAsia="Calibri" w:hAnsi="Calibri"/>
                <w:color w:val="1F2A33"/>
                <w:sz w:val="19"/>
                <w:szCs w:val="19"/>
              </w:rPr>
              <w:t xml:space="preserve">Test whether a model trained on selected stations generalizes across the river system.</w:t>
            </w:r>
          </w:p>
        </w:tc>
      </w:tr>
      <w:tr>
        <w:trPr>
          <w:cantSplit/>
        </w:trPr>
        <w:tc>
          <w:tcPr>
            <w:tcW w:type="dxa" w:w="520"/>
            <w:tcBorders>
              <w:top w:val="single" w:color="D5DDE2" w:sz="4"/>
              <w:left w:val="single" w:color="D5DDE2" w:sz="4"/>
              <w:bottom w:val="single" w:color="D5DDE2" w:sz="4"/>
              <w:right w:val="single" w:color="D5DDE2" w:sz="4"/>
            </w:tcBorders>
            <w:shd w:fill="F7FAFB" w:color="auto" w:val="clear"/>
            <w:tcMar>
              <w:top w:type="dxa" w:w="80"/>
              <w:left w:type="dxa" w:w="110"/>
              <w:bottom w:type="dxa" w:w="80"/>
              <w:right w:type="dxa" w:w="110"/>
            </w:tcMar>
          </w:tcPr>
          <w:p>
            <w:pPr>
              <w:spacing w:line="259"/>
            </w:pPr>
            <w:r>
              <w:rPr>
                <w:rFonts w:ascii="Calibri" w:cs="Calibri" w:eastAsia="Calibri" w:hAnsi="Calibri"/>
                <w:b/>
                <w:bCs/>
                <w:color w:val="1B7F8C"/>
                <w:sz w:val="19"/>
                <w:szCs w:val="19"/>
              </w:rPr>
              <w:t xml:space="preserve">02</w:t>
            </w:r>
          </w:p>
        </w:tc>
        <w:tc>
          <w:tcPr>
            <w:tcW w:type="dxa" w:w="2300"/>
            <w:tcBorders>
              <w:top w:val="single" w:color="D5DDE2" w:sz="4"/>
              <w:left w:val="single" w:color="D5DDE2" w:sz="4"/>
              <w:bottom w:val="single" w:color="D5DDE2" w:sz="4"/>
              <w:right w:val="single" w:color="D5DDE2" w:sz="4"/>
            </w:tcBorders>
            <w:shd w:fill="F7FAFB" w:color="auto" w:val="clear"/>
            <w:tcMar>
              <w:top w:type="dxa" w:w="80"/>
              <w:left w:type="dxa" w:w="110"/>
              <w:bottom w:type="dxa" w:w="80"/>
              <w:right w:type="dxa" w:w="110"/>
            </w:tcMar>
          </w:tcPr>
          <w:p>
            <w:pPr>
              <w:spacing w:line="259"/>
            </w:pPr>
            <w:r>
              <w:rPr>
                <w:rFonts w:ascii="Calibri" w:cs="Calibri" w:eastAsia="Calibri" w:hAnsi="Calibri"/>
                <w:b/>
                <w:bCs/>
                <w:color w:val="0B3C5D"/>
                <w:sz w:val="19"/>
                <w:szCs w:val="19"/>
              </w:rPr>
              <w:t xml:space="preserve">Sparse / Limited Data</w:t>
            </w:r>
          </w:p>
        </w:tc>
        <w:tc>
          <w:tcPr>
            <w:tcW w:type="dxa" w:w="3409"/>
            <w:tcBorders>
              <w:top w:val="single" w:color="D5DDE2" w:sz="4"/>
              <w:left w:val="single" w:color="D5DDE2" w:sz="4"/>
              <w:bottom w:val="single" w:color="D5DDE2" w:sz="4"/>
              <w:right w:val="single" w:color="D5DDE2" w:sz="4"/>
            </w:tcBorders>
            <w:shd w:fill="F7FAFB" w:color="auto" w:val="clear"/>
            <w:tcMar>
              <w:top w:type="dxa" w:w="80"/>
              <w:left w:type="dxa" w:w="110"/>
              <w:bottom w:type="dxa" w:w="80"/>
              <w:right w:type="dxa" w:w="110"/>
            </w:tcMar>
          </w:tcPr>
          <w:p>
            <w:pPr>
              <w:spacing w:line="259"/>
            </w:pPr>
            <w:r>
              <w:rPr>
                <w:rFonts w:ascii="Calibri" w:cs="Calibri" w:eastAsia="Calibri" w:hAnsi="Calibri"/>
                <w:color w:val="1F2A33"/>
                <w:sz w:val="19"/>
                <w:szCs w:val="19"/>
              </w:rPr>
              <w:t xml:space="preserve">Monitoring data is often sparse, small or unevenly distributed.</w:t>
            </w:r>
          </w:p>
        </w:tc>
        <w:tc>
          <w:tcPr>
            <w:tcW w:type="dxa" w:w="3409"/>
            <w:tcBorders>
              <w:top w:val="single" w:color="D5DDE2" w:sz="4"/>
              <w:left w:val="single" w:color="D5DDE2" w:sz="4"/>
              <w:bottom w:val="single" w:color="D5DDE2" w:sz="4"/>
              <w:right w:val="single" w:color="D5DDE2" w:sz="4"/>
            </w:tcBorders>
            <w:shd w:fill="F7FAFB" w:color="auto" w:val="clear"/>
            <w:tcMar>
              <w:top w:type="dxa" w:w="80"/>
              <w:left w:type="dxa" w:w="110"/>
              <w:bottom w:type="dxa" w:w="80"/>
              <w:right w:type="dxa" w:w="110"/>
            </w:tcMar>
          </w:tcPr>
          <w:p>
            <w:pPr>
              <w:spacing w:line="259"/>
            </w:pPr>
            <w:r>
              <w:rPr>
                <w:rFonts w:ascii="Calibri" w:cs="Calibri" w:eastAsia="Calibri" w:hAnsi="Calibri"/>
                <w:color w:val="1F2A33"/>
                <w:sz w:val="19"/>
                <w:szCs w:val="19"/>
              </w:rPr>
              <w:t xml:space="preserve">AQUA's observations may have uneven spatial and temporal coverage.</w:t>
            </w:r>
          </w:p>
        </w:tc>
      </w:tr>
      <w:tr>
        <w:trPr>
          <w:cantSplit/>
        </w:trPr>
        <w:tc>
          <w:tcPr>
            <w:tcW w:type="dxa" w:w="520"/>
            <w:tcBorders>
              <w:top w:val="single" w:color="D5DDE2" w:sz="4"/>
              <w:left w:val="single" w:color="D5DDE2" w:sz="4"/>
              <w:bottom w:val="single" w:color="D5DDE2" w:sz="4"/>
              <w:right w:val="single" w:color="D5DDE2" w:sz="4"/>
            </w:tcBorders>
            <w:shd w:fill="FFFFFF" w:color="auto" w:val="clear"/>
            <w:tcMar>
              <w:top w:type="dxa" w:w="80"/>
              <w:left w:type="dxa" w:w="110"/>
              <w:bottom w:type="dxa" w:w="80"/>
              <w:right w:type="dxa" w:w="110"/>
            </w:tcMar>
          </w:tcPr>
          <w:p>
            <w:pPr>
              <w:spacing w:line="259"/>
            </w:pPr>
            <w:r>
              <w:rPr>
                <w:rFonts w:ascii="Calibri" w:cs="Calibri" w:eastAsia="Calibri" w:hAnsi="Calibri"/>
                <w:b/>
                <w:bCs/>
                <w:color w:val="1B7F8C"/>
                <w:sz w:val="19"/>
                <w:szCs w:val="19"/>
              </w:rPr>
              <w:t xml:space="preserve">03</w:t>
            </w:r>
          </w:p>
        </w:tc>
        <w:tc>
          <w:tcPr>
            <w:tcW w:type="dxa" w:w="2300"/>
            <w:tcBorders>
              <w:top w:val="single" w:color="D5DDE2" w:sz="4"/>
              <w:left w:val="single" w:color="D5DDE2" w:sz="4"/>
              <w:bottom w:val="single" w:color="D5DDE2" w:sz="4"/>
              <w:right w:val="single" w:color="D5DDE2" w:sz="4"/>
            </w:tcBorders>
            <w:shd w:fill="FFFFFF" w:color="auto" w:val="clear"/>
            <w:tcMar>
              <w:top w:type="dxa" w:w="80"/>
              <w:left w:type="dxa" w:w="110"/>
              <w:bottom w:type="dxa" w:w="80"/>
              <w:right w:type="dxa" w:w="110"/>
            </w:tcMar>
          </w:tcPr>
          <w:p>
            <w:pPr>
              <w:spacing w:line="259"/>
            </w:pPr>
            <w:r>
              <w:rPr>
                <w:rFonts w:ascii="Calibri" w:cs="Calibri" w:eastAsia="Calibri" w:hAnsi="Calibri"/>
                <w:b/>
                <w:bCs/>
                <w:color w:val="0B3C5D"/>
                <w:sz w:val="19"/>
                <w:szCs w:val="19"/>
              </w:rPr>
              <w:t xml:space="preserve">Spatial + Temporal Dependencies</w:t>
            </w:r>
          </w:p>
        </w:tc>
        <w:tc>
          <w:tcPr>
            <w:tcW w:type="dxa" w:w="3409"/>
            <w:tcBorders>
              <w:top w:val="single" w:color="D5DDE2" w:sz="4"/>
              <w:left w:val="single" w:color="D5DDE2" w:sz="4"/>
              <w:bottom w:val="single" w:color="D5DDE2" w:sz="4"/>
              <w:right w:val="single" w:color="D5DDE2" w:sz="4"/>
            </w:tcBorders>
            <w:shd w:fill="FFFFFF" w:color="auto" w:val="clear"/>
            <w:tcMar>
              <w:top w:type="dxa" w:w="80"/>
              <w:left w:type="dxa" w:w="110"/>
              <w:bottom w:type="dxa" w:w="80"/>
              <w:right w:type="dxa" w:w="110"/>
            </w:tcMar>
          </w:tcPr>
          <w:p>
            <w:pPr>
              <w:spacing w:line="259"/>
            </w:pPr>
            <w:r>
              <w:rPr>
                <w:rFonts w:ascii="Calibri" w:cs="Calibri" w:eastAsia="Calibri" w:hAnsi="Calibri"/>
                <w:color w:val="1F2A33"/>
                <w:sz w:val="19"/>
                <w:szCs w:val="19"/>
              </w:rPr>
              <w:t xml:space="preserve">Studies tend to model either space or time, rarely both together.</w:t>
            </w:r>
          </w:p>
        </w:tc>
        <w:tc>
          <w:tcPr>
            <w:tcW w:type="dxa" w:w="3409"/>
            <w:tcBorders>
              <w:top w:val="single" w:color="D5DDE2" w:sz="4"/>
              <w:left w:val="single" w:color="D5DDE2" w:sz="4"/>
              <w:bottom w:val="single" w:color="D5DDE2" w:sz="4"/>
              <w:right w:val="single" w:color="D5DDE2" w:sz="4"/>
            </w:tcBorders>
            <w:shd w:fill="FFFFFF" w:color="auto" w:val="clear"/>
            <w:tcMar>
              <w:top w:type="dxa" w:w="80"/>
              <w:left w:type="dxa" w:w="110"/>
              <w:bottom w:type="dxa" w:w="80"/>
              <w:right w:type="dxa" w:w="110"/>
            </w:tcMar>
          </w:tcPr>
          <w:p>
            <w:pPr>
              <w:spacing w:line="259"/>
            </w:pPr>
            <w:r>
              <w:rPr>
                <w:rFonts w:ascii="Calibri" w:cs="Calibri" w:eastAsia="Calibri" w:hAnsi="Calibri"/>
                <w:color w:val="1F2A33"/>
                <w:sz w:val="19"/>
                <w:szCs w:val="19"/>
              </w:rPr>
              <w:t xml:space="preserve">Combine temporal forecasting with spatial relationships between stations.</w:t>
            </w:r>
          </w:p>
        </w:tc>
      </w:tr>
      <w:tr>
        <w:trPr>
          <w:cantSplit/>
        </w:trPr>
        <w:tc>
          <w:tcPr>
            <w:tcW w:type="dxa" w:w="520"/>
            <w:tcBorders>
              <w:top w:val="single" w:color="D5DDE2" w:sz="4"/>
              <w:left w:val="single" w:color="D5DDE2" w:sz="4"/>
              <w:bottom w:val="single" w:color="D5DDE2" w:sz="4"/>
              <w:right w:val="single" w:color="D5DDE2" w:sz="4"/>
            </w:tcBorders>
            <w:shd w:fill="F7FAFB" w:color="auto" w:val="clear"/>
            <w:tcMar>
              <w:top w:type="dxa" w:w="80"/>
              <w:left w:type="dxa" w:w="110"/>
              <w:bottom w:type="dxa" w:w="80"/>
              <w:right w:type="dxa" w:w="110"/>
            </w:tcMar>
          </w:tcPr>
          <w:p>
            <w:pPr>
              <w:spacing w:line="259"/>
            </w:pPr>
            <w:r>
              <w:rPr>
                <w:rFonts w:ascii="Calibri" w:cs="Calibri" w:eastAsia="Calibri" w:hAnsi="Calibri"/>
                <w:b/>
                <w:bCs/>
                <w:color w:val="1B7F8C"/>
                <w:sz w:val="19"/>
                <w:szCs w:val="19"/>
              </w:rPr>
              <w:t xml:space="preserve">04</w:t>
            </w:r>
          </w:p>
        </w:tc>
        <w:tc>
          <w:tcPr>
            <w:tcW w:type="dxa" w:w="2300"/>
            <w:tcBorders>
              <w:top w:val="single" w:color="D5DDE2" w:sz="4"/>
              <w:left w:val="single" w:color="D5DDE2" w:sz="4"/>
              <w:bottom w:val="single" w:color="D5DDE2" w:sz="4"/>
              <w:right w:val="single" w:color="D5DDE2" w:sz="4"/>
            </w:tcBorders>
            <w:shd w:fill="F7FAFB" w:color="auto" w:val="clear"/>
            <w:tcMar>
              <w:top w:type="dxa" w:w="80"/>
              <w:left w:type="dxa" w:w="110"/>
              <w:bottom w:type="dxa" w:w="80"/>
              <w:right w:type="dxa" w:w="110"/>
            </w:tcMar>
          </w:tcPr>
          <w:p>
            <w:pPr>
              <w:spacing w:line="259"/>
            </w:pPr>
            <w:r>
              <w:rPr>
                <w:rFonts w:ascii="Calibri" w:cs="Calibri" w:eastAsia="Calibri" w:hAnsi="Calibri"/>
                <w:b/>
                <w:bCs/>
                <w:color w:val="0B3C5D"/>
                <w:sz w:val="19"/>
                <w:szCs w:val="19"/>
              </w:rPr>
              <w:t xml:space="preserve">Environmental + Hydrological Variables</w:t>
            </w:r>
          </w:p>
        </w:tc>
        <w:tc>
          <w:tcPr>
            <w:tcW w:type="dxa" w:w="3409"/>
            <w:tcBorders>
              <w:top w:val="single" w:color="D5DDE2" w:sz="4"/>
              <w:left w:val="single" w:color="D5DDE2" w:sz="4"/>
              <w:bottom w:val="single" w:color="D5DDE2" w:sz="4"/>
              <w:right w:val="single" w:color="D5DDE2" w:sz="4"/>
            </w:tcBorders>
            <w:shd w:fill="F7FAFB" w:color="auto" w:val="clear"/>
            <w:tcMar>
              <w:top w:type="dxa" w:w="80"/>
              <w:left w:type="dxa" w:w="110"/>
              <w:bottom w:type="dxa" w:w="80"/>
              <w:right w:type="dxa" w:w="110"/>
            </w:tcMar>
          </w:tcPr>
          <w:p>
            <w:pPr>
              <w:spacing w:line="259"/>
            </w:pPr>
            <w:r>
              <w:rPr>
                <w:rFonts w:ascii="Calibri" w:cs="Calibri" w:eastAsia="Calibri" w:hAnsi="Calibri"/>
                <w:color w:val="1F2A33"/>
                <w:sz w:val="19"/>
                <w:szCs w:val="19"/>
              </w:rPr>
              <w:t xml:space="preserve">Studies differ widely in which external variables they include.</w:t>
            </w:r>
          </w:p>
        </w:tc>
        <w:tc>
          <w:tcPr>
            <w:tcW w:type="dxa" w:w="3409"/>
            <w:tcBorders>
              <w:top w:val="single" w:color="D5DDE2" w:sz="4"/>
              <w:left w:val="single" w:color="D5DDE2" w:sz="4"/>
              <w:bottom w:val="single" w:color="D5DDE2" w:sz="4"/>
              <w:right w:val="single" w:color="D5DDE2" w:sz="4"/>
            </w:tcBorders>
            <w:shd w:fill="F7FAFB" w:color="auto" w:val="clear"/>
            <w:tcMar>
              <w:top w:type="dxa" w:w="80"/>
              <w:left w:type="dxa" w:w="110"/>
              <w:bottom w:type="dxa" w:w="80"/>
              <w:right w:type="dxa" w:w="110"/>
            </w:tcMar>
          </w:tcPr>
          <w:p>
            <w:pPr>
              <w:spacing w:line="259"/>
            </w:pPr>
            <w:r>
              <w:rPr>
                <w:rFonts w:ascii="Calibri" w:cs="Calibri" w:eastAsia="Calibri" w:hAnsi="Calibri"/>
                <w:color w:val="1F2A33"/>
                <w:sz w:val="19"/>
                <w:szCs w:val="19"/>
              </w:rPr>
              <w:t xml:space="preserve">Assess whether weather and river discharge improve forecasting.</w:t>
            </w:r>
          </w:p>
        </w:tc>
      </w:tr>
      <w:tr>
        <w:trPr>
          <w:cantSplit/>
        </w:trPr>
        <w:tc>
          <w:tcPr>
            <w:tcW w:type="dxa" w:w="520"/>
            <w:tcBorders>
              <w:top w:val="single" w:color="D5DDE2" w:sz="4"/>
              <w:left w:val="single" w:color="D5DDE2" w:sz="4"/>
              <w:bottom w:val="single" w:color="D5DDE2" w:sz="4"/>
              <w:right w:val="single" w:color="D5DDE2" w:sz="4"/>
            </w:tcBorders>
            <w:shd w:fill="FFFFFF" w:color="auto" w:val="clear"/>
            <w:tcMar>
              <w:top w:type="dxa" w:w="80"/>
              <w:left w:type="dxa" w:w="110"/>
              <w:bottom w:type="dxa" w:w="80"/>
              <w:right w:type="dxa" w:w="110"/>
            </w:tcMar>
          </w:tcPr>
          <w:p>
            <w:pPr>
              <w:spacing w:line="259"/>
            </w:pPr>
            <w:r>
              <w:rPr>
                <w:rFonts w:ascii="Calibri" w:cs="Calibri" w:eastAsia="Calibri" w:hAnsi="Calibri"/>
                <w:b/>
                <w:bCs/>
                <w:color w:val="1B7F8C"/>
                <w:sz w:val="19"/>
                <w:szCs w:val="19"/>
              </w:rPr>
              <w:t xml:space="preserve">05</w:t>
            </w:r>
          </w:p>
        </w:tc>
        <w:tc>
          <w:tcPr>
            <w:tcW w:type="dxa" w:w="2300"/>
            <w:tcBorders>
              <w:top w:val="single" w:color="D5DDE2" w:sz="4"/>
              <w:left w:val="single" w:color="D5DDE2" w:sz="4"/>
              <w:bottom w:val="single" w:color="D5DDE2" w:sz="4"/>
              <w:right w:val="single" w:color="D5DDE2" w:sz="4"/>
            </w:tcBorders>
            <w:shd w:fill="FFFFFF" w:color="auto" w:val="clear"/>
            <w:tcMar>
              <w:top w:type="dxa" w:w="80"/>
              <w:left w:type="dxa" w:w="110"/>
              <w:bottom w:type="dxa" w:w="80"/>
              <w:right w:type="dxa" w:w="110"/>
            </w:tcMar>
          </w:tcPr>
          <w:p>
            <w:pPr>
              <w:spacing w:line="259"/>
            </w:pPr>
            <w:r>
              <w:rPr>
                <w:rFonts w:ascii="Calibri" w:cs="Calibri" w:eastAsia="Calibri" w:hAnsi="Calibri"/>
                <w:b/>
                <w:bCs/>
                <w:color w:val="0B3C5D"/>
                <w:sz w:val="19"/>
                <w:szCs w:val="19"/>
              </w:rPr>
              <w:t xml:space="preserve">Explainability</w:t>
            </w:r>
          </w:p>
        </w:tc>
        <w:tc>
          <w:tcPr>
            <w:tcW w:type="dxa" w:w="3409"/>
            <w:tcBorders>
              <w:top w:val="single" w:color="D5DDE2" w:sz="4"/>
              <w:left w:val="single" w:color="D5DDE2" w:sz="4"/>
              <w:bottom w:val="single" w:color="D5DDE2" w:sz="4"/>
              <w:right w:val="single" w:color="D5DDE2" w:sz="4"/>
            </w:tcBorders>
            <w:shd w:fill="FFFFFF" w:color="auto" w:val="clear"/>
            <w:tcMar>
              <w:top w:type="dxa" w:w="80"/>
              <w:left w:type="dxa" w:w="110"/>
              <w:bottom w:type="dxa" w:w="80"/>
              <w:right w:type="dxa" w:w="110"/>
            </w:tcMar>
          </w:tcPr>
          <w:p>
            <w:pPr>
              <w:spacing w:line="259"/>
            </w:pPr>
            <w:r>
              <w:rPr>
                <w:rFonts w:ascii="Calibri" w:cs="Calibri" w:eastAsia="Calibri" w:hAnsi="Calibri"/>
                <w:color w:val="1F2A33"/>
                <w:sz w:val="19"/>
                <w:szCs w:val="19"/>
              </w:rPr>
              <w:t xml:space="preserve">Explainability is treated as separate from forecasting and early warning.</w:t>
            </w:r>
          </w:p>
        </w:tc>
        <w:tc>
          <w:tcPr>
            <w:tcW w:type="dxa" w:w="3409"/>
            <w:tcBorders>
              <w:top w:val="single" w:color="D5DDE2" w:sz="4"/>
              <w:left w:val="single" w:color="D5DDE2" w:sz="4"/>
              <w:bottom w:val="single" w:color="D5DDE2" w:sz="4"/>
              <w:right w:val="single" w:color="D5DDE2" w:sz="4"/>
            </w:tcBorders>
            <w:shd w:fill="FFFFFF" w:color="auto" w:val="clear"/>
            <w:tcMar>
              <w:top w:type="dxa" w:w="80"/>
              <w:left w:type="dxa" w:w="110"/>
              <w:bottom w:type="dxa" w:w="80"/>
              <w:right w:type="dxa" w:w="110"/>
            </w:tcMar>
          </w:tcPr>
          <w:p>
            <w:pPr>
              <w:spacing w:line="259"/>
            </w:pPr>
            <w:r>
              <w:rPr>
                <w:rFonts w:ascii="Calibri" w:cs="Calibri" w:eastAsia="Calibri" w:hAnsi="Calibri"/>
                <w:color w:val="1F2A33"/>
                <w:sz w:val="19"/>
                <w:szCs w:val="19"/>
              </w:rPr>
              <w:t xml:space="preserve">Identify the factors driving predictions and pollution warnings.</w:t>
            </w:r>
          </w:p>
        </w:tc>
      </w:tr>
      <w:tr>
        <w:trPr>
          <w:cantSplit/>
        </w:trPr>
        <w:tc>
          <w:tcPr>
            <w:tcW w:type="dxa" w:w="520"/>
            <w:tcBorders>
              <w:top w:val="single" w:color="D5DDE2" w:sz="4"/>
              <w:left w:val="single" w:color="D5DDE2" w:sz="4"/>
              <w:bottom w:val="single" w:color="D5DDE2" w:sz="4"/>
              <w:right w:val="single" w:color="D5DDE2" w:sz="4"/>
            </w:tcBorders>
            <w:shd w:fill="F7FAFB" w:color="auto" w:val="clear"/>
            <w:tcMar>
              <w:top w:type="dxa" w:w="80"/>
              <w:left w:type="dxa" w:w="110"/>
              <w:bottom w:type="dxa" w:w="80"/>
              <w:right w:type="dxa" w:w="110"/>
            </w:tcMar>
          </w:tcPr>
          <w:p>
            <w:pPr>
              <w:spacing w:line="259"/>
            </w:pPr>
            <w:r>
              <w:rPr>
                <w:rFonts w:ascii="Calibri" w:cs="Calibri" w:eastAsia="Calibri" w:hAnsi="Calibri"/>
                <w:b/>
                <w:bCs/>
                <w:color w:val="1B7F8C"/>
                <w:sz w:val="19"/>
                <w:szCs w:val="19"/>
              </w:rPr>
              <w:t xml:space="preserve">06</w:t>
            </w:r>
          </w:p>
        </w:tc>
        <w:tc>
          <w:tcPr>
            <w:tcW w:type="dxa" w:w="2300"/>
            <w:tcBorders>
              <w:top w:val="single" w:color="D5DDE2" w:sz="4"/>
              <w:left w:val="single" w:color="D5DDE2" w:sz="4"/>
              <w:bottom w:val="single" w:color="D5DDE2" w:sz="4"/>
              <w:right w:val="single" w:color="D5DDE2" w:sz="4"/>
            </w:tcBorders>
            <w:shd w:fill="F7FAFB" w:color="auto" w:val="clear"/>
            <w:tcMar>
              <w:top w:type="dxa" w:w="80"/>
              <w:left w:type="dxa" w:w="110"/>
              <w:bottom w:type="dxa" w:w="80"/>
              <w:right w:type="dxa" w:w="110"/>
            </w:tcMar>
          </w:tcPr>
          <w:p>
            <w:pPr>
              <w:spacing w:line="259"/>
            </w:pPr>
            <w:r>
              <w:rPr>
                <w:rFonts w:ascii="Calibri" w:cs="Calibri" w:eastAsia="Calibri" w:hAnsi="Calibri"/>
                <w:b/>
                <w:bCs/>
                <w:color w:val="0B3C5D"/>
                <w:sz w:val="19"/>
                <w:szCs w:val="19"/>
              </w:rPr>
              <w:t xml:space="preserve">Early Warning / Anomaly Detection</w:t>
            </w:r>
          </w:p>
        </w:tc>
        <w:tc>
          <w:tcPr>
            <w:tcW w:type="dxa" w:w="3409"/>
            <w:tcBorders>
              <w:top w:val="single" w:color="D5DDE2" w:sz="4"/>
              <w:left w:val="single" w:color="D5DDE2" w:sz="4"/>
              <w:bottom w:val="single" w:color="D5DDE2" w:sz="4"/>
              <w:right w:val="single" w:color="D5DDE2" w:sz="4"/>
            </w:tcBorders>
            <w:shd w:fill="F7FAFB" w:color="auto" w:val="clear"/>
            <w:tcMar>
              <w:top w:type="dxa" w:w="80"/>
              <w:left w:type="dxa" w:w="110"/>
              <w:bottom w:type="dxa" w:w="80"/>
              <w:right w:type="dxa" w:w="110"/>
            </w:tcMar>
          </w:tcPr>
          <w:p>
            <w:pPr>
              <w:spacing w:line="259"/>
            </w:pPr>
            <w:r>
              <w:rPr>
                <w:rFonts w:ascii="Calibri" w:cs="Calibri" w:eastAsia="Calibri" w:hAnsi="Calibri"/>
                <w:color w:val="1F2A33"/>
                <w:sz w:val="19"/>
                <w:szCs w:val="19"/>
              </w:rPr>
              <w:t xml:space="preserve">Anomaly detection is addressed apart from spatial-temporal forecasting.</w:t>
            </w:r>
          </w:p>
        </w:tc>
        <w:tc>
          <w:tcPr>
            <w:tcW w:type="dxa" w:w="3409"/>
            <w:tcBorders>
              <w:top w:val="single" w:color="D5DDE2" w:sz="4"/>
              <w:left w:val="single" w:color="D5DDE2" w:sz="4"/>
              <w:bottom w:val="single" w:color="D5DDE2" w:sz="4"/>
              <w:right w:val="single" w:color="D5DDE2" w:sz="4"/>
            </w:tcBorders>
            <w:shd w:fill="F7FAFB" w:color="auto" w:val="clear"/>
            <w:tcMar>
              <w:top w:type="dxa" w:w="80"/>
              <w:left w:type="dxa" w:w="110"/>
              <w:bottom w:type="dxa" w:w="80"/>
              <w:right w:type="dxa" w:w="110"/>
            </w:tcMar>
          </w:tcPr>
          <w:p>
            <w:pPr>
              <w:spacing w:line="259"/>
            </w:pPr>
            <w:r>
              <w:rPr>
                <w:rFonts w:ascii="Calibri" w:cs="Calibri" w:eastAsia="Calibri" w:hAnsi="Calibri"/>
                <w:color w:val="1F2A33"/>
                <w:sz w:val="19"/>
                <w:szCs w:val="19"/>
              </w:rPr>
              <w:t xml:space="preserve">Extend forecasting into early warning for unusual pollution or threshold breaches.</w:t>
            </w:r>
          </w:p>
        </w:tc>
      </w:tr>
    </w:tbl>
    <w:p>
      <w:pPr>
        <w:pStyle w:val="Heading1"/>
        <w:keepNext/>
        <w:pageBreakBefore/>
        <w:pBdr>
          <w:bottom w:val="single" w:color="1B7F8C" w:sz="8" w:space="4"/>
        </w:pBdr>
        <w:spacing w:after="160" w:before="420"/>
      </w:pPr>
      <w:r>
        <w:rPr>
          <w:rFonts w:ascii="Calibri" w:cs="Calibri" w:eastAsia="Calibri" w:hAnsi="Calibri"/>
          <w:b/>
          <w:bCs/>
          <w:color w:val="1B7F8C"/>
          <w:sz w:val="32"/>
          <w:szCs w:val="32"/>
        </w:rPr>
        <w:t xml:space="preserve">01  </w:t>
      </w:r>
      <w:r>
        <w:rPr>
          <w:rFonts w:ascii="Calibri" w:cs="Calibri" w:eastAsia="Calibri" w:hAnsi="Calibri"/>
          <w:b/>
          <w:bCs/>
          <w:color w:val="0B3C5D"/>
          <w:sz w:val="32"/>
          <w:szCs w:val="32"/>
        </w:rPr>
        <w:t xml:space="preserve">Spatial Generalization</w:t>
      </w:r>
    </w:p>
    <w:p>
      <w:pPr>
        <w:spacing w:after="120" w:line="288"/>
      </w:pPr>
      <w:r>
        <w:rPr>
          <w:rFonts w:ascii="Calibri" w:cs="Calibri" w:eastAsia="Calibri" w:hAnsi="Calibri"/>
          <w:color w:val="5F6B73"/>
          <w:sz w:val="22"/>
          <w:szCs w:val="22"/>
        </w:rPr>
        <w:t xml:space="preserve">The literature repeatedly highlights challenges related to:</w:t>
      </w:r>
    </w:p>
    <w:p>
      <w:pPr>
        <w:pStyle w:val="ListParagraph"/>
        <w:numPr>
          <w:ilvl w:val="0"/>
          <w:numId w:val="2"/>
        </w:numPr>
        <w:spacing w:after="50" w:line="276"/>
      </w:pPr>
      <w:r>
        <w:rPr>
          <w:rFonts w:ascii="Calibri" w:cs="Calibri" w:eastAsia="Calibri" w:hAnsi="Calibri"/>
          <w:color w:val="1F2A33"/>
          <w:sz w:val="22"/>
          <w:szCs w:val="22"/>
        </w:rPr>
        <w:t xml:space="preserve">Prediction at unmonitored or unseen locations</w:t>
      </w:r>
    </w:p>
    <w:p>
      <w:pPr>
        <w:pStyle w:val="ListParagraph"/>
        <w:numPr>
          <w:ilvl w:val="0"/>
          <w:numId w:val="2"/>
        </w:numPr>
        <w:spacing w:after="50" w:line="276"/>
      </w:pPr>
      <w:r>
        <w:rPr>
          <w:rFonts w:ascii="Calibri" w:cs="Calibri" w:eastAsia="Calibri" w:hAnsi="Calibri"/>
          <w:color w:val="1F2A33"/>
          <w:sz w:val="22"/>
          <w:szCs w:val="22"/>
        </w:rPr>
        <w:t xml:space="preserve">Transfer of models between monitoring stations</w:t>
      </w:r>
    </w:p>
    <w:p>
      <w:pPr>
        <w:pStyle w:val="ListParagraph"/>
        <w:numPr>
          <w:ilvl w:val="0"/>
          <w:numId w:val="2"/>
        </w:numPr>
        <w:spacing w:after="50" w:line="276"/>
      </w:pPr>
      <w:r>
        <w:rPr>
          <w:rFonts w:ascii="Calibri" w:cs="Calibri" w:eastAsia="Calibri" w:hAnsi="Calibri"/>
          <w:color w:val="1F2A33"/>
          <w:sz w:val="22"/>
          <w:szCs w:val="22"/>
        </w:rPr>
        <w:t xml:space="preserve">Site-specific characteristics that are not fully captured by regional variables</w:t>
      </w:r>
    </w:p>
    <w:p>
      <w:pPr>
        <w:pStyle w:val="ListParagraph"/>
        <w:numPr>
          <w:ilvl w:val="0"/>
          <w:numId w:val="2"/>
        </w:numPr>
        <w:spacing w:after="50" w:line="276"/>
      </w:pPr>
      <w:r>
        <w:rPr>
          <w:rFonts w:ascii="Calibri" w:cs="Calibri" w:eastAsia="Calibri" w:hAnsi="Calibri"/>
          <w:color w:val="1F2A33"/>
          <w:sz w:val="22"/>
          <w:szCs w:val="22"/>
        </w:rPr>
        <w:t xml:space="preserve">Representation of spatial relationships between monitoring stations</w:t>
      </w:r>
    </w:p>
    <w:p>
      <w:pPr>
        <w:pStyle w:val="ListParagraph"/>
        <w:numPr>
          <w:ilvl w:val="0"/>
          <w:numId w:val="2"/>
        </w:numPr>
        <w:spacing w:after="50" w:line="276"/>
      </w:pPr>
      <w:r>
        <w:rPr>
          <w:rFonts w:ascii="Calibri" w:cs="Calibri" w:eastAsia="Calibri" w:hAnsi="Calibri"/>
          <w:color w:val="1F2A33"/>
          <w:sz w:val="22"/>
          <w:szCs w:val="22"/>
        </w:rPr>
        <w:t xml:space="preserve">Generalization across different river systems and monitoring locations</w:t>
      </w:r>
    </w:p>
    <w:p>
      <w:pPr>
        <w:spacing w:after="0" w:before="160"/>
      </w:pPr>
    </w:p>
    <w:p>
      <w:pPr>
        <w:pStyle w:val="Heading2"/>
        <w:keepNext/>
      </w:pPr>
      <w:r>
        <w:rPr>
          <w:rFonts w:ascii="Calibri" w:cs="Calibri" w:eastAsia="Calibri" w:hAnsi="Calibri"/>
          <w:b/>
          <w:bCs/>
          <w:color w:val="1B7F8C"/>
          <w:spacing w:val="30"/>
          <w:sz w:val="18"/>
          <w:szCs w:val="18"/>
        </w:rPr>
        <w:t xml:space="preserve">KEY PAPERS</w:t>
      </w:r>
    </w:p>
    <w:p>
      <w:pPr>
        <w:pStyle w:val="ListParagraph"/>
        <w:numPr>
          <w:ilvl w:val="0"/>
          <w:numId w:val="3"/>
        </w:numPr>
        <w:spacing w:after="50" w:line="276"/>
      </w:pPr>
      <w:r>
        <w:rPr>
          <w:rFonts w:ascii="Calibri" w:cs="Calibri" w:eastAsia="Calibri" w:hAnsi="Calibri"/>
          <w:i/>
          <w:iCs/>
          <w:color w:val="5F6B73"/>
          <w:sz w:val="19"/>
          <w:szCs w:val="19"/>
        </w:rPr>
        <w:t xml:space="preserve">Spatial Transferability of Machine Learning Models for Water Quality Prediction: A Progressive Data Integration Approach</w:t>
      </w:r>
    </w:p>
    <w:p>
      <w:pPr>
        <w:pStyle w:val="ListParagraph"/>
        <w:numPr>
          <w:ilvl w:val="0"/>
          <w:numId w:val="3"/>
        </w:numPr>
        <w:spacing w:after="50" w:line="276"/>
      </w:pPr>
      <w:r>
        <w:rPr>
          <w:rFonts w:ascii="Calibri" w:cs="Calibri" w:eastAsia="Calibri" w:hAnsi="Calibri"/>
          <w:i/>
          <w:iCs/>
          <w:color w:val="5F6B73"/>
          <w:sz w:val="19"/>
          <w:szCs w:val="19"/>
        </w:rPr>
        <w:t xml:space="preserve">Temporal and Spatial Feature Extraction Using Graph Neural Networks for Multi-Point Water Quality Prediction in River Network Areas</w:t>
      </w:r>
    </w:p>
    <w:p>
      <w:pPr>
        <w:pStyle w:val="ListParagraph"/>
        <w:numPr>
          <w:ilvl w:val="0"/>
          <w:numId w:val="3"/>
        </w:numPr>
        <w:spacing w:after="50" w:line="276"/>
      </w:pPr>
      <w:r>
        <w:rPr>
          <w:rFonts w:ascii="Calibri" w:cs="Calibri" w:eastAsia="Calibri" w:hAnsi="Calibri"/>
          <w:i/>
          <w:iCs/>
          <w:color w:val="5F6B73"/>
          <w:sz w:val="19"/>
          <w:szCs w:val="19"/>
        </w:rPr>
        <w:t xml:space="preserve">A Novel Operational Water Quality Mobile Prediction System with LSTM-Seq2Seq Model</w:t>
      </w:r>
    </w:p>
    <w:p>
      <w:pPr>
        <w:pStyle w:val="ListParagraph"/>
        <w:numPr>
          <w:ilvl w:val="0"/>
          <w:numId w:val="3"/>
        </w:numPr>
        <w:spacing w:after="50" w:line="276"/>
      </w:pPr>
      <w:r>
        <w:rPr>
          <w:rFonts w:ascii="Calibri" w:cs="Calibri" w:eastAsia="Calibri" w:hAnsi="Calibri"/>
          <w:i/>
          <w:iCs/>
          <w:color w:val="5F6B73"/>
          <w:sz w:val="19"/>
          <w:szCs w:val="19"/>
        </w:rPr>
        <w:t xml:space="preserve">An Efficient ML-Based Prediction Model for Analysis of Water Quality and Pollution in Yamuna River, India</w:t>
      </w:r>
    </w:p>
    <w:p>
      <w:pPr>
        <w:pStyle w:val="ListParagraph"/>
        <w:numPr>
          <w:ilvl w:val="0"/>
          <w:numId w:val="3"/>
        </w:numPr>
        <w:spacing w:after="50" w:line="276"/>
      </w:pPr>
      <w:r>
        <w:rPr>
          <w:rFonts w:ascii="Calibri" w:cs="Calibri" w:eastAsia="Calibri" w:hAnsi="Calibri"/>
          <w:i/>
          <w:iCs/>
          <w:color w:val="5F6B73"/>
          <w:sz w:val="19"/>
          <w:szCs w:val="19"/>
        </w:rPr>
        <w:t xml:space="preserve">Explainable Transfer Learning Framework for Water Quality Prediction in Data-Scarce Developing Regions</w:t>
      </w:r>
    </w:p>
    <w:p>
      <w:pPr>
        <w:pStyle w:val="ListParagraph"/>
        <w:numPr>
          <w:ilvl w:val="0"/>
          <w:numId w:val="3"/>
        </w:numPr>
        <w:spacing w:after="50" w:line="276"/>
      </w:pPr>
      <w:r>
        <w:rPr>
          <w:rFonts w:ascii="Calibri" w:cs="Calibri" w:eastAsia="Calibri" w:hAnsi="Calibri"/>
          <w:i/>
          <w:iCs/>
          <w:color w:val="5F6B73"/>
          <w:sz w:val="19"/>
          <w:szCs w:val="19"/>
        </w:rPr>
        <w:t xml:space="preserve">HydroFedNet: An Intent-Based Unified Federated Framework for Multisource Water Quality Monitoring</w:t>
      </w:r>
    </w:p>
    <w:p>
      <w:pPr>
        <w:pStyle w:val="ListParagraph"/>
        <w:numPr>
          <w:ilvl w:val="0"/>
          <w:numId w:val="3"/>
        </w:numPr>
        <w:spacing w:after="50" w:line="276"/>
      </w:pPr>
      <w:r>
        <w:rPr>
          <w:rFonts w:ascii="Calibri" w:cs="Calibri" w:eastAsia="Calibri" w:hAnsi="Calibri"/>
          <w:i/>
          <w:iCs/>
          <w:color w:val="5F6B73"/>
          <w:sz w:val="19"/>
          <w:szCs w:val="19"/>
        </w:rPr>
        <w:t xml:space="preserve">Multivariate Functional Data Analysis and Machine Learning Methods for Anomaly Detection in Water Quality Sensor Data</w:t>
      </w:r>
    </w:p>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none" w:color="FFFFFF" w:sz="0"/>
              <w:left w:val="none" w:color="FFFFFF" w:sz="0"/>
              <w:bottom w:val="none" w:color="FFFFFF" w:sz="0"/>
              <w:right w:val="none" w:color="FFFFFF" w:sz="0"/>
            </w:tcBorders>
            <w:shd w:fill="0B3C5D" w:color="auto" w:val="clear"/>
            <w:tcMar>
              <w:top w:type="dxa" w:w="100"/>
              <w:left w:type="dxa" w:w="160"/>
              <w:bottom w:type="dxa" w:w="100"/>
              <w:right w:type="dxa" w:w="120"/>
            </w:tcMar>
            <w:vAlign w:val="center"/>
          </w:tcPr>
          <w:p>
            <w:r>
              <w:rPr>
                <w:rFonts w:ascii="Calibri" w:cs="Calibri" w:eastAsia="Calibri" w:hAnsi="Calibri"/>
                <w:b/>
                <w:bCs/>
                <w:color w:val="FFFFFF"/>
                <w:sz w:val="20"/>
                <w:szCs w:val="20"/>
              </w:rPr>
              <w:t xml:space="preserve">Research gap</w:t>
            </w:r>
          </w:p>
        </w:tc>
        <w:tc>
          <w:tcPr>
            <w:tcW w:type="dxa" w:w="7838"/>
            <w:tcBorders>
              <w:top w:val="none" w:color="FFFFFF" w:sz="0"/>
              <w:left w:val="none" w:color="FFFFFF" w:sz="0"/>
              <w:bottom w:val="none" w:color="FFFFFF" w:sz="0"/>
              <w:right w:val="none" w:color="FFFFFF" w:sz="0"/>
            </w:tcBorders>
            <w:shd w:fill="F3F6F8" w:color="auto" w:val="clear"/>
            <w:tcMar>
              <w:top w:type="dxa" w:w="120"/>
              <w:left w:type="dxa" w:w="200"/>
              <w:bottom w:type="dxa" w:w="120"/>
              <w:right w:type="dxa" w:w="200"/>
            </w:tcMar>
            <w:vAlign w:val="center"/>
          </w:tcPr>
          <w:p>
            <w:pPr>
              <w:spacing w:line="276"/>
            </w:pPr>
            <w:r>
              <w:rPr>
                <w:rFonts w:ascii="Calibri" w:cs="Calibri" w:eastAsia="Calibri" w:hAnsi="Calibri"/>
                <w:color w:val="1F2A33"/>
                <w:sz w:val="21"/>
                <w:szCs w:val="21"/>
              </w:rPr>
              <w:t xml:space="preserve">Although several studies demonstrate good prediction performance, spatial transfer to unseen or unmonitored locations remains challenging. Models may not fully capture site-specific characteristics or complex relationships between monitoring stations.</w:t>
            </w:r>
          </w:p>
        </w:tc>
      </w:tr>
      <w:tr>
        <w:trPr>
          <w:cantSplit/>
        </w:trPr>
        <w:tc>
          <w:tcPr>
            <w:tcW w:type="dxa" w:w="1800"/>
            <w:tcBorders>
              <w:top w:val="none" w:color="FFFFFF" w:sz="0"/>
              <w:left w:val="none" w:color="FFFFFF" w:sz="0"/>
              <w:bottom w:val="none" w:color="FFFFFF" w:sz="0"/>
              <w:right w:val="none" w:color="FFFFFF" w:sz="0"/>
            </w:tcBorders>
            <w:shd w:fill="1B7F8C" w:color="auto" w:val="clear"/>
            <w:tcMar>
              <w:top w:type="dxa" w:w="100"/>
              <w:left w:type="dxa" w:w="160"/>
              <w:bottom w:type="dxa" w:w="100"/>
              <w:right w:type="dxa" w:w="120"/>
            </w:tcMar>
            <w:vAlign w:val="center"/>
          </w:tcPr>
          <w:p>
            <w:r>
              <w:rPr>
                <w:rFonts w:ascii="Calibri" w:cs="Calibri" w:eastAsia="Calibri" w:hAnsi="Calibri"/>
                <w:b/>
                <w:bCs/>
                <w:color w:val="FFFFFF"/>
                <w:sz w:val="20"/>
                <w:szCs w:val="20"/>
              </w:rPr>
              <w:t xml:space="preserve">Relevance to AQUA</w:t>
            </w:r>
          </w:p>
        </w:tc>
        <w:tc>
          <w:tcPr>
            <w:tcW w:type="dxa" w:w="7838"/>
            <w:tcBorders>
              <w:top w:val="none" w:color="FFFFFF" w:sz="0"/>
              <w:left w:val="none" w:color="FFFFFF" w:sz="0"/>
              <w:bottom w:val="none" w:color="FFFFFF" w:sz="0"/>
              <w:right w:val="none" w:color="FFFFFF" w:sz="0"/>
            </w:tcBorders>
            <w:shd w:fill="EAF4F6" w:color="auto" w:val="clear"/>
            <w:tcMar>
              <w:top w:type="dxa" w:w="120"/>
              <w:left w:type="dxa" w:w="200"/>
              <w:bottom w:type="dxa" w:w="120"/>
              <w:right w:type="dxa" w:w="200"/>
            </w:tcMar>
            <w:vAlign w:val="center"/>
          </w:tcPr>
          <w:p>
            <w:pPr>
              <w:spacing w:line="276"/>
            </w:pPr>
            <w:r>
              <w:rPr>
                <w:rFonts w:ascii="Calibri" w:cs="Calibri" w:eastAsia="Calibri" w:hAnsi="Calibri"/>
                <w:color w:val="1F2A33"/>
                <w:sz w:val="21"/>
                <w:szCs w:val="21"/>
              </w:rPr>
              <w:t xml:space="preserve">AQUA can investigate whether a model trained using selected monitoring stations can generalize to other stations within the river system.</w:t>
            </w:r>
          </w:p>
        </w:tc>
      </w:tr>
    </w:tbl>
    <w:p>
      <w:pPr>
        <w:pStyle w:val="Heading1"/>
        <w:keepNext/>
        <w:pageBreakBefore/>
        <w:pBdr>
          <w:bottom w:val="single" w:color="1B7F8C" w:sz="8" w:space="4"/>
        </w:pBdr>
        <w:spacing w:after="160" w:before="420"/>
      </w:pPr>
      <w:r>
        <w:rPr>
          <w:rFonts w:ascii="Calibri" w:cs="Calibri" w:eastAsia="Calibri" w:hAnsi="Calibri"/>
          <w:b/>
          <w:bCs/>
          <w:color w:val="1B7F8C"/>
          <w:sz w:val="32"/>
          <w:szCs w:val="32"/>
        </w:rPr>
        <w:t xml:space="preserve">02  </w:t>
      </w:r>
      <w:r>
        <w:rPr>
          <w:rFonts w:ascii="Calibri" w:cs="Calibri" w:eastAsia="Calibri" w:hAnsi="Calibri"/>
          <w:b/>
          <w:bCs/>
          <w:color w:val="0B3C5D"/>
          <w:sz w:val="32"/>
          <w:szCs w:val="32"/>
        </w:rPr>
        <w:t xml:space="preserve">Sparse / Limited Monitoring Data</w:t>
      </w:r>
    </w:p>
    <w:p>
      <w:pPr>
        <w:spacing w:after="120" w:line="288"/>
      </w:pPr>
      <w:r>
        <w:rPr>
          <w:rFonts w:ascii="Calibri" w:cs="Calibri" w:eastAsia="Calibri" w:hAnsi="Calibri"/>
          <w:color w:val="5F6B73"/>
          <w:sz w:val="22"/>
          <w:szCs w:val="22"/>
        </w:rPr>
        <w:t xml:space="preserve">Recurring challenges include:</w:t>
      </w:r>
    </w:p>
    <w:p>
      <w:pPr>
        <w:pStyle w:val="ListParagraph"/>
        <w:numPr>
          <w:ilvl w:val="0"/>
          <w:numId w:val="2"/>
        </w:numPr>
        <w:spacing w:after="50" w:line="276"/>
      </w:pPr>
      <w:r>
        <w:rPr>
          <w:rFonts w:ascii="Calibri" w:cs="Calibri" w:eastAsia="Calibri" w:hAnsi="Calibri"/>
          <w:color w:val="1F2A33"/>
          <w:sz w:val="22"/>
          <w:szCs w:val="22"/>
        </w:rPr>
        <w:t xml:space="preserve">Limited observations</w:t>
      </w:r>
    </w:p>
    <w:p>
      <w:pPr>
        <w:pStyle w:val="ListParagraph"/>
        <w:numPr>
          <w:ilvl w:val="0"/>
          <w:numId w:val="2"/>
        </w:numPr>
        <w:spacing w:after="50" w:line="276"/>
      </w:pPr>
      <w:r>
        <w:rPr>
          <w:rFonts w:ascii="Calibri" w:cs="Calibri" w:eastAsia="Calibri" w:hAnsi="Calibri"/>
          <w:color w:val="1F2A33"/>
          <w:sz w:val="22"/>
          <w:szCs w:val="22"/>
        </w:rPr>
        <w:t xml:space="preserve">Sparse monitoring</w:t>
      </w:r>
    </w:p>
    <w:p>
      <w:pPr>
        <w:pStyle w:val="ListParagraph"/>
        <w:numPr>
          <w:ilvl w:val="0"/>
          <w:numId w:val="2"/>
        </w:numPr>
        <w:spacing w:after="50" w:line="276"/>
      </w:pPr>
      <w:r>
        <w:rPr>
          <w:rFonts w:ascii="Calibri" w:cs="Calibri" w:eastAsia="Calibri" w:hAnsi="Calibri"/>
          <w:color w:val="1F2A33"/>
          <w:sz w:val="22"/>
          <w:szCs w:val="22"/>
        </w:rPr>
        <w:t xml:space="preserve">Small datasets</w:t>
      </w:r>
    </w:p>
    <w:p>
      <w:pPr>
        <w:pStyle w:val="ListParagraph"/>
        <w:numPr>
          <w:ilvl w:val="0"/>
          <w:numId w:val="2"/>
        </w:numPr>
        <w:spacing w:after="50" w:line="276"/>
      </w:pPr>
      <w:r>
        <w:rPr>
          <w:rFonts w:ascii="Calibri" w:cs="Calibri" w:eastAsia="Calibri" w:hAnsi="Calibri"/>
          <w:color w:val="1F2A33"/>
          <w:sz w:val="22"/>
          <w:szCs w:val="22"/>
        </w:rPr>
        <w:t xml:space="preserve">Data-deficient monitoring stations</w:t>
      </w:r>
    </w:p>
    <w:p>
      <w:pPr>
        <w:pStyle w:val="ListParagraph"/>
        <w:numPr>
          <w:ilvl w:val="0"/>
          <w:numId w:val="2"/>
        </w:numPr>
        <w:spacing w:after="50" w:line="276"/>
      </w:pPr>
      <w:r>
        <w:rPr>
          <w:rFonts w:ascii="Calibri" w:cs="Calibri" w:eastAsia="Calibri" w:hAnsi="Calibri"/>
          <w:color w:val="1F2A33"/>
          <w:sz w:val="22"/>
          <w:szCs w:val="22"/>
        </w:rPr>
        <w:t xml:space="preserve">Uneven temporal or spatial coverage</w:t>
      </w:r>
    </w:p>
    <w:p>
      <w:pPr>
        <w:spacing w:after="0" w:before="160"/>
      </w:pPr>
    </w:p>
    <w:p>
      <w:pPr>
        <w:pStyle w:val="Heading2"/>
        <w:keepNext/>
      </w:pPr>
      <w:r>
        <w:rPr>
          <w:rFonts w:ascii="Calibri" w:cs="Calibri" w:eastAsia="Calibri" w:hAnsi="Calibri"/>
          <w:b/>
          <w:bCs/>
          <w:color w:val="1B7F8C"/>
          <w:spacing w:val="30"/>
          <w:sz w:val="18"/>
          <w:szCs w:val="18"/>
        </w:rPr>
        <w:t xml:space="preserve">KEY PAPERS</w:t>
      </w:r>
    </w:p>
    <w:p>
      <w:pPr>
        <w:pStyle w:val="ListParagraph"/>
        <w:numPr>
          <w:ilvl w:val="0"/>
          <w:numId w:val="3"/>
        </w:numPr>
        <w:spacing w:after="50" w:line="276"/>
      </w:pPr>
      <w:r>
        <w:rPr>
          <w:rFonts w:ascii="Calibri" w:cs="Calibri" w:eastAsia="Calibri" w:hAnsi="Calibri"/>
          <w:i/>
          <w:iCs/>
          <w:color w:val="5F6B73"/>
          <w:sz w:val="19"/>
          <w:szCs w:val="19"/>
        </w:rPr>
        <w:t xml:space="preserve">Water Quality Modeling of the River Ganga in the Northern Region of India Using the Artificial Neural Network Technique</w:t>
      </w:r>
    </w:p>
    <w:p>
      <w:pPr>
        <w:pStyle w:val="ListParagraph"/>
        <w:numPr>
          <w:ilvl w:val="0"/>
          <w:numId w:val="3"/>
        </w:numPr>
        <w:spacing w:after="50" w:line="276"/>
      </w:pPr>
      <w:r>
        <w:rPr>
          <w:rFonts w:ascii="Calibri" w:cs="Calibri" w:eastAsia="Calibri" w:hAnsi="Calibri"/>
          <w:i/>
          <w:iCs/>
          <w:color w:val="5F6B73"/>
          <w:sz w:val="19"/>
          <w:szCs w:val="19"/>
        </w:rPr>
        <w:t xml:space="preserve">A Coupled Model to Improve River Water Quality Prediction Towards Addressing Non-Stationarity and Data Limitation</w:t>
      </w:r>
    </w:p>
    <w:p>
      <w:pPr>
        <w:pStyle w:val="ListParagraph"/>
        <w:numPr>
          <w:ilvl w:val="0"/>
          <w:numId w:val="3"/>
        </w:numPr>
        <w:spacing w:after="50" w:line="276"/>
      </w:pPr>
      <w:r>
        <w:rPr>
          <w:rFonts w:ascii="Calibri" w:cs="Calibri" w:eastAsia="Calibri" w:hAnsi="Calibri"/>
          <w:i/>
          <w:iCs/>
          <w:color w:val="5F6B73"/>
          <w:sz w:val="19"/>
          <w:szCs w:val="19"/>
        </w:rPr>
        <w:t xml:space="preserve">Water Quality Prediction Based on Sparse Dataset Using Enhanced Machine Learning</w:t>
      </w:r>
    </w:p>
    <w:p>
      <w:pPr>
        <w:pStyle w:val="ListParagraph"/>
        <w:numPr>
          <w:ilvl w:val="0"/>
          <w:numId w:val="3"/>
        </w:numPr>
        <w:spacing w:after="50" w:line="276"/>
      </w:pPr>
      <w:r>
        <w:rPr>
          <w:rFonts w:ascii="Calibri" w:cs="Calibri" w:eastAsia="Calibri" w:hAnsi="Calibri"/>
          <w:i/>
          <w:iCs/>
          <w:color w:val="5F6B73"/>
          <w:sz w:val="19"/>
          <w:szCs w:val="19"/>
        </w:rPr>
        <w:t xml:space="preserve">Explainable Transfer Learning Framework for Water Quality Prediction in Data-Scarce Developing Regions</w:t>
      </w:r>
    </w:p>
    <w:p>
      <w:pPr>
        <w:pStyle w:val="ListParagraph"/>
        <w:numPr>
          <w:ilvl w:val="0"/>
          <w:numId w:val="3"/>
        </w:numPr>
        <w:spacing w:after="50" w:line="276"/>
      </w:pPr>
      <w:r>
        <w:rPr>
          <w:rFonts w:ascii="Calibri" w:cs="Calibri" w:eastAsia="Calibri" w:hAnsi="Calibri"/>
          <w:i/>
          <w:iCs/>
          <w:color w:val="5F6B73"/>
          <w:sz w:val="19"/>
          <w:szCs w:val="19"/>
        </w:rPr>
        <w:t xml:space="preserve">Evaluation of Water Quality Indexes with Novel Machine Learning and SHapley Additive ExPlanation (SHAP) Approaches</w:t>
      </w:r>
    </w:p>
    <w:p>
      <w:pPr>
        <w:pStyle w:val="ListParagraph"/>
        <w:numPr>
          <w:ilvl w:val="0"/>
          <w:numId w:val="3"/>
        </w:numPr>
        <w:spacing w:after="50" w:line="276"/>
      </w:pPr>
      <w:r>
        <w:rPr>
          <w:rFonts w:ascii="Calibri" w:cs="Calibri" w:eastAsia="Calibri" w:hAnsi="Calibri"/>
          <w:i/>
          <w:iCs/>
          <w:color w:val="5F6B73"/>
          <w:sz w:val="19"/>
          <w:szCs w:val="19"/>
        </w:rPr>
        <w:t xml:space="preserve">Estimating the Water Quality Index Based on Interpretable Machine Learning Models</w:t>
      </w:r>
    </w:p>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none" w:color="FFFFFF" w:sz="0"/>
              <w:left w:val="none" w:color="FFFFFF" w:sz="0"/>
              <w:bottom w:val="none" w:color="FFFFFF" w:sz="0"/>
              <w:right w:val="none" w:color="FFFFFF" w:sz="0"/>
            </w:tcBorders>
            <w:shd w:fill="0B3C5D" w:color="auto" w:val="clear"/>
            <w:tcMar>
              <w:top w:type="dxa" w:w="100"/>
              <w:left w:type="dxa" w:w="160"/>
              <w:bottom w:type="dxa" w:w="100"/>
              <w:right w:type="dxa" w:w="120"/>
            </w:tcMar>
            <w:vAlign w:val="center"/>
          </w:tcPr>
          <w:p>
            <w:r>
              <w:rPr>
                <w:rFonts w:ascii="Calibri" w:cs="Calibri" w:eastAsia="Calibri" w:hAnsi="Calibri"/>
                <w:b/>
                <w:bCs/>
                <w:color w:val="FFFFFF"/>
                <w:sz w:val="20"/>
                <w:szCs w:val="20"/>
              </w:rPr>
              <w:t xml:space="preserve">Research gap</w:t>
            </w:r>
          </w:p>
        </w:tc>
        <w:tc>
          <w:tcPr>
            <w:tcW w:type="dxa" w:w="7838"/>
            <w:tcBorders>
              <w:top w:val="none" w:color="FFFFFF" w:sz="0"/>
              <w:left w:val="none" w:color="FFFFFF" w:sz="0"/>
              <w:bottom w:val="none" w:color="FFFFFF" w:sz="0"/>
              <w:right w:val="none" w:color="FFFFFF" w:sz="0"/>
            </w:tcBorders>
            <w:shd w:fill="F3F6F8" w:color="auto" w:val="clear"/>
            <w:tcMar>
              <w:top w:type="dxa" w:w="120"/>
              <w:left w:type="dxa" w:w="200"/>
              <w:bottom w:type="dxa" w:w="120"/>
              <w:right w:type="dxa" w:w="200"/>
            </w:tcMar>
            <w:vAlign w:val="center"/>
          </w:tcPr>
          <w:p>
            <w:pPr>
              <w:spacing w:line="276"/>
            </w:pPr>
            <w:r>
              <w:rPr>
                <w:rFonts w:ascii="Calibri" w:cs="Calibri" w:eastAsia="Calibri" w:hAnsi="Calibri"/>
                <w:color w:val="1F2A33"/>
                <w:sz w:val="21"/>
                <w:szCs w:val="21"/>
              </w:rPr>
              <w:t xml:space="preserve">Water-quality monitoring datasets are often sparse, limited or unevenly distributed, making continuous forecasting and reliable prediction difficult. Several studies explore data-scarcity solutions, but handling limited observations remains an important challenge.</w:t>
            </w:r>
          </w:p>
        </w:tc>
      </w:tr>
      <w:tr>
        <w:trPr>
          <w:cantSplit/>
        </w:trPr>
        <w:tc>
          <w:tcPr>
            <w:tcW w:type="dxa" w:w="1800"/>
            <w:tcBorders>
              <w:top w:val="none" w:color="FFFFFF" w:sz="0"/>
              <w:left w:val="none" w:color="FFFFFF" w:sz="0"/>
              <w:bottom w:val="none" w:color="FFFFFF" w:sz="0"/>
              <w:right w:val="none" w:color="FFFFFF" w:sz="0"/>
            </w:tcBorders>
            <w:shd w:fill="1B7F8C" w:color="auto" w:val="clear"/>
            <w:tcMar>
              <w:top w:type="dxa" w:w="100"/>
              <w:left w:type="dxa" w:w="160"/>
              <w:bottom w:type="dxa" w:w="100"/>
              <w:right w:type="dxa" w:w="120"/>
            </w:tcMar>
            <w:vAlign w:val="center"/>
          </w:tcPr>
          <w:p>
            <w:r>
              <w:rPr>
                <w:rFonts w:ascii="Calibri" w:cs="Calibri" w:eastAsia="Calibri" w:hAnsi="Calibri"/>
                <w:b/>
                <w:bCs/>
                <w:color w:val="FFFFFF"/>
                <w:sz w:val="20"/>
                <w:szCs w:val="20"/>
              </w:rPr>
              <w:t xml:space="preserve">Relevance to AQUA</w:t>
            </w:r>
          </w:p>
        </w:tc>
        <w:tc>
          <w:tcPr>
            <w:tcW w:type="dxa" w:w="7838"/>
            <w:tcBorders>
              <w:top w:val="none" w:color="FFFFFF" w:sz="0"/>
              <w:left w:val="none" w:color="FFFFFF" w:sz="0"/>
              <w:bottom w:val="none" w:color="FFFFFF" w:sz="0"/>
              <w:right w:val="none" w:color="FFFFFF" w:sz="0"/>
            </w:tcBorders>
            <w:shd w:fill="EAF4F6" w:color="auto" w:val="clear"/>
            <w:tcMar>
              <w:top w:type="dxa" w:w="120"/>
              <w:left w:type="dxa" w:w="200"/>
              <w:bottom w:type="dxa" w:w="120"/>
              <w:right w:type="dxa" w:w="200"/>
            </w:tcMar>
            <w:vAlign w:val="center"/>
          </w:tcPr>
          <w:p>
            <w:pPr>
              <w:spacing w:line="276"/>
            </w:pPr>
            <w:r>
              <w:rPr>
                <w:rFonts w:ascii="Calibri" w:cs="Calibri" w:eastAsia="Calibri" w:hAnsi="Calibri"/>
                <w:color w:val="1F2A33"/>
                <w:sz w:val="21"/>
                <w:szCs w:val="21"/>
              </w:rPr>
              <w:t xml:space="preserve">This is particularly relevant to AQUA because the available water-quality observations may have uneven spatial and temporal coverage across monitoring stations.</w:t>
            </w:r>
          </w:p>
        </w:tc>
      </w:tr>
    </w:tbl>
    <w:p>
      <w:pPr>
        <w:pStyle w:val="Heading1"/>
        <w:keepNext/>
        <w:pageBreakBefore/>
        <w:pBdr>
          <w:bottom w:val="single" w:color="1B7F8C" w:sz="8" w:space="4"/>
        </w:pBdr>
        <w:spacing w:after="160" w:before="420"/>
      </w:pPr>
      <w:r>
        <w:rPr>
          <w:rFonts w:ascii="Calibri" w:cs="Calibri" w:eastAsia="Calibri" w:hAnsi="Calibri"/>
          <w:b/>
          <w:bCs/>
          <w:color w:val="1B7F8C"/>
          <w:sz w:val="32"/>
          <w:szCs w:val="32"/>
        </w:rPr>
        <w:t xml:space="preserve">03  </w:t>
      </w:r>
      <w:r>
        <w:rPr>
          <w:rFonts w:ascii="Calibri" w:cs="Calibri" w:eastAsia="Calibri" w:hAnsi="Calibri"/>
          <w:b/>
          <w:bCs/>
          <w:color w:val="0B3C5D"/>
          <w:sz w:val="32"/>
          <w:szCs w:val="32"/>
        </w:rPr>
        <w:t xml:space="preserve">Spatial + Temporal Dependencies</w:t>
      </w:r>
    </w:p>
    <w:p>
      <w:pPr>
        <w:spacing w:after="120" w:line="288"/>
      </w:pPr>
      <w:r>
        <w:rPr>
          <w:rFonts w:ascii="Calibri" w:cs="Calibri" w:eastAsia="Calibri" w:hAnsi="Calibri"/>
          <w:color w:val="5F6B73"/>
          <w:sz w:val="22"/>
          <w:szCs w:val="22"/>
        </w:rPr>
        <w:t xml:space="preserve">The literature increasingly recognizes the importance of modelling both:</w:t>
      </w:r>
    </w:p>
    <w:p>
      <w:pPr>
        <w:pStyle w:val="ListParagraph"/>
        <w:numPr>
          <w:ilvl w:val="0"/>
          <w:numId w:val="2"/>
        </w:numPr>
        <w:spacing w:after="50" w:line="276"/>
      </w:pPr>
      <w:r>
        <w:rPr>
          <w:rFonts w:ascii="Calibri" w:cs="Calibri" w:eastAsia="Calibri" w:hAnsi="Calibri"/>
          <w:color w:val="1F2A33"/>
          <w:sz w:val="22"/>
          <w:szCs w:val="22"/>
        </w:rPr>
        <w:t xml:space="preserve">Spatial relationships between monitoring stations</w:t>
      </w:r>
    </w:p>
    <w:p>
      <w:pPr>
        <w:pStyle w:val="ListParagraph"/>
        <w:numPr>
          <w:ilvl w:val="0"/>
          <w:numId w:val="2"/>
        </w:numPr>
        <w:spacing w:after="50" w:line="276"/>
      </w:pPr>
      <w:r>
        <w:rPr>
          <w:rFonts w:ascii="Calibri" w:cs="Calibri" w:eastAsia="Calibri" w:hAnsi="Calibri"/>
          <w:color w:val="1F2A33"/>
          <w:sz w:val="22"/>
          <w:szCs w:val="22"/>
        </w:rPr>
        <w:t xml:space="preserve">Temporal changes in water quality</w:t>
      </w:r>
    </w:p>
    <w:p>
      <w:pPr>
        <w:pStyle w:val="ListParagraph"/>
        <w:numPr>
          <w:ilvl w:val="0"/>
          <w:numId w:val="2"/>
        </w:numPr>
        <w:spacing w:after="50" w:line="276"/>
      </w:pPr>
      <w:r>
        <w:rPr>
          <w:rFonts w:ascii="Calibri" w:cs="Calibri" w:eastAsia="Calibri" w:hAnsi="Calibri"/>
          <w:color w:val="1F2A33"/>
          <w:sz w:val="22"/>
          <w:szCs w:val="22"/>
        </w:rPr>
        <w:t xml:space="preserve">Upstream–downstream relationships</w:t>
      </w:r>
    </w:p>
    <w:p>
      <w:pPr>
        <w:pStyle w:val="ListParagraph"/>
        <w:numPr>
          <w:ilvl w:val="0"/>
          <w:numId w:val="2"/>
        </w:numPr>
        <w:spacing w:after="50" w:line="276"/>
      </w:pPr>
      <w:r>
        <w:rPr>
          <w:rFonts w:ascii="Calibri" w:cs="Calibri" w:eastAsia="Calibri" w:hAnsi="Calibri"/>
          <w:color w:val="1F2A33"/>
          <w:sz w:val="22"/>
          <w:szCs w:val="22"/>
        </w:rPr>
        <w:t xml:space="preserve">Temporal sequences and forecasting horizons</w:t>
      </w:r>
    </w:p>
    <w:p>
      <w:pPr>
        <w:pStyle w:val="ListParagraph"/>
        <w:numPr>
          <w:ilvl w:val="0"/>
          <w:numId w:val="2"/>
        </w:numPr>
        <w:spacing w:after="50" w:line="276"/>
      </w:pPr>
      <w:r>
        <w:rPr>
          <w:rFonts w:ascii="Calibri" w:cs="Calibri" w:eastAsia="Calibri" w:hAnsi="Calibri"/>
          <w:color w:val="1F2A33"/>
          <w:sz w:val="22"/>
          <w:szCs w:val="22"/>
        </w:rPr>
        <w:t xml:space="preserve">Joint spatial-temporal dependencies</w:t>
      </w:r>
    </w:p>
    <w:p>
      <w:pPr>
        <w:spacing w:after="0" w:before="160"/>
      </w:pPr>
    </w:p>
    <w:p>
      <w:pPr>
        <w:pStyle w:val="Heading2"/>
        <w:keepNext/>
      </w:pPr>
      <w:r>
        <w:rPr>
          <w:rFonts w:ascii="Calibri" w:cs="Calibri" w:eastAsia="Calibri" w:hAnsi="Calibri"/>
          <w:b/>
          <w:bCs/>
          <w:color w:val="1B7F8C"/>
          <w:spacing w:val="30"/>
          <w:sz w:val="18"/>
          <w:szCs w:val="18"/>
        </w:rPr>
        <w:t xml:space="preserve">KEY PAPERS</w:t>
      </w:r>
    </w:p>
    <w:p>
      <w:pPr>
        <w:pStyle w:val="ListParagraph"/>
        <w:numPr>
          <w:ilvl w:val="0"/>
          <w:numId w:val="3"/>
        </w:numPr>
        <w:spacing w:after="50" w:line="276"/>
      </w:pPr>
      <w:r>
        <w:rPr>
          <w:rFonts w:ascii="Calibri" w:cs="Calibri" w:eastAsia="Calibri" w:hAnsi="Calibri"/>
          <w:i/>
          <w:iCs/>
          <w:color w:val="5F6B73"/>
          <w:sz w:val="19"/>
          <w:szCs w:val="19"/>
        </w:rPr>
        <w:t xml:space="preserve">Temporal and Spatial Feature Extraction Using Graph Neural Networks for Multi-Point Water Quality Prediction in River Network Areas</w:t>
      </w:r>
    </w:p>
    <w:p>
      <w:pPr>
        <w:pStyle w:val="ListParagraph"/>
        <w:numPr>
          <w:ilvl w:val="0"/>
          <w:numId w:val="3"/>
        </w:numPr>
        <w:spacing w:after="50" w:line="276"/>
      </w:pPr>
      <w:r>
        <w:rPr>
          <w:rFonts w:ascii="Calibri" w:cs="Calibri" w:eastAsia="Calibri" w:hAnsi="Calibri"/>
          <w:i/>
          <w:iCs/>
          <w:color w:val="5F6B73"/>
          <w:sz w:val="19"/>
          <w:szCs w:val="19"/>
        </w:rPr>
        <w:t xml:space="preserve">A Novel Operational Water Quality Mobile Prediction System with LSTM-Seq2Seq Model</w:t>
      </w:r>
    </w:p>
    <w:p>
      <w:pPr>
        <w:pStyle w:val="ListParagraph"/>
        <w:numPr>
          <w:ilvl w:val="0"/>
          <w:numId w:val="3"/>
        </w:numPr>
        <w:spacing w:after="50" w:line="276"/>
      </w:pPr>
      <w:r>
        <w:rPr>
          <w:rFonts w:ascii="Calibri" w:cs="Calibri" w:eastAsia="Calibri" w:hAnsi="Calibri"/>
          <w:i/>
          <w:iCs/>
          <w:color w:val="5F6B73"/>
          <w:sz w:val="19"/>
          <w:szCs w:val="19"/>
        </w:rPr>
        <w:t xml:space="preserve">Coastal Water Quality Prediction Based on Machine Learning with Feature Interpretation and Spatio–Temporal Analysis</w:t>
      </w:r>
    </w:p>
    <w:p>
      <w:pPr>
        <w:pStyle w:val="ListParagraph"/>
        <w:numPr>
          <w:ilvl w:val="0"/>
          <w:numId w:val="3"/>
        </w:numPr>
        <w:spacing w:after="50" w:line="276"/>
      </w:pPr>
      <w:r>
        <w:rPr>
          <w:rFonts w:ascii="Calibri" w:cs="Calibri" w:eastAsia="Calibri" w:hAnsi="Calibri"/>
          <w:i/>
          <w:iCs/>
          <w:color w:val="5F6B73"/>
          <w:sz w:val="19"/>
          <w:szCs w:val="19"/>
        </w:rPr>
        <w:t xml:space="preserve">AI for Water Sustainability: Global Water Quality Assessment and Prediction with Explainable AI with LLM Chatbot for Insights</w:t>
      </w:r>
    </w:p>
    <w:p>
      <w:pPr>
        <w:pStyle w:val="ListParagraph"/>
        <w:numPr>
          <w:ilvl w:val="0"/>
          <w:numId w:val="3"/>
        </w:numPr>
        <w:spacing w:after="50" w:line="276"/>
      </w:pPr>
      <w:r>
        <w:rPr>
          <w:rFonts w:ascii="Calibri" w:cs="Calibri" w:eastAsia="Calibri" w:hAnsi="Calibri"/>
          <w:i/>
          <w:iCs/>
          <w:color w:val="5F6B73"/>
          <w:sz w:val="19"/>
          <w:szCs w:val="19"/>
        </w:rPr>
        <w:t xml:space="preserve">Enhanced Remote Sensing and Deep Learning Aided Water Quality Detection in the Ganges River, India Supporting Monitoring of Aquatic Environments</w:t>
      </w:r>
    </w:p>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none" w:color="FFFFFF" w:sz="0"/>
              <w:left w:val="none" w:color="FFFFFF" w:sz="0"/>
              <w:bottom w:val="none" w:color="FFFFFF" w:sz="0"/>
              <w:right w:val="none" w:color="FFFFFF" w:sz="0"/>
            </w:tcBorders>
            <w:shd w:fill="0B3C5D" w:color="auto" w:val="clear"/>
            <w:tcMar>
              <w:top w:type="dxa" w:w="100"/>
              <w:left w:type="dxa" w:w="160"/>
              <w:bottom w:type="dxa" w:w="100"/>
              <w:right w:type="dxa" w:w="120"/>
            </w:tcMar>
            <w:vAlign w:val="center"/>
          </w:tcPr>
          <w:p>
            <w:r>
              <w:rPr>
                <w:rFonts w:ascii="Calibri" w:cs="Calibri" w:eastAsia="Calibri" w:hAnsi="Calibri"/>
                <w:b/>
                <w:bCs/>
                <w:color w:val="FFFFFF"/>
                <w:sz w:val="20"/>
                <w:szCs w:val="20"/>
              </w:rPr>
              <w:t xml:space="preserve">Research gap</w:t>
            </w:r>
          </w:p>
        </w:tc>
        <w:tc>
          <w:tcPr>
            <w:tcW w:type="dxa" w:w="7838"/>
            <w:tcBorders>
              <w:top w:val="none" w:color="FFFFFF" w:sz="0"/>
              <w:left w:val="none" w:color="FFFFFF" w:sz="0"/>
              <w:bottom w:val="none" w:color="FFFFFF" w:sz="0"/>
              <w:right w:val="none" w:color="FFFFFF" w:sz="0"/>
            </w:tcBorders>
            <w:shd w:fill="F3F6F8" w:color="auto" w:val="clear"/>
            <w:tcMar>
              <w:top w:type="dxa" w:w="120"/>
              <w:left w:type="dxa" w:w="200"/>
              <w:bottom w:type="dxa" w:w="120"/>
              <w:right w:type="dxa" w:w="200"/>
            </w:tcMar>
            <w:vAlign w:val="center"/>
          </w:tcPr>
          <w:p>
            <w:pPr>
              <w:spacing w:line="276"/>
            </w:pPr>
            <w:r>
              <w:rPr>
                <w:rFonts w:ascii="Calibri" w:cs="Calibri" w:eastAsia="Calibri" w:hAnsi="Calibri"/>
                <w:color w:val="1F2A33"/>
                <w:sz w:val="21"/>
                <w:szCs w:val="21"/>
              </w:rPr>
              <w:t xml:space="preserve">Many water-quality studies focus primarily on either spatial prediction or temporal forecasting, while modelling both types of dependency together remains more challenging. The STF-GNN study is particularly relevant because it explicitly combines spatial and temporal feature extraction within a single framework.</w:t>
            </w:r>
          </w:p>
        </w:tc>
      </w:tr>
      <w:tr>
        <w:trPr>
          <w:cantSplit/>
        </w:trPr>
        <w:tc>
          <w:tcPr>
            <w:tcW w:type="dxa" w:w="1800"/>
            <w:tcBorders>
              <w:top w:val="none" w:color="FFFFFF" w:sz="0"/>
              <w:left w:val="none" w:color="FFFFFF" w:sz="0"/>
              <w:bottom w:val="none" w:color="FFFFFF" w:sz="0"/>
              <w:right w:val="none" w:color="FFFFFF" w:sz="0"/>
            </w:tcBorders>
            <w:shd w:fill="1B7F8C" w:color="auto" w:val="clear"/>
            <w:tcMar>
              <w:top w:type="dxa" w:w="100"/>
              <w:left w:type="dxa" w:w="160"/>
              <w:bottom w:type="dxa" w:w="100"/>
              <w:right w:type="dxa" w:w="120"/>
            </w:tcMar>
            <w:vAlign w:val="center"/>
          </w:tcPr>
          <w:p>
            <w:r>
              <w:rPr>
                <w:rFonts w:ascii="Calibri" w:cs="Calibri" w:eastAsia="Calibri" w:hAnsi="Calibri"/>
                <w:b/>
                <w:bCs/>
                <w:color w:val="FFFFFF"/>
                <w:sz w:val="20"/>
                <w:szCs w:val="20"/>
              </w:rPr>
              <w:t xml:space="preserve">Relevance to AQUA</w:t>
            </w:r>
          </w:p>
        </w:tc>
        <w:tc>
          <w:tcPr>
            <w:tcW w:type="dxa" w:w="7838"/>
            <w:tcBorders>
              <w:top w:val="none" w:color="FFFFFF" w:sz="0"/>
              <w:left w:val="none" w:color="FFFFFF" w:sz="0"/>
              <w:bottom w:val="none" w:color="FFFFFF" w:sz="0"/>
              <w:right w:val="none" w:color="FFFFFF" w:sz="0"/>
            </w:tcBorders>
            <w:shd w:fill="EAF4F6" w:color="auto" w:val="clear"/>
            <w:tcMar>
              <w:top w:type="dxa" w:w="120"/>
              <w:left w:type="dxa" w:w="200"/>
              <w:bottom w:type="dxa" w:w="120"/>
              <w:right w:type="dxa" w:w="200"/>
            </w:tcMar>
            <w:vAlign w:val="center"/>
          </w:tcPr>
          <w:p>
            <w:pPr>
              <w:spacing w:line="276"/>
            </w:pPr>
            <w:r>
              <w:rPr>
                <w:rFonts w:ascii="Calibri" w:cs="Calibri" w:eastAsia="Calibri" w:hAnsi="Calibri"/>
                <w:color w:val="1F2A33"/>
                <w:sz w:val="21"/>
                <w:szCs w:val="21"/>
              </w:rPr>
              <w:t xml:space="preserve">AQUA can explore the combination of temporal forecasting with spatial relationships between monitoring stations.</w:t>
            </w:r>
          </w:p>
        </w:tc>
      </w:tr>
    </w:tbl>
    <w:p>
      <w:pPr>
        <w:pStyle w:val="Heading1"/>
        <w:keepNext/>
        <w:pageBreakBefore/>
        <w:pBdr>
          <w:bottom w:val="single" w:color="1B7F8C" w:sz="8" w:space="4"/>
        </w:pBdr>
        <w:spacing w:after="160" w:before="420"/>
      </w:pPr>
      <w:r>
        <w:rPr>
          <w:rFonts w:ascii="Calibri" w:cs="Calibri" w:eastAsia="Calibri" w:hAnsi="Calibri"/>
          <w:b/>
          <w:bCs/>
          <w:color w:val="1B7F8C"/>
          <w:sz w:val="32"/>
          <w:szCs w:val="32"/>
        </w:rPr>
        <w:t xml:space="preserve">04  </w:t>
      </w:r>
      <w:r>
        <w:rPr>
          <w:rFonts w:ascii="Calibri" w:cs="Calibri" w:eastAsia="Calibri" w:hAnsi="Calibri"/>
          <w:b/>
          <w:bCs/>
          <w:color w:val="0B3C5D"/>
          <w:sz w:val="32"/>
          <w:szCs w:val="32"/>
        </w:rPr>
        <w:t xml:space="preserve">Environmental + Hydrological Variables</w:t>
      </w:r>
    </w:p>
    <w:p>
      <w:pPr>
        <w:spacing w:after="120" w:line="288"/>
      </w:pPr>
      <w:r>
        <w:rPr>
          <w:rFonts w:ascii="Calibri" w:cs="Calibri" w:eastAsia="Calibri" w:hAnsi="Calibri"/>
          <w:color w:val="5F6B73"/>
          <w:sz w:val="22"/>
          <w:szCs w:val="22"/>
        </w:rPr>
        <w:t xml:space="preserve">The literature incorporates a wide range of external variables, including: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0"/>
              <w:left w:type="dxa" w:w="0"/>
              <w:bottom w:type="dxa" w:w="0"/>
              <w:right w:type="dxa" w:w="100"/>
            </w:tcMar>
          </w:tcPr>
          <w:p>
            <w:pPr>
              <w:pStyle w:val="ListParagraph"/>
              <w:numPr>
                <w:ilvl w:val="0"/>
                <w:numId w:val="2"/>
              </w:numPr>
              <w:spacing w:after="50" w:line="276"/>
            </w:pPr>
            <w:r>
              <w:rPr>
                <w:rFonts w:ascii="Calibri" w:cs="Calibri" w:eastAsia="Calibri" w:hAnsi="Calibri"/>
                <w:color w:val="1F2A33"/>
                <w:sz w:val="22"/>
                <w:szCs w:val="22"/>
              </w:rPr>
              <w:t xml:space="preserve">Temperature</w:t>
            </w:r>
          </w:p>
          <w:p>
            <w:pPr>
              <w:pStyle w:val="ListParagraph"/>
              <w:numPr>
                <w:ilvl w:val="0"/>
                <w:numId w:val="2"/>
              </w:numPr>
              <w:spacing w:after="50" w:line="276"/>
            </w:pPr>
            <w:r>
              <w:rPr>
                <w:rFonts w:ascii="Calibri" w:cs="Calibri" w:eastAsia="Calibri" w:hAnsi="Calibri"/>
                <w:color w:val="1F2A33"/>
                <w:sz w:val="22"/>
                <w:szCs w:val="22"/>
              </w:rPr>
              <w:t xml:space="preserve">Precipitation</w:t>
            </w:r>
          </w:p>
          <w:p>
            <w:pPr>
              <w:pStyle w:val="ListParagraph"/>
              <w:numPr>
                <w:ilvl w:val="0"/>
                <w:numId w:val="2"/>
              </w:numPr>
              <w:spacing w:after="50" w:line="276"/>
            </w:pPr>
            <w:r>
              <w:rPr>
                <w:rFonts w:ascii="Calibri" w:cs="Calibri" w:eastAsia="Calibri" w:hAnsi="Calibri"/>
                <w:color w:val="1F2A33"/>
                <w:sz w:val="22"/>
                <w:szCs w:val="22"/>
              </w:rPr>
              <w:t xml:space="preserve">Streamflow</w:t>
            </w:r>
          </w:p>
          <w:p>
            <w:pPr>
              <w:pStyle w:val="ListParagraph"/>
              <w:numPr>
                <w:ilvl w:val="0"/>
                <w:numId w:val="2"/>
              </w:numPr>
              <w:spacing w:after="50" w:line="276"/>
            </w:pPr>
            <w:r>
              <w:rPr>
                <w:rFonts w:ascii="Calibri" w:cs="Calibri" w:eastAsia="Calibri" w:hAnsi="Calibri"/>
                <w:color w:val="1F2A33"/>
                <w:sz w:val="22"/>
                <w:szCs w:val="22"/>
              </w:rPr>
              <w:t xml:space="preserve">Water level</w:t>
            </w:r>
          </w:p>
          <w:p>
            <w:pPr>
              <w:pStyle w:val="ListParagraph"/>
              <w:numPr>
                <w:ilvl w:val="0"/>
                <w:numId w:val="2"/>
              </w:numPr>
              <w:spacing w:after="50" w:line="276"/>
            </w:pPr>
            <w:r>
              <w:rPr>
                <w:rFonts w:ascii="Calibri" w:cs="Calibri" w:eastAsia="Calibri" w:hAnsi="Calibri"/>
                <w:color w:val="1F2A33"/>
                <w:sz w:val="22"/>
                <w:szCs w:val="22"/>
              </w:rPr>
              <w:t xml:space="preserve">Meteorological variables</w:t>
            </w:r>
          </w:p>
        </w:tc>
        <w:tc>
          <w:tcPr>
            <w:tcW w:type="dxa" w:w="4819"/>
            <w:tcBorders>
              <w:top w:val="none" w:color="FFFFFF" w:sz="0"/>
              <w:left w:val="none" w:color="FFFFFF" w:sz="0"/>
              <w:bottom w:val="none" w:color="FFFFFF" w:sz="0"/>
              <w:right w:val="none" w:color="FFFFFF" w:sz="0"/>
            </w:tcBorders>
            <w:tcMar>
              <w:top w:type="dxa" w:w="0"/>
              <w:left w:type="dxa" w:w="0"/>
              <w:bottom w:type="dxa" w:w="0"/>
              <w:right w:type="dxa" w:w="100"/>
            </w:tcMar>
          </w:tcPr>
          <w:p>
            <w:pPr>
              <w:pStyle w:val="ListParagraph"/>
              <w:numPr>
                <w:ilvl w:val="0"/>
                <w:numId w:val="2"/>
              </w:numPr>
              <w:spacing w:after="50" w:line="276"/>
            </w:pPr>
            <w:r>
              <w:rPr>
                <w:rFonts w:ascii="Calibri" w:cs="Calibri" w:eastAsia="Calibri" w:hAnsi="Calibri"/>
                <w:color w:val="1F2A33"/>
                <w:sz w:val="22"/>
                <w:szCs w:val="22"/>
              </w:rPr>
              <w:t xml:space="preserve">Topography</w:t>
            </w:r>
          </w:p>
          <w:p>
            <w:pPr>
              <w:pStyle w:val="ListParagraph"/>
              <w:numPr>
                <w:ilvl w:val="0"/>
                <w:numId w:val="2"/>
              </w:numPr>
              <w:spacing w:after="50" w:line="276"/>
            </w:pPr>
            <w:r>
              <w:rPr>
                <w:rFonts w:ascii="Calibri" w:cs="Calibri" w:eastAsia="Calibri" w:hAnsi="Calibri"/>
                <w:color w:val="1F2A33"/>
                <w:sz w:val="22"/>
                <w:szCs w:val="22"/>
              </w:rPr>
              <w:t xml:space="preserve">Land use</w:t>
            </w:r>
          </w:p>
          <w:p>
            <w:pPr>
              <w:pStyle w:val="ListParagraph"/>
              <w:numPr>
                <w:ilvl w:val="0"/>
                <w:numId w:val="2"/>
              </w:numPr>
              <w:spacing w:after="50" w:line="276"/>
            </w:pPr>
            <w:r>
              <w:rPr>
                <w:rFonts w:ascii="Calibri" w:cs="Calibri" w:eastAsia="Calibri" w:hAnsi="Calibri"/>
                <w:color w:val="1F2A33"/>
                <w:sz w:val="22"/>
                <w:szCs w:val="22"/>
              </w:rPr>
              <w:t xml:space="preserve">Hydrological relationships</w:t>
            </w:r>
          </w:p>
          <w:p>
            <w:pPr>
              <w:pStyle w:val="ListParagraph"/>
              <w:numPr>
                <w:ilvl w:val="0"/>
                <w:numId w:val="2"/>
              </w:numPr>
              <w:spacing w:after="50" w:line="276"/>
            </w:pPr>
            <w:r>
              <w:rPr>
                <w:rFonts w:ascii="Calibri" w:cs="Calibri" w:eastAsia="Calibri" w:hAnsi="Calibri"/>
                <w:color w:val="1F2A33"/>
                <w:sz w:val="22"/>
                <w:szCs w:val="22"/>
              </w:rPr>
              <w:t xml:space="preserve">Other environmental factors</w:t>
            </w:r>
          </w:p>
        </w:tc>
      </w:tr>
    </w:tbl>
    <w:p>
      <w:pPr>
        <w:spacing w:after="0" w:before="160"/>
      </w:pPr>
    </w:p>
    <w:p>
      <w:pPr>
        <w:pStyle w:val="Heading2"/>
        <w:keepNext/>
      </w:pPr>
      <w:r>
        <w:rPr>
          <w:rFonts w:ascii="Calibri" w:cs="Calibri" w:eastAsia="Calibri" w:hAnsi="Calibri"/>
          <w:b/>
          <w:bCs/>
          <w:color w:val="1B7F8C"/>
          <w:spacing w:val="30"/>
          <w:sz w:val="18"/>
          <w:szCs w:val="18"/>
        </w:rPr>
        <w:t xml:space="preserve">KEY PAPERS</w:t>
      </w:r>
    </w:p>
    <w:p>
      <w:pPr>
        <w:pStyle w:val="ListParagraph"/>
        <w:numPr>
          <w:ilvl w:val="0"/>
          <w:numId w:val="3"/>
        </w:numPr>
        <w:spacing w:after="50" w:line="276"/>
      </w:pPr>
      <w:r>
        <w:rPr>
          <w:rFonts w:ascii="Calibri" w:cs="Calibri" w:eastAsia="Calibri" w:hAnsi="Calibri"/>
          <w:i/>
          <w:iCs/>
          <w:color w:val="5F6B73"/>
          <w:sz w:val="19"/>
          <w:szCs w:val="19"/>
        </w:rPr>
        <w:t xml:space="preserve">Spatial Transferability of Machine Learning Models for Water Quality Prediction: A Progressive Data Integration Approach</w:t>
      </w:r>
    </w:p>
    <w:p>
      <w:pPr>
        <w:pStyle w:val="ListParagraph"/>
        <w:numPr>
          <w:ilvl w:val="0"/>
          <w:numId w:val="3"/>
        </w:numPr>
        <w:spacing w:after="50" w:line="276"/>
      </w:pPr>
      <w:r>
        <w:rPr>
          <w:rFonts w:ascii="Calibri" w:cs="Calibri" w:eastAsia="Calibri" w:hAnsi="Calibri"/>
          <w:i/>
          <w:iCs/>
          <w:color w:val="5F6B73"/>
          <w:sz w:val="19"/>
          <w:szCs w:val="19"/>
        </w:rPr>
        <w:t xml:space="preserve">Temporal and Spatial Feature Extraction Using Graph Neural Networks for Multi-Point Water Quality Prediction in River Network Areas</w:t>
      </w:r>
    </w:p>
    <w:p>
      <w:pPr>
        <w:pStyle w:val="ListParagraph"/>
        <w:numPr>
          <w:ilvl w:val="0"/>
          <w:numId w:val="3"/>
        </w:numPr>
        <w:spacing w:after="50" w:line="276"/>
      </w:pPr>
      <w:r>
        <w:rPr>
          <w:rFonts w:ascii="Calibri" w:cs="Calibri" w:eastAsia="Calibri" w:hAnsi="Calibri"/>
          <w:i/>
          <w:iCs/>
          <w:color w:val="5F6B73"/>
          <w:sz w:val="19"/>
          <w:szCs w:val="19"/>
        </w:rPr>
        <w:t xml:space="preserve">Water Quality Prediction Based on Sparse Dataset Using Enhanced Machine Learning</w:t>
      </w:r>
    </w:p>
    <w:p>
      <w:pPr>
        <w:pStyle w:val="ListParagraph"/>
        <w:numPr>
          <w:ilvl w:val="0"/>
          <w:numId w:val="3"/>
        </w:numPr>
        <w:spacing w:after="50" w:line="276"/>
      </w:pPr>
      <w:r>
        <w:rPr>
          <w:rFonts w:ascii="Calibri" w:cs="Calibri" w:eastAsia="Calibri" w:hAnsi="Calibri"/>
          <w:i/>
          <w:iCs/>
          <w:color w:val="5F6B73"/>
          <w:sz w:val="19"/>
          <w:szCs w:val="19"/>
        </w:rPr>
        <w:t xml:space="preserve">Coastal Water Quality Prediction Based on Machine Learning with Feature Interpretation and Spatio–Temporal Analysis</w:t>
      </w:r>
    </w:p>
    <w:p>
      <w:pPr>
        <w:pStyle w:val="ListParagraph"/>
        <w:numPr>
          <w:ilvl w:val="0"/>
          <w:numId w:val="3"/>
        </w:numPr>
        <w:spacing w:after="50" w:line="276"/>
      </w:pPr>
      <w:r>
        <w:rPr>
          <w:rFonts w:ascii="Calibri" w:cs="Calibri" w:eastAsia="Calibri" w:hAnsi="Calibri"/>
          <w:i/>
          <w:iCs/>
          <w:color w:val="5F6B73"/>
          <w:sz w:val="19"/>
          <w:szCs w:val="19"/>
        </w:rPr>
        <w:t xml:space="preserve">Predicting Stream Water Quality Under Different Urban Development Pattern Scenarios with an Interpretable Machine Learning Approach</w:t>
      </w:r>
    </w:p>
    <w:p>
      <w:pPr>
        <w:pStyle w:val="ListParagraph"/>
        <w:numPr>
          <w:ilvl w:val="0"/>
          <w:numId w:val="3"/>
        </w:numPr>
        <w:spacing w:after="50" w:line="276"/>
      </w:pPr>
      <w:r>
        <w:rPr>
          <w:rFonts w:ascii="Calibri" w:cs="Calibri" w:eastAsia="Calibri" w:hAnsi="Calibri"/>
          <w:i/>
          <w:iCs/>
          <w:color w:val="5F6B73"/>
          <w:sz w:val="19"/>
          <w:szCs w:val="19"/>
        </w:rPr>
        <w:t xml:space="preserve">AI for Water Sustainability: Global Water Quality Assessment and Prediction with Explainable AI with LLM Chatbot for Insights</w:t>
      </w:r>
    </w:p>
    <w:p>
      <w:pPr>
        <w:pStyle w:val="ListParagraph"/>
        <w:numPr>
          <w:ilvl w:val="0"/>
          <w:numId w:val="3"/>
        </w:numPr>
        <w:spacing w:after="50" w:line="276"/>
      </w:pPr>
      <w:r>
        <w:rPr>
          <w:rFonts w:ascii="Calibri" w:cs="Calibri" w:eastAsia="Calibri" w:hAnsi="Calibri"/>
          <w:i/>
          <w:iCs/>
          <w:color w:val="5F6B73"/>
          <w:sz w:val="19"/>
          <w:szCs w:val="19"/>
        </w:rPr>
        <w:t xml:space="preserve">A Novel Operational Water Quality Mobile Prediction System with LSTM-Seq2Seq Model</w:t>
      </w:r>
    </w:p>
    <w:p>
      <w:pPr>
        <w:pStyle w:val="ListParagraph"/>
        <w:numPr>
          <w:ilvl w:val="0"/>
          <w:numId w:val="3"/>
        </w:numPr>
        <w:spacing w:after="50" w:line="276"/>
      </w:pPr>
      <w:r>
        <w:rPr>
          <w:rFonts w:ascii="Calibri" w:cs="Calibri" w:eastAsia="Calibri" w:hAnsi="Calibri"/>
          <w:i/>
          <w:iCs/>
          <w:color w:val="5F6B73"/>
          <w:sz w:val="19"/>
          <w:szCs w:val="19"/>
        </w:rPr>
        <w:t xml:space="preserve">HydroFedNet: An Intent-Based Unified Federated Framework for Multisource Water Quality Monitoring</w:t>
      </w:r>
    </w:p>
    <w:p>
      <w:pPr>
        <w:pStyle w:val="ListParagraph"/>
        <w:numPr>
          <w:ilvl w:val="0"/>
          <w:numId w:val="3"/>
        </w:numPr>
        <w:spacing w:after="50" w:line="276"/>
      </w:pPr>
      <w:r>
        <w:rPr>
          <w:rFonts w:ascii="Calibri" w:cs="Calibri" w:eastAsia="Calibri" w:hAnsi="Calibri"/>
          <w:i/>
          <w:iCs/>
          <w:color w:val="5F6B73"/>
          <w:sz w:val="19"/>
          <w:szCs w:val="19"/>
        </w:rPr>
        <w:t xml:space="preserve">Enhanced Remote Sensing and Deep Learning Aided Water Quality Detection in the Ganges River, India Supporting Monitoring of Aquatic Environments</w:t>
      </w:r>
    </w:p>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none" w:color="FFFFFF" w:sz="0"/>
              <w:left w:val="none" w:color="FFFFFF" w:sz="0"/>
              <w:bottom w:val="none" w:color="FFFFFF" w:sz="0"/>
              <w:right w:val="none" w:color="FFFFFF" w:sz="0"/>
            </w:tcBorders>
            <w:shd w:fill="0B3C5D" w:color="auto" w:val="clear"/>
            <w:tcMar>
              <w:top w:type="dxa" w:w="100"/>
              <w:left w:type="dxa" w:w="160"/>
              <w:bottom w:type="dxa" w:w="100"/>
              <w:right w:type="dxa" w:w="120"/>
            </w:tcMar>
            <w:vAlign w:val="center"/>
          </w:tcPr>
          <w:p>
            <w:r>
              <w:rPr>
                <w:rFonts w:ascii="Calibri" w:cs="Calibri" w:eastAsia="Calibri" w:hAnsi="Calibri"/>
                <w:b/>
                <w:bCs/>
                <w:color w:val="FFFFFF"/>
                <w:sz w:val="20"/>
                <w:szCs w:val="20"/>
              </w:rPr>
              <w:t xml:space="preserve">Research gap</w:t>
            </w:r>
          </w:p>
        </w:tc>
        <w:tc>
          <w:tcPr>
            <w:tcW w:type="dxa" w:w="7838"/>
            <w:tcBorders>
              <w:top w:val="none" w:color="FFFFFF" w:sz="0"/>
              <w:left w:val="none" w:color="FFFFFF" w:sz="0"/>
              <w:bottom w:val="none" w:color="FFFFFF" w:sz="0"/>
              <w:right w:val="none" w:color="FFFFFF" w:sz="0"/>
            </w:tcBorders>
            <w:shd w:fill="F3F6F8" w:color="auto" w:val="clear"/>
            <w:tcMar>
              <w:top w:type="dxa" w:w="120"/>
              <w:left w:type="dxa" w:w="200"/>
              <w:bottom w:type="dxa" w:w="120"/>
              <w:right w:type="dxa" w:w="200"/>
            </w:tcMar>
            <w:vAlign w:val="center"/>
          </w:tcPr>
          <w:p>
            <w:pPr>
              <w:spacing w:line="276"/>
            </w:pPr>
            <w:r>
              <w:rPr>
                <w:rFonts w:ascii="Calibri" w:cs="Calibri" w:eastAsia="Calibri" w:hAnsi="Calibri"/>
                <w:color w:val="1F2A33"/>
                <w:sz w:val="21"/>
                <w:szCs w:val="21"/>
              </w:rPr>
              <w:t xml:space="preserve">Water quality is influenced by multiple environmental and hydrological factors, but studies differ considerably in which external variables they incorporate. Some approaches rely on a relatively limited set of explanatory variables.</w:t>
            </w:r>
          </w:p>
        </w:tc>
      </w:tr>
      <w:tr>
        <w:trPr>
          <w:cantSplit/>
        </w:trPr>
        <w:tc>
          <w:tcPr>
            <w:tcW w:type="dxa" w:w="1800"/>
            <w:tcBorders>
              <w:top w:val="none" w:color="FFFFFF" w:sz="0"/>
              <w:left w:val="none" w:color="FFFFFF" w:sz="0"/>
              <w:bottom w:val="none" w:color="FFFFFF" w:sz="0"/>
              <w:right w:val="none" w:color="FFFFFF" w:sz="0"/>
            </w:tcBorders>
            <w:shd w:fill="1B7F8C" w:color="auto" w:val="clear"/>
            <w:tcMar>
              <w:top w:type="dxa" w:w="100"/>
              <w:left w:type="dxa" w:w="160"/>
              <w:bottom w:type="dxa" w:w="100"/>
              <w:right w:type="dxa" w:w="120"/>
            </w:tcMar>
            <w:vAlign w:val="center"/>
          </w:tcPr>
          <w:p>
            <w:r>
              <w:rPr>
                <w:rFonts w:ascii="Calibri" w:cs="Calibri" w:eastAsia="Calibri" w:hAnsi="Calibri"/>
                <w:b/>
                <w:bCs/>
                <w:color w:val="FFFFFF"/>
                <w:sz w:val="20"/>
                <w:szCs w:val="20"/>
              </w:rPr>
              <w:t xml:space="preserve">Relevance to AQUA</w:t>
            </w:r>
          </w:p>
        </w:tc>
        <w:tc>
          <w:tcPr>
            <w:tcW w:type="dxa" w:w="7838"/>
            <w:tcBorders>
              <w:top w:val="none" w:color="FFFFFF" w:sz="0"/>
              <w:left w:val="none" w:color="FFFFFF" w:sz="0"/>
              <w:bottom w:val="none" w:color="FFFFFF" w:sz="0"/>
              <w:right w:val="none" w:color="FFFFFF" w:sz="0"/>
            </w:tcBorders>
            <w:shd w:fill="EAF4F6" w:color="auto" w:val="clear"/>
            <w:tcMar>
              <w:top w:type="dxa" w:w="120"/>
              <w:left w:type="dxa" w:w="200"/>
              <w:bottom w:type="dxa" w:w="120"/>
              <w:right w:type="dxa" w:w="200"/>
            </w:tcMar>
            <w:vAlign w:val="center"/>
          </w:tcPr>
          <w:p>
            <w:pPr>
              <w:spacing w:line="276"/>
            </w:pPr>
            <w:r>
              <w:rPr>
                <w:rFonts w:ascii="Calibri" w:cs="Calibri" w:eastAsia="Calibri" w:hAnsi="Calibri"/>
                <w:color w:val="1F2A33"/>
                <w:sz w:val="21"/>
                <w:szCs w:val="21"/>
              </w:rPr>
              <w:t xml:space="preserve">This supports investigating whether meteorological and hydrological information, such as weather and river discharge, can improve water-quality forecasting.</w:t>
            </w:r>
          </w:p>
        </w:tc>
      </w:tr>
    </w:tbl>
    <w:p>
      <w:pPr>
        <w:pStyle w:val="Heading1"/>
        <w:keepNext/>
        <w:pageBreakBefore/>
        <w:pBdr>
          <w:bottom w:val="single" w:color="1B7F8C" w:sz="8" w:space="4"/>
        </w:pBdr>
        <w:spacing w:after="160" w:before="420"/>
      </w:pPr>
      <w:r>
        <w:rPr>
          <w:rFonts w:ascii="Calibri" w:cs="Calibri" w:eastAsia="Calibri" w:hAnsi="Calibri"/>
          <w:b/>
          <w:bCs/>
          <w:color w:val="1B7F8C"/>
          <w:sz w:val="32"/>
          <w:szCs w:val="32"/>
        </w:rPr>
        <w:t xml:space="preserve">05  </w:t>
      </w:r>
      <w:r>
        <w:rPr>
          <w:rFonts w:ascii="Calibri" w:cs="Calibri" w:eastAsia="Calibri" w:hAnsi="Calibri"/>
          <w:b/>
          <w:bCs/>
          <w:color w:val="0B3C5D"/>
          <w:sz w:val="32"/>
          <w:szCs w:val="32"/>
        </w:rPr>
        <w:t xml:space="preserve">Explainability</w:t>
      </w:r>
    </w:p>
    <w:p>
      <w:pPr>
        <w:spacing w:after="120" w:line="288"/>
      </w:pPr>
      <w:r>
        <w:rPr>
          <w:rFonts w:ascii="Calibri" w:cs="Calibri" w:eastAsia="Calibri" w:hAnsi="Calibri"/>
          <w:color w:val="5F6B73"/>
          <w:sz w:val="22"/>
          <w:szCs w:val="22"/>
        </w:rPr>
        <w:t xml:space="preserve">Explainability is repeatedly addressed through:</w:t>
      </w:r>
    </w:p>
    <w:p>
      <w:pPr>
        <w:pStyle w:val="ListParagraph"/>
        <w:numPr>
          <w:ilvl w:val="0"/>
          <w:numId w:val="2"/>
        </w:numPr>
        <w:spacing w:after="50" w:line="276"/>
      </w:pPr>
      <w:r>
        <w:rPr>
          <w:rFonts w:ascii="Calibri" w:cs="Calibri" w:eastAsia="Calibri" w:hAnsi="Calibri"/>
          <w:color w:val="1F2A33"/>
          <w:sz w:val="22"/>
          <w:szCs w:val="22"/>
        </w:rPr>
        <w:t xml:space="preserve">SHAP</w:t>
      </w:r>
    </w:p>
    <w:p>
      <w:pPr>
        <w:pStyle w:val="ListParagraph"/>
        <w:numPr>
          <w:ilvl w:val="0"/>
          <w:numId w:val="2"/>
        </w:numPr>
        <w:spacing w:after="50" w:line="276"/>
      </w:pPr>
      <w:r>
        <w:rPr>
          <w:rFonts w:ascii="Calibri" w:cs="Calibri" w:eastAsia="Calibri" w:hAnsi="Calibri"/>
          <w:color w:val="1F2A33"/>
          <w:sz w:val="22"/>
          <w:szCs w:val="22"/>
        </w:rPr>
        <w:t xml:space="preserve">XAI</w:t>
      </w:r>
    </w:p>
    <w:p>
      <w:pPr>
        <w:pStyle w:val="ListParagraph"/>
        <w:numPr>
          <w:ilvl w:val="0"/>
          <w:numId w:val="2"/>
        </w:numPr>
        <w:spacing w:after="50" w:line="276"/>
      </w:pPr>
      <w:r>
        <w:rPr>
          <w:rFonts w:ascii="Calibri" w:cs="Calibri" w:eastAsia="Calibri" w:hAnsi="Calibri"/>
          <w:color w:val="1F2A33"/>
          <w:sz w:val="22"/>
          <w:szCs w:val="22"/>
        </w:rPr>
        <w:t xml:space="preserve">Feature importance</w:t>
      </w:r>
    </w:p>
    <w:p>
      <w:pPr>
        <w:pStyle w:val="ListParagraph"/>
        <w:numPr>
          <w:ilvl w:val="0"/>
          <w:numId w:val="2"/>
        </w:numPr>
        <w:spacing w:after="50" w:line="276"/>
      </w:pPr>
      <w:r>
        <w:rPr>
          <w:rFonts w:ascii="Calibri" w:cs="Calibri" w:eastAsia="Calibri" w:hAnsi="Calibri"/>
          <w:color w:val="1F2A33"/>
          <w:sz w:val="22"/>
          <w:szCs w:val="22"/>
        </w:rPr>
        <w:t xml:space="preserve">Interpretation of model predictions</w:t>
      </w:r>
    </w:p>
    <w:p>
      <w:pPr>
        <w:pStyle w:val="ListParagraph"/>
        <w:numPr>
          <w:ilvl w:val="0"/>
          <w:numId w:val="2"/>
        </w:numPr>
        <w:spacing w:after="50" w:line="276"/>
      </w:pPr>
      <w:r>
        <w:rPr>
          <w:rFonts w:ascii="Calibri" w:cs="Calibri" w:eastAsia="Calibri" w:hAnsi="Calibri"/>
          <w:color w:val="1F2A33"/>
          <w:sz w:val="22"/>
          <w:szCs w:val="22"/>
        </w:rPr>
        <w:t xml:space="preserve">Identification of influential environmental factors</w:t>
      </w:r>
    </w:p>
    <w:p>
      <w:pPr>
        <w:spacing w:after="0" w:before="160"/>
      </w:pPr>
    </w:p>
    <w:p>
      <w:pPr>
        <w:pStyle w:val="Heading2"/>
        <w:keepNext/>
      </w:pPr>
      <w:r>
        <w:rPr>
          <w:rFonts w:ascii="Calibri" w:cs="Calibri" w:eastAsia="Calibri" w:hAnsi="Calibri"/>
          <w:b/>
          <w:bCs/>
          <w:color w:val="1B7F8C"/>
          <w:spacing w:val="30"/>
          <w:sz w:val="18"/>
          <w:szCs w:val="18"/>
        </w:rPr>
        <w:t xml:space="preserve">KEY PAPERS</w:t>
      </w:r>
    </w:p>
    <w:p>
      <w:pPr>
        <w:pStyle w:val="ListParagraph"/>
        <w:numPr>
          <w:ilvl w:val="0"/>
          <w:numId w:val="3"/>
        </w:numPr>
        <w:spacing w:after="50" w:line="276"/>
      </w:pPr>
      <w:r>
        <w:rPr>
          <w:rFonts w:ascii="Calibri" w:cs="Calibri" w:eastAsia="Calibri" w:hAnsi="Calibri"/>
          <w:i/>
          <w:iCs/>
          <w:color w:val="5F6B73"/>
          <w:sz w:val="19"/>
          <w:szCs w:val="19"/>
        </w:rPr>
        <w:t xml:space="preserve">Coastal Water Quality Prediction Based on Machine Learning with Feature Interpretation and Spatio–Temporal Analysis</w:t>
      </w:r>
    </w:p>
    <w:p>
      <w:pPr>
        <w:pStyle w:val="ListParagraph"/>
        <w:numPr>
          <w:ilvl w:val="0"/>
          <w:numId w:val="3"/>
        </w:numPr>
        <w:spacing w:after="50" w:line="276"/>
      </w:pPr>
      <w:r>
        <w:rPr>
          <w:rFonts w:ascii="Calibri" w:cs="Calibri" w:eastAsia="Calibri" w:hAnsi="Calibri"/>
          <w:i/>
          <w:iCs/>
          <w:color w:val="5F6B73"/>
          <w:sz w:val="19"/>
          <w:szCs w:val="19"/>
        </w:rPr>
        <w:t xml:space="preserve">Predicting Stream Water Quality Under Different Urban Development Pattern Scenarios with an Interpretable Machine Learning Approach</w:t>
      </w:r>
    </w:p>
    <w:p>
      <w:pPr>
        <w:pStyle w:val="ListParagraph"/>
        <w:numPr>
          <w:ilvl w:val="0"/>
          <w:numId w:val="3"/>
        </w:numPr>
        <w:spacing w:after="50" w:line="276"/>
      </w:pPr>
      <w:r>
        <w:rPr>
          <w:rFonts w:ascii="Calibri" w:cs="Calibri" w:eastAsia="Calibri" w:hAnsi="Calibri"/>
          <w:i/>
          <w:iCs/>
          <w:color w:val="5F6B73"/>
          <w:sz w:val="19"/>
          <w:szCs w:val="19"/>
        </w:rPr>
        <w:t xml:space="preserve">AI for Water Sustainability: Global Water Quality Assessment and Prediction with Explainable AI with LLM Chatbot for Insights</w:t>
      </w:r>
    </w:p>
    <w:p>
      <w:pPr>
        <w:pStyle w:val="ListParagraph"/>
        <w:numPr>
          <w:ilvl w:val="0"/>
          <w:numId w:val="3"/>
        </w:numPr>
        <w:spacing w:after="50" w:line="276"/>
      </w:pPr>
      <w:r>
        <w:rPr>
          <w:rFonts w:ascii="Calibri" w:cs="Calibri" w:eastAsia="Calibri" w:hAnsi="Calibri"/>
          <w:i/>
          <w:iCs/>
          <w:color w:val="5F6B73"/>
          <w:sz w:val="19"/>
          <w:szCs w:val="19"/>
        </w:rPr>
        <w:t xml:space="preserve">Explainable Transfer Learning Framework for Water Quality Prediction in Data-Scarce Developing Regions</w:t>
      </w:r>
    </w:p>
    <w:p>
      <w:pPr>
        <w:pStyle w:val="ListParagraph"/>
        <w:numPr>
          <w:ilvl w:val="0"/>
          <w:numId w:val="3"/>
        </w:numPr>
        <w:spacing w:after="50" w:line="276"/>
      </w:pPr>
      <w:r>
        <w:rPr>
          <w:rFonts w:ascii="Calibri" w:cs="Calibri" w:eastAsia="Calibri" w:hAnsi="Calibri"/>
          <w:i/>
          <w:iCs/>
          <w:color w:val="5F6B73"/>
          <w:sz w:val="19"/>
          <w:szCs w:val="19"/>
        </w:rPr>
        <w:t xml:space="preserve">Machine Learning for Water Quality Prediction and Uncertainty Assessment</w:t>
      </w:r>
    </w:p>
    <w:p>
      <w:pPr>
        <w:pStyle w:val="ListParagraph"/>
        <w:numPr>
          <w:ilvl w:val="0"/>
          <w:numId w:val="3"/>
        </w:numPr>
        <w:spacing w:after="50" w:line="276"/>
      </w:pPr>
      <w:r>
        <w:rPr>
          <w:rFonts w:ascii="Calibri" w:cs="Calibri" w:eastAsia="Calibri" w:hAnsi="Calibri"/>
          <w:i/>
          <w:iCs/>
          <w:color w:val="5F6B73"/>
          <w:sz w:val="19"/>
          <w:szCs w:val="19"/>
        </w:rPr>
        <w:t xml:space="preserve">Evaluation of Water Quality Indexes with Novel Machine Learning and SHapley Additive ExPlanation (SHAP) Approaches</w:t>
      </w:r>
    </w:p>
    <w:p>
      <w:pPr>
        <w:pStyle w:val="ListParagraph"/>
        <w:numPr>
          <w:ilvl w:val="0"/>
          <w:numId w:val="3"/>
        </w:numPr>
        <w:spacing w:after="50" w:line="276"/>
      </w:pPr>
      <w:r>
        <w:rPr>
          <w:rFonts w:ascii="Calibri" w:cs="Calibri" w:eastAsia="Calibri" w:hAnsi="Calibri"/>
          <w:i/>
          <w:iCs/>
          <w:color w:val="5F6B73"/>
          <w:sz w:val="19"/>
          <w:szCs w:val="19"/>
        </w:rPr>
        <w:t xml:space="preserve">Advancing Water Quality Assessment and Prediction Using Machine Learning Models, Coupled with Explainable Artificial Intelligence (XAI) Techniques Like SHAP for Interpreting the Black-Box Nature</w:t>
      </w:r>
    </w:p>
    <w:p>
      <w:pPr>
        <w:pStyle w:val="ListParagraph"/>
        <w:numPr>
          <w:ilvl w:val="0"/>
          <w:numId w:val="3"/>
        </w:numPr>
        <w:spacing w:after="50" w:line="276"/>
      </w:pPr>
      <w:r>
        <w:rPr>
          <w:rFonts w:ascii="Calibri" w:cs="Calibri" w:eastAsia="Calibri" w:hAnsi="Calibri"/>
          <w:i/>
          <w:iCs/>
          <w:color w:val="5F6B73"/>
          <w:sz w:val="19"/>
          <w:szCs w:val="19"/>
        </w:rPr>
        <w:t xml:space="preserve">Estimating the Water Quality Index Based on Interpretable Machine Learning Models</w:t>
      </w:r>
    </w:p>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none" w:color="FFFFFF" w:sz="0"/>
              <w:left w:val="none" w:color="FFFFFF" w:sz="0"/>
              <w:bottom w:val="none" w:color="FFFFFF" w:sz="0"/>
              <w:right w:val="none" w:color="FFFFFF" w:sz="0"/>
            </w:tcBorders>
            <w:shd w:fill="0B3C5D" w:color="auto" w:val="clear"/>
            <w:tcMar>
              <w:top w:type="dxa" w:w="100"/>
              <w:left w:type="dxa" w:w="160"/>
              <w:bottom w:type="dxa" w:w="100"/>
              <w:right w:type="dxa" w:w="120"/>
            </w:tcMar>
            <w:vAlign w:val="center"/>
          </w:tcPr>
          <w:p>
            <w:r>
              <w:rPr>
                <w:rFonts w:ascii="Calibri" w:cs="Calibri" w:eastAsia="Calibri" w:hAnsi="Calibri"/>
                <w:b/>
                <w:bCs/>
                <w:color w:val="FFFFFF"/>
                <w:sz w:val="20"/>
                <w:szCs w:val="20"/>
              </w:rPr>
              <w:t xml:space="preserve">Research gap</w:t>
            </w:r>
          </w:p>
        </w:tc>
        <w:tc>
          <w:tcPr>
            <w:tcW w:type="dxa" w:w="7838"/>
            <w:tcBorders>
              <w:top w:val="none" w:color="FFFFFF" w:sz="0"/>
              <w:left w:val="none" w:color="FFFFFF" w:sz="0"/>
              <w:bottom w:val="none" w:color="FFFFFF" w:sz="0"/>
              <w:right w:val="none" w:color="FFFFFF" w:sz="0"/>
            </w:tcBorders>
            <w:shd w:fill="F3F6F8" w:color="auto" w:val="clear"/>
            <w:tcMar>
              <w:top w:type="dxa" w:w="120"/>
              <w:left w:type="dxa" w:w="200"/>
              <w:bottom w:type="dxa" w:w="120"/>
              <w:right w:type="dxa" w:w="200"/>
            </w:tcMar>
            <w:vAlign w:val="center"/>
          </w:tcPr>
          <w:p>
            <w:pPr>
              <w:spacing w:line="276"/>
            </w:pPr>
            <w:r>
              <w:rPr>
                <w:rFonts w:ascii="Calibri" w:cs="Calibri" w:eastAsia="Calibri" w:hAnsi="Calibri"/>
                <w:color w:val="1F2A33"/>
                <w:sz w:val="21"/>
                <w:szCs w:val="21"/>
              </w:rPr>
              <w:t xml:space="preserve">Recent studies increasingly move beyond predictive accuracy to understand which variables influence water-quality predictions. However, explainability is often treated as a separate component rather than being fully integrated with forecasting and operational early-warning systems.</w:t>
            </w:r>
          </w:p>
        </w:tc>
      </w:tr>
      <w:tr>
        <w:trPr>
          <w:cantSplit/>
        </w:trPr>
        <w:tc>
          <w:tcPr>
            <w:tcW w:type="dxa" w:w="1800"/>
            <w:tcBorders>
              <w:top w:val="none" w:color="FFFFFF" w:sz="0"/>
              <w:left w:val="none" w:color="FFFFFF" w:sz="0"/>
              <w:bottom w:val="none" w:color="FFFFFF" w:sz="0"/>
              <w:right w:val="none" w:color="FFFFFF" w:sz="0"/>
            </w:tcBorders>
            <w:shd w:fill="1B7F8C" w:color="auto" w:val="clear"/>
            <w:tcMar>
              <w:top w:type="dxa" w:w="100"/>
              <w:left w:type="dxa" w:w="160"/>
              <w:bottom w:type="dxa" w:w="100"/>
              <w:right w:type="dxa" w:w="120"/>
            </w:tcMar>
            <w:vAlign w:val="center"/>
          </w:tcPr>
          <w:p>
            <w:r>
              <w:rPr>
                <w:rFonts w:ascii="Calibri" w:cs="Calibri" w:eastAsia="Calibri" w:hAnsi="Calibri"/>
                <w:b/>
                <w:bCs/>
                <w:color w:val="FFFFFF"/>
                <w:sz w:val="20"/>
                <w:szCs w:val="20"/>
              </w:rPr>
              <w:t xml:space="preserve">Relevance to AQUA</w:t>
            </w:r>
          </w:p>
        </w:tc>
        <w:tc>
          <w:tcPr>
            <w:tcW w:type="dxa" w:w="7838"/>
            <w:tcBorders>
              <w:top w:val="none" w:color="FFFFFF" w:sz="0"/>
              <w:left w:val="none" w:color="FFFFFF" w:sz="0"/>
              <w:bottom w:val="none" w:color="FFFFFF" w:sz="0"/>
              <w:right w:val="none" w:color="FFFFFF" w:sz="0"/>
            </w:tcBorders>
            <w:shd w:fill="EAF4F6" w:color="auto" w:val="clear"/>
            <w:tcMar>
              <w:top w:type="dxa" w:w="120"/>
              <w:left w:type="dxa" w:w="200"/>
              <w:bottom w:type="dxa" w:w="120"/>
              <w:right w:type="dxa" w:w="200"/>
            </w:tcMar>
            <w:vAlign w:val="center"/>
          </w:tcPr>
          <w:p>
            <w:pPr>
              <w:spacing w:line="276"/>
            </w:pPr>
            <w:r>
              <w:rPr>
                <w:rFonts w:ascii="Calibri" w:cs="Calibri" w:eastAsia="Calibri" w:hAnsi="Calibri"/>
                <w:color w:val="1F2A33"/>
                <w:sz w:val="21"/>
                <w:szCs w:val="21"/>
              </w:rPr>
              <w:t xml:space="preserve">AQUA can incorporate explainability to identify the factors driving predictions and potential pollution warnings.</w:t>
            </w:r>
          </w:p>
        </w:tc>
      </w:tr>
    </w:tbl>
    <w:p>
      <w:pPr>
        <w:pStyle w:val="Heading1"/>
        <w:keepNext/>
        <w:pageBreakBefore/>
        <w:pBdr>
          <w:bottom w:val="single" w:color="1B7F8C" w:sz="8" w:space="4"/>
        </w:pBdr>
        <w:spacing w:after="160" w:before="420"/>
      </w:pPr>
      <w:r>
        <w:rPr>
          <w:rFonts w:ascii="Calibri" w:cs="Calibri" w:eastAsia="Calibri" w:hAnsi="Calibri"/>
          <w:b/>
          <w:bCs/>
          <w:color w:val="1B7F8C"/>
          <w:sz w:val="32"/>
          <w:szCs w:val="32"/>
        </w:rPr>
        <w:t xml:space="preserve">06  </w:t>
      </w:r>
      <w:r>
        <w:rPr>
          <w:rFonts w:ascii="Calibri" w:cs="Calibri" w:eastAsia="Calibri" w:hAnsi="Calibri"/>
          <w:b/>
          <w:bCs/>
          <w:color w:val="0B3C5D"/>
          <w:sz w:val="32"/>
          <w:szCs w:val="32"/>
        </w:rPr>
        <w:t xml:space="preserve">Early Warning / Anomaly Detection</w:t>
      </w:r>
    </w:p>
    <w:p>
      <w:pPr>
        <w:spacing w:after="120" w:line="288"/>
      </w:pPr>
      <w:r>
        <w:rPr>
          <w:rFonts w:ascii="Calibri" w:cs="Calibri" w:eastAsia="Calibri" w:hAnsi="Calibri"/>
          <w:color w:val="5F6B73"/>
          <w:sz w:val="22"/>
          <w:szCs w:val="22"/>
        </w:rPr>
        <w:t xml:space="preserve">The literature includes increasing interest in:</w:t>
      </w:r>
    </w:p>
    <w:p>
      <w:pPr>
        <w:pStyle w:val="ListParagraph"/>
        <w:numPr>
          <w:ilvl w:val="0"/>
          <w:numId w:val="2"/>
        </w:numPr>
        <w:spacing w:after="50" w:line="276"/>
      </w:pPr>
      <w:r>
        <w:rPr>
          <w:rFonts w:ascii="Calibri" w:cs="Calibri" w:eastAsia="Calibri" w:hAnsi="Calibri"/>
          <w:color w:val="1F2A33"/>
          <w:sz w:val="22"/>
          <w:szCs w:val="22"/>
        </w:rPr>
        <w:t xml:space="preserve">Water-quality anomaly detection</w:t>
      </w:r>
    </w:p>
    <w:p>
      <w:pPr>
        <w:pStyle w:val="ListParagraph"/>
        <w:numPr>
          <w:ilvl w:val="0"/>
          <w:numId w:val="2"/>
        </w:numPr>
        <w:spacing w:after="50" w:line="276"/>
      </w:pPr>
      <w:r>
        <w:rPr>
          <w:rFonts w:ascii="Calibri" w:cs="Calibri" w:eastAsia="Calibri" w:hAnsi="Calibri"/>
          <w:color w:val="1F2A33"/>
          <w:sz w:val="22"/>
          <w:szCs w:val="22"/>
        </w:rPr>
        <w:t xml:space="preserve">Real-time monitoring</w:t>
      </w:r>
    </w:p>
    <w:p>
      <w:pPr>
        <w:pStyle w:val="ListParagraph"/>
        <w:numPr>
          <w:ilvl w:val="0"/>
          <w:numId w:val="2"/>
        </w:numPr>
        <w:spacing w:after="50" w:line="276"/>
      </w:pPr>
      <w:r>
        <w:rPr>
          <w:rFonts w:ascii="Calibri" w:cs="Calibri" w:eastAsia="Calibri" w:hAnsi="Calibri"/>
          <w:color w:val="1F2A33"/>
          <w:sz w:val="22"/>
          <w:szCs w:val="22"/>
        </w:rPr>
        <w:t xml:space="preserve">Uncertainty and risk-aware monitoring</w:t>
      </w:r>
    </w:p>
    <w:p>
      <w:pPr>
        <w:pStyle w:val="ListParagraph"/>
        <w:numPr>
          <w:ilvl w:val="0"/>
          <w:numId w:val="2"/>
        </w:numPr>
        <w:spacing w:after="50" w:line="276"/>
      </w:pPr>
      <w:r>
        <w:rPr>
          <w:rFonts w:ascii="Calibri" w:cs="Calibri" w:eastAsia="Calibri" w:hAnsi="Calibri"/>
          <w:color w:val="1F2A33"/>
          <w:sz w:val="22"/>
          <w:szCs w:val="22"/>
        </w:rPr>
        <w:t xml:space="preserve">Operational early-warning systems</w:t>
      </w:r>
    </w:p>
    <w:p>
      <w:pPr>
        <w:pStyle w:val="ListParagraph"/>
        <w:numPr>
          <w:ilvl w:val="0"/>
          <w:numId w:val="2"/>
        </w:numPr>
        <w:spacing w:after="50" w:line="276"/>
      </w:pPr>
      <w:r>
        <w:rPr>
          <w:rFonts w:ascii="Calibri" w:cs="Calibri" w:eastAsia="Calibri" w:hAnsi="Calibri"/>
          <w:color w:val="1F2A33"/>
          <w:sz w:val="22"/>
          <w:szCs w:val="22"/>
        </w:rPr>
        <w:t xml:space="preserve">Detection of unusual pollution behaviour</w:t>
      </w:r>
    </w:p>
    <w:p>
      <w:pPr>
        <w:spacing w:after="0" w:before="160"/>
      </w:pPr>
    </w:p>
    <w:p>
      <w:pPr>
        <w:pStyle w:val="Heading2"/>
        <w:keepNext/>
      </w:pPr>
      <w:r>
        <w:rPr>
          <w:rFonts w:ascii="Calibri" w:cs="Calibri" w:eastAsia="Calibri" w:hAnsi="Calibri"/>
          <w:b/>
          <w:bCs/>
          <w:color w:val="1B7F8C"/>
          <w:spacing w:val="30"/>
          <w:sz w:val="18"/>
          <w:szCs w:val="18"/>
        </w:rPr>
        <w:t xml:space="preserve">KEY PAPERS</w:t>
      </w:r>
    </w:p>
    <w:p>
      <w:pPr>
        <w:pStyle w:val="ListParagraph"/>
        <w:numPr>
          <w:ilvl w:val="0"/>
          <w:numId w:val="3"/>
        </w:numPr>
        <w:spacing w:after="50" w:line="276"/>
      </w:pPr>
      <w:r>
        <w:rPr>
          <w:rFonts w:ascii="Calibri" w:cs="Calibri" w:eastAsia="Calibri" w:hAnsi="Calibri"/>
          <w:i/>
          <w:iCs/>
          <w:color w:val="5F6B73"/>
          <w:sz w:val="19"/>
          <w:szCs w:val="19"/>
        </w:rPr>
        <w:t xml:space="preserve">A Novel Operational Water Quality Mobile Prediction System with LSTM-Seq2Seq Model</w:t>
      </w:r>
    </w:p>
    <w:p>
      <w:pPr>
        <w:pStyle w:val="ListParagraph"/>
        <w:numPr>
          <w:ilvl w:val="0"/>
          <w:numId w:val="3"/>
        </w:numPr>
        <w:spacing w:after="50" w:line="276"/>
      </w:pPr>
      <w:r>
        <w:rPr>
          <w:rFonts w:ascii="Calibri" w:cs="Calibri" w:eastAsia="Calibri" w:hAnsi="Calibri"/>
          <w:i/>
          <w:iCs/>
          <w:color w:val="5F6B73"/>
          <w:sz w:val="19"/>
          <w:szCs w:val="19"/>
        </w:rPr>
        <w:t xml:space="preserve">Machine Learning for Water Quality Prediction and Uncertainty Assessment</w:t>
      </w:r>
    </w:p>
    <w:p>
      <w:pPr>
        <w:pStyle w:val="ListParagraph"/>
        <w:numPr>
          <w:ilvl w:val="0"/>
          <w:numId w:val="3"/>
        </w:numPr>
        <w:spacing w:after="50" w:line="276"/>
      </w:pPr>
      <w:r>
        <w:rPr>
          <w:rFonts w:ascii="Calibri" w:cs="Calibri" w:eastAsia="Calibri" w:hAnsi="Calibri"/>
          <w:i/>
          <w:iCs/>
          <w:color w:val="5F6B73"/>
          <w:sz w:val="19"/>
          <w:szCs w:val="19"/>
        </w:rPr>
        <w:t xml:space="preserve">Multivariate Functional Data Analysis and Machine Learning Methods for Anomaly Detection in Water Quality Sensor Data</w:t>
      </w:r>
    </w:p>
    <w:p>
      <w:pPr>
        <w:pStyle w:val="ListParagraph"/>
        <w:numPr>
          <w:ilvl w:val="0"/>
          <w:numId w:val="3"/>
        </w:numPr>
        <w:spacing w:after="50" w:line="276"/>
      </w:pPr>
      <w:r>
        <w:rPr>
          <w:rFonts w:ascii="Calibri" w:cs="Calibri" w:eastAsia="Calibri" w:hAnsi="Calibri"/>
          <w:i/>
          <w:iCs/>
          <w:color w:val="5F6B73"/>
          <w:sz w:val="19"/>
          <w:szCs w:val="19"/>
        </w:rPr>
        <w:t xml:space="preserve">An Intelligent, Low-Cost Water Quality Monitoring System with On-Device Machine Learning and Cloud Integration</w:t>
      </w:r>
    </w:p>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none" w:color="FFFFFF" w:sz="0"/>
              <w:left w:val="none" w:color="FFFFFF" w:sz="0"/>
              <w:bottom w:val="none" w:color="FFFFFF" w:sz="0"/>
              <w:right w:val="none" w:color="FFFFFF" w:sz="0"/>
            </w:tcBorders>
            <w:shd w:fill="0B3C5D" w:color="auto" w:val="clear"/>
            <w:tcMar>
              <w:top w:type="dxa" w:w="100"/>
              <w:left w:type="dxa" w:w="160"/>
              <w:bottom w:type="dxa" w:w="100"/>
              <w:right w:type="dxa" w:w="120"/>
            </w:tcMar>
            <w:vAlign w:val="center"/>
          </w:tcPr>
          <w:p>
            <w:r>
              <w:rPr>
                <w:rFonts w:ascii="Calibri" w:cs="Calibri" w:eastAsia="Calibri" w:hAnsi="Calibri"/>
                <w:b/>
                <w:bCs/>
                <w:color w:val="FFFFFF"/>
                <w:sz w:val="20"/>
                <w:szCs w:val="20"/>
              </w:rPr>
              <w:t xml:space="preserve">Research gap</w:t>
            </w:r>
          </w:p>
        </w:tc>
        <w:tc>
          <w:tcPr>
            <w:tcW w:type="dxa" w:w="7838"/>
            <w:tcBorders>
              <w:top w:val="none" w:color="FFFFFF" w:sz="0"/>
              <w:left w:val="none" w:color="FFFFFF" w:sz="0"/>
              <w:bottom w:val="none" w:color="FFFFFF" w:sz="0"/>
              <w:right w:val="none" w:color="FFFFFF" w:sz="0"/>
            </w:tcBorders>
            <w:shd w:fill="F3F6F8" w:color="auto" w:val="clear"/>
            <w:tcMar>
              <w:top w:type="dxa" w:w="120"/>
              <w:left w:type="dxa" w:w="200"/>
              <w:bottom w:type="dxa" w:w="120"/>
              <w:right w:type="dxa" w:w="200"/>
            </w:tcMar>
            <w:vAlign w:val="center"/>
          </w:tcPr>
          <w:p>
            <w:pPr>
              <w:spacing w:line="276"/>
            </w:pPr>
            <w:r>
              <w:rPr>
                <w:rFonts w:ascii="Calibri" w:cs="Calibri" w:eastAsia="Calibri" w:hAnsi="Calibri"/>
                <w:color w:val="1F2A33"/>
                <w:sz w:val="21"/>
                <w:szCs w:val="21"/>
              </w:rPr>
              <w:t xml:space="preserve">Anomaly detection and early-warning capabilities are increasingly being explored, but they are often addressed separately from broader spatial-temporal water-quality forecasting.</w:t>
            </w:r>
          </w:p>
        </w:tc>
      </w:tr>
      <w:tr>
        <w:trPr>
          <w:cantSplit/>
        </w:trPr>
        <w:tc>
          <w:tcPr>
            <w:tcW w:type="dxa" w:w="1800"/>
            <w:tcBorders>
              <w:top w:val="none" w:color="FFFFFF" w:sz="0"/>
              <w:left w:val="none" w:color="FFFFFF" w:sz="0"/>
              <w:bottom w:val="none" w:color="FFFFFF" w:sz="0"/>
              <w:right w:val="none" w:color="FFFFFF" w:sz="0"/>
            </w:tcBorders>
            <w:shd w:fill="1B7F8C" w:color="auto" w:val="clear"/>
            <w:tcMar>
              <w:top w:type="dxa" w:w="100"/>
              <w:left w:type="dxa" w:w="160"/>
              <w:bottom w:type="dxa" w:w="100"/>
              <w:right w:type="dxa" w:w="120"/>
            </w:tcMar>
            <w:vAlign w:val="center"/>
          </w:tcPr>
          <w:p>
            <w:r>
              <w:rPr>
                <w:rFonts w:ascii="Calibri" w:cs="Calibri" w:eastAsia="Calibri" w:hAnsi="Calibri"/>
                <w:b/>
                <w:bCs/>
                <w:color w:val="FFFFFF"/>
                <w:sz w:val="20"/>
                <w:szCs w:val="20"/>
              </w:rPr>
              <w:t xml:space="preserve">Relevance to AQUA</w:t>
            </w:r>
          </w:p>
        </w:tc>
        <w:tc>
          <w:tcPr>
            <w:tcW w:type="dxa" w:w="7838"/>
            <w:tcBorders>
              <w:top w:val="none" w:color="FFFFFF" w:sz="0"/>
              <w:left w:val="none" w:color="FFFFFF" w:sz="0"/>
              <w:bottom w:val="none" w:color="FFFFFF" w:sz="0"/>
              <w:right w:val="none" w:color="FFFFFF" w:sz="0"/>
            </w:tcBorders>
            <w:shd w:fill="EAF4F6" w:color="auto" w:val="clear"/>
            <w:tcMar>
              <w:top w:type="dxa" w:w="120"/>
              <w:left w:type="dxa" w:w="200"/>
              <w:bottom w:type="dxa" w:w="120"/>
              <w:right w:type="dxa" w:w="200"/>
            </w:tcMar>
            <w:vAlign w:val="center"/>
          </w:tcPr>
          <w:p>
            <w:pPr>
              <w:spacing w:line="276"/>
            </w:pPr>
            <w:r>
              <w:rPr>
                <w:rFonts w:ascii="Calibri" w:cs="Calibri" w:eastAsia="Calibri" w:hAnsi="Calibri"/>
                <w:color w:val="1F2A33"/>
                <w:sz w:val="21"/>
                <w:szCs w:val="21"/>
              </w:rPr>
              <w:t xml:space="preserve">This supports extending water-quality forecasting into an early-warning framework that can identify unusual pollution behaviour or predicted threshold breaches.</w:t>
            </w:r>
          </w:p>
        </w:tc>
      </w:tr>
    </w:tbl>
    <w:p>
      <w:pPr>
        <w:pStyle w:val="Heading1"/>
        <w:keepNext/>
        <w:pBdr>
          <w:bottom w:val="single" w:color="1B7F8C" w:sz="8" w:space="4"/>
        </w:pBdr>
        <w:spacing w:after="160" w:before="420"/>
      </w:pPr>
      <w:r>
        <w:rPr>
          <w:rFonts w:ascii="Calibri" w:cs="Calibri" w:eastAsia="Calibri" w:hAnsi="Calibri"/>
          <w:b/>
          <w:bCs/>
          <w:color w:val="1B7F8C"/>
          <w:sz w:val="32"/>
          <w:szCs w:val="32"/>
        </w:rPr>
        <w:t xml:space="preserve">★  </w:t>
      </w:r>
      <w:r>
        <w:rPr>
          <w:rFonts w:ascii="Calibri" w:cs="Calibri" w:eastAsia="Calibri" w:hAnsi="Calibri"/>
          <w:b/>
          <w:bCs/>
          <w:color w:val="0B3C5D"/>
          <w:sz w:val="32"/>
          <w:szCs w:val="32"/>
        </w:rPr>
        <w:t xml:space="preserve">Overall Literature Synthesis</w:t>
      </w:r>
    </w:p>
    <w:p>
      <w:pPr>
        <w:spacing w:after="120" w:line="288"/>
      </w:pPr>
      <w:r>
        <w:rPr>
          <w:rFonts w:ascii="Calibri" w:cs="Calibri" w:eastAsia="Calibri" w:hAnsi="Calibri"/>
          <w:color w:val="1F2A33"/>
          <w:sz w:val="22"/>
          <w:szCs w:val="22"/>
        </w:rPr>
        <w:t xml:space="preserve">Across the reviewed literature, the recurring challenges are not limited to improving prediction accuracy. The studies repeatedly highlight difficulties in:</w:t>
      </w:r>
    </w:p>
    <w:p>
      <w:pPr>
        <w:pStyle w:val="ListParagraph"/>
        <w:numPr>
          <w:ilvl w:val="0"/>
          <w:numId w:val="2"/>
        </w:numPr>
        <w:spacing w:after="50" w:line="276"/>
      </w:pPr>
      <w:r>
        <w:rPr>
          <w:rFonts w:ascii="Calibri" w:cs="Calibri" w:eastAsia="Calibri" w:hAnsi="Calibri"/>
          <w:color w:val="1F2A33"/>
          <w:sz w:val="22"/>
          <w:szCs w:val="22"/>
        </w:rPr>
        <w:t xml:space="preserve">Handling sparse and uneven monitoring data</w:t>
      </w:r>
    </w:p>
    <w:p>
      <w:pPr>
        <w:pStyle w:val="ListParagraph"/>
        <w:numPr>
          <w:ilvl w:val="0"/>
          <w:numId w:val="2"/>
        </w:numPr>
        <w:spacing w:after="50" w:line="276"/>
      </w:pPr>
      <w:r>
        <w:rPr>
          <w:rFonts w:ascii="Calibri" w:cs="Calibri" w:eastAsia="Calibri" w:hAnsi="Calibri"/>
          <w:color w:val="1F2A33"/>
          <w:sz w:val="22"/>
          <w:szCs w:val="22"/>
        </w:rPr>
        <w:t xml:space="preserve">Generalizing predictions to unseen monitoring stations</w:t>
      </w:r>
    </w:p>
    <w:p>
      <w:pPr>
        <w:pStyle w:val="ListParagraph"/>
        <w:numPr>
          <w:ilvl w:val="0"/>
          <w:numId w:val="2"/>
        </w:numPr>
        <w:spacing w:after="50" w:line="276"/>
      </w:pPr>
      <w:r>
        <w:rPr>
          <w:rFonts w:ascii="Calibri" w:cs="Calibri" w:eastAsia="Calibri" w:hAnsi="Calibri"/>
          <w:color w:val="1F2A33"/>
          <w:sz w:val="22"/>
          <w:szCs w:val="22"/>
        </w:rPr>
        <w:t xml:space="preserve">Jointly modelling spatial and temporal dependencies</w:t>
      </w:r>
    </w:p>
    <w:p>
      <w:pPr>
        <w:pStyle w:val="ListParagraph"/>
        <w:numPr>
          <w:ilvl w:val="0"/>
          <w:numId w:val="2"/>
        </w:numPr>
        <w:spacing w:after="50" w:line="276"/>
      </w:pPr>
      <w:r>
        <w:rPr>
          <w:rFonts w:ascii="Calibri" w:cs="Calibri" w:eastAsia="Calibri" w:hAnsi="Calibri"/>
          <w:color w:val="1F2A33"/>
          <w:sz w:val="22"/>
          <w:szCs w:val="22"/>
        </w:rPr>
        <w:t xml:space="preserve">Integrating environmental and hydrological variables</w:t>
      </w:r>
    </w:p>
    <w:p>
      <w:pPr>
        <w:pStyle w:val="ListParagraph"/>
        <w:numPr>
          <w:ilvl w:val="0"/>
          <w:numId w:val="2"/>
        </w:numPr>
        <w:spacing w:after="50" w:line="276"/>
      </w:pPr>
      <w:r>
        <w:rPr>
          <w:rFonts w:ascii="Calibri" w:cs="Calibri" w:eastAsia="Calibri" w:hAnsi="Calibri"/>
          <w:color w:val="1F2A33"/>
          <w:sz w:val="22"/>
          <w:szCs w:val="22"/>
        </w:rPr>
        <w:t xml:space="preserve">Providing interpretable predictions</w:t>
      </w:r>
    </w:p>
    <w:p>
      <w:pPr>
        <w:pStyle w:val="ListParagraph"/>
        <w:numPr>
          <w:ilvl w:val="0"/>
          <w:numId w:val="2"/>
        </w:numPr>
        <w:spacing w:after="50" w:line="276"/>
      </w:pPr>
      <w:r>
        <w:rPr>
          <w:rFonts w:ascii="Calibri" w:cs="Calibri" w:eastAsia="Calibri" w:hAnsi="Calibri"/>
          <w:color w:val="1F2A33"/>
          <w:sz w:val="22"/>
          <w:szCs w:val="22"/>
        </w:rPr>
        <w:t xml:space="preserve">Connecting prediction models with anomaly detection and early-warning systems</w:t>
      </w:r>
    </w:p>
    <w:p>
      <w:pPr>
        <w:spacing w:after="120" w:before="120"/>
      </w:pPr>
      <w:r>
        <w:rPr>
          <w:rFonts w:ascii="Calibri" w:cs="Calibri" w:eastAsia="Calibri" w:hAnsi="Calibri"/>
          <w:b/>
          <w:bCs/>
          <w:color w:val="1F2A33"/>
          <w:sz w:val="22"/>
          <w:szCs w:val="22"/>
        </w:rPr>
        <w:t xml:space="preserve">These recurring themes provide a strong basis for the research direction of AQUA.</w:t>
      </w:r>
    </w:p>
    <w:p>
      <w:pPr>
        <w:pStyle w:val="Heading1"/>
        <w:keepNext/>
        <w:pageBreakBefore/>
        <w:pBdr>
          <w:bottom w:val="single" w:color="1B7F8C" w:sz="8" w:space="4"/>
        </w:pBdr>
        <w:spacing w:after="160" w:before="420"/>
      </w:pPr>
      <w:r>
        <w:rPr>
          <w:rFonts w:ascii="Calibri" w:cs="Calibri" w:eastAsia="Calibri" w:hAnsi="Calibri"/>
          <w:b/>
          <w:bCs/>
          <w:color w:val="1B7F8C"/>
          <w:sz w:val="32"/>
          <w:szCs w:val="32"/>
        </w:rPr>
        <w:t xml:space="preserve">→  </w:t>
      </w:r>
      <w:r>
        <w:rPr>
          <w:rFonts w:ascii="Calibri" w:cs="Calibri" w:eastAsia="Calibri" w:hAnsi="Calibri"/>
          <w:b/>
          <w:bCs/>
          <w:color w:val="0B3C5D"/>
          <w:sz w:val="32"/>
          <w:szCs w:val="32"/>
        </w:rPr>
        <w:t xml:space="preserve">Potential Research Direction for AQUA</w:t>
      </w:r>
    </w:p>
    <w:p>
      <w:pPr>
        <w:spacing w:after="120" w:line="288"/>
      </w:pPr>
      <w:r>
        <w:rPr>
          <w:rFonts w:ascii="Calibri" w:cs="Calibri" w:eastAsia="Calibri" w:hAnsi="Calibri"/>
          <w:color w:val="1F2A33"/>
          <w:sz w:val="22"/>
          <w:szCs w:val="22"/>
        </w:rPr>
        <w:t xml:space="preserve">AQUA can investigate an integrated framework for water-quality forecasting and early warning that combines: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single" w:color="1B7F8C" w:sz="24"/>
              <w:left w:val="single" w:color="FFFFFF" w:sz="12"/>
              <w:bottom w:val="none" w:color="FFFFFF" w:sz="0"/>
              <w:right w:val="single" w:color="FFFFFF" w:sz="12"/>
            </w:tcBorders>
            <w:shd w:fill="EAF4F6" w:color="auto" w:val="clear"/>
            <w:tcMar>
              <w:top w:type="dxa" w:w="140"/>
              <w:left w:type="dxa" w:w="160"/>
              <w:bottom w:type="dxa" w:w="140"/>
              <w:right w:type="dxa" w:w="160"/>
            </w:tcMar>
          </w:tcPr>
          <w:p>
            <w:pPr>
              <w:spacing w:after="40"/>
            </w:pPr>
            <w:r>
              <w:rPr>
                <w:rFonts w:ascii="Calibri" w:cs="Calibri" w:eastAsia="Calibri" w:hAnsi="Calibri"/>
                <w:b/>
                <w:bCs/>
                <w:color w:val="1B7F8C"/>
                <w:sz w:val="26"/>
                <w:szCs w:val="26"/>
              </w:rPr>
              <w:t xml:space="preserve">01</w:t>
            </w:r>
          </w:p>
          <w:p>
            <w:pPr>
              <w:spacing w:line="259"/>
            </w:pPr>
            <w:r>
              <w:rPr>
                <w:rFonts w:ascii="Calibri" w:cs="Calibri" w:eastAsia="Calibri" w:hAnsi="Calibri"/>
                <w:b/>
                <w:bCs/>
                <w:color w:val="0B3C5D"/>
                <w:sz w:val="21"/>
                <w:szCs w:val="21"/>
              </w:rPr>
              <w:t xml:space="preserve">Water-quality data</w:t>
            </w:r>
          </w:p>
        </w:tc>
        <w:tc>
          <w:tcPr>
            <w:tcW w:type="dxa" w:w="3212"/>
            <w:tcBorders>
              <w:top w:val="single" w:color="1B7F8C" w:sz="24"/>
              <w:left w:val="single" w:color="FFFFFF" w:sz="12"/>
              <w:bottom w:val="none" w:color="FFFFFF" w:sz="0"/>
              <w:right w:val="single" w:color="FFFFFF" w:sz="12"/>
            </w:tcBorders>
            <w:shd w:fill="EAF4F6" w:color="auto" w:val="clear"/>
            <w:tcMar>
              <w:top w:type="dxa" w:w="140"/>
              <w:left w:type="dxa" w:w="160"/>
              <w:bottom w:type="dxa" w:w="140"/>
              <w:right w:type="dxa" w:w="160"/>
            </w:tcMar>
          </w:tcPr>
          <w:p>
            <w:pPr>
              <w:spacing w:after="40"/>
            </w:pPr>
            <w:r>
              <w:rPr>
                <w:rFonts w:ascii="Calibri" w:cs="Calibri" w:eastAsia="Calibri" w:hAnsi="Calibri"/>
                <w:b/>
                <w:bCs/>
                <w:color w:val="1B7F8C"/>
                <w:sz w:val="26"/>
                <w:szCs w:val="26"/>
              </w:rPr>
              <w:t xml:space="preserve">02</w:t>
            </w:r>
          </w:p>
          <w:p>
            <w:pPr>
              <w:spacing w:line="259"/>
            </w:pPr>
            <w:r>
              <w:rPr>
                <w:rFonts w:ascii="Calibri" w:cs="Calibri" w:eastAsia="Calibri" w:hAnsi="Calibri"/>
                <w:b/>
                <w:bCs/>
                <w:color w:val="0B3C5D"/>
                <w:sz w:val="21"/>
                <w:szCs w:val="21"/>
              </w:rPr>
              <w:t xml:space="preserve">Meteorological and hydrological variables</w:t>
            </w:r>
          </w:p>
        </w:tc>
        <w:tc>
          <w:tcPr>
            <w:tcW w:type="dxa" w:w="3212"/>
            <w:tcBorders>
              <w:top w:val="single" w:color="1B7F8C" w:sz="24"/>
              <w:left w:val="single" w:color="FFFFFF" w:sz="12"/>
              <w:bottom w:val="none" w:color="FFFFFF" w:sz="0"/>
              <w:right w:val="single" w:color="FFFFFF" w:sz="12"/>
            </w:tcBorders>
            <w:shd w:fill="EAF4F6" w:color="auto" w:val="clear"/>
            <w:tcMar>
              <w:top w:type="dxa" w:w="140"/>
              <w:left w:type="dxa" w:w="160"/>
              <w:bottom w:type="dxa" w:w="140"/>
              <w:right w:type="dxa" w:w="160"/>
            </w:tcMar>
          </w:tcPr>
          <w:p>
            <w:pPr>
              <w:spacing w:after="40"/>
            </w:pPr>
            <w:r>
              <w:rPr>
                <w:rFonts w:ascii="Calibri" w:cs="Calibri" w:eastAsia="Calibri" w:hAnsi="Calibri"/>
                <w:b/>
                <w:bCs/>
                <w:color w:val="1B7F8C"/>
                <w:sz w:val="26"/>
                <w:szCs w:val="26"/>
              </w:rPr>
              <w:t xml:space="preserve">03</w:t>
            </w:r>
          </w:p>
          <w:p>
            <w:pPr>
              <w:spacing w:line="259"/>
            </w:pPr>
            <w:r>
              <w:rPr>
                <w:rFonts w:ascii="Calibri" w:cs="Calibri" w:eastAsia="Calibri" w:hAnsi="Calibri"/>
                <w:b/>
                <w:bCs/>
                <w:color w:val="0B3C5D"/>
                <w:sz w:val="21"/>
                <w:szCs w:val="21"/>
              </w:rPr>
              <w:t xml:space="preserve">Temporal forecasting</w:t>
            </w:r>
          </w:p>
        </w:tc>
      </w:tr>
      <w:tr>
        <w:trPr>
          <w:trHeight w:val="100" w:hRule="exact"/>
        </w:trPr>
        <w:tc>
          <w:tcPr>
            <w:tcW w:type="dxa" w:w="3212"/>
            <w:tcBorders>
              <w:top w:val="none" w:color="FFFFFF" w:sz="0"/>
              <w:left w:val="none" w:color="FFFFFF" w:sz="0"/>
              <w:bottom w:val="none" w:color="FFFFFF" w:sz="0"/>
              <w:right w:val="none" w:color="FFFFFF" w:sz="0"/>
            </w:tcBorders>
          </w:tcPr>
          <w:p/>
        </w:tc>
        <w:tc>
          <w:tcPr>
            <w:tcW w:type="dxa" w:w="3212"/>
            <w:tcBorders>
              <w:top w:val="none" w:color="FFFFFF" w:sz="0"/>
              <w:left w:val="none" w:color="FFFFFF" w:sz="0"/>
              <w:bottom w:val="none" w:color="FFFFFF" w:sz="0"/>
              <w:right w:val="none" w:color="FFFFFF" w:sz="0"/>
            </w:tcBorders>
          </w:tcPr>
          <w:p/>
        </w:tc>
        <w:tc>
          <w:tcPr>
            <w:tcW w:type="dxa" w:w="3212"/>
            <w:tcBorders>
              <w:top w:val="none" w:color="FFFFFF" w:sz="0"/>
              <w:left w:val="none" w:color="FFFFFF" w:sz="0"/>
              <w:bottom w:val="none" w:color="FFFFFF" w:sz="0"/>
              <w:right w:val="none" w:color="FFFFFF" w:sz="0"/>
            </w:tcBorders>
          </w:tcPr>
          <w:p/>
        </w:tc>
      </w:tr>
      <w:tr>
        <w:trPr>
          <w:cantSplit/>
        </w:trPr>
        <w:tc>
          <w:tcPr>
            <w:tcW w:type="dxa" w:w="3212"/>
            <w:tcBorders>
              <w:top w:val="single" w:color="1B7F8C" w:sz="24"/>
              <w:left w:val="single" w:color="FFFFFF" w:sz="12"/>
              <w:bottom w:val="none" w:color="FFFFFF" w:sz="0"/>
              <w:right w:val="single" w:color="FFFFFF" w:sz="12"/>
            </w:tcBorders>
            <w:shd w:fill="EAF4F6" w:color="auto" w:val="clear"/>
            <w:tcMar>
              <w:top w:type="dxa" w:w="140"/>
              <w:left w:type="dxa" w:w="160"/>
              <w:bottom w:type="dxa" w:w="140"/>
              <w:right w:type="dxa" w:w="160"/>
            </w:tcMar>
          </w:tcPr>
          <w:p>
            <w:pPr>
              <w:spacing w:after="40"/>
            </w:pPr>
            <w:r>
              <w:rPr>
                <w:rFonts w:ascii="Calibri" w:cs="Calibri" w:eastAsia="Calibri" w:hAnsi="Calibri"/>
                <w:b/>
                <w:bCs/>
                <w:color w:val="1B7F8C"/>
                <w:sz w:val="26"/>
                <w:szCs w:val="26"/>
              </w:rPr>
              <w:t xml:space="preserve">04</w:t>
            </w:r>
          </w:p>
          <w:p>
            <w:pPr>
              <w:spacing w:line="259"/>
            </w:pPr>
            <w:r>
              <w:rPr>
                <w:rFonts w:ascii="Calibri" w:cs="Calibri" w:eastAsia="Calibri" w:hAnsi="Calibri"/>
                <w:b/>
                <w:bCs/>
                <w:color w:val="0B3C5D"/>
                <w:sz w:val="21"/>
                <w:szCs w:val="21"/>
              </w:rPr>
              <w:t xml:space="preserve">Spatial generalization across monitoring stations</w:t>
            </w:r>
          </w:p>
        </w:tc>
        <w:tc>
          <w:tcPr>
            <w:tcW w:type="dxa" w:w="3212"/>
            <w:tcBorders>
              <w:top w:val="single" w:color="1B7F8C" w:sz="24"/>
              <w:left w:val="single" w:color="FFFFFF" w:sz="12"/>
              <w:bottom w:val="none" w:color="FFFFFF" w:sz="0"/>
              <w:right w:val="single" w:color="FFFFFF" w:sz="12"/>
            </w:tcBorders>
            <w:shd w:fill="EAF4F6" w:color="auto" w:val="clear"/>
            <w:tcMar>
              <w:top w:type="dxa" w:w="140"/>
              <w:left w:type="dxa" w:w="160"/>
              <w:bottom w:type="dxa" w:w="140"/>
              <w:right w:type="dxa" w:w="160"/>
            </w:tcMar>
          </w:tcPr>
          <w:p>
            <w:pPr>
              <w:spacing w:after="40"/>
            </w:pPr>
            <w:r>
              <w:rPr>
                <w:rFonts w:ascii="Calibri" w:cs="Calibri" w:eastAsia="Calibri" w:hAnsi="Calibri"/>
                <w:b/>
                <w:bCs/>
                <w:color w:val="1B7F8C"/>
                <w:sz w:val="26"/>
                <w:szCs w:val="26"/>
              </w:rPr>
              <w:t xml:space="preserve">05</w:t>
            </w:r>
          </w:p>
          <w:p>
            <w:pPr>
              <w:spacing w:line="259"/>
            </w:pPr>
            <w:r>
              <w:rPr>
                <w:rFonts w:ascii="Calibri" w:cs="Calibri" w:eastAsia="Calibri" w:hAnsi="Calibri"/>
                <w:b/>
                <w:bCs/>
                <w:color w:val="0B3C5D"/>
                <w:sz w:val="21"/>
                <w:szCs w:val="21"/>
              </w:rPr>
              <w:t xml:space="preserve">Explainable ML</w:t>
            </w:r>
          </w:p>
        </w:tc>
        <w:tc>
          <w:tcPr>
            <w:tcW w:type="dxa" w:w="3212"/>
            <w:tcBorders>
              <w:top w:val="single" w:color="1B7F8C" w:sz="24"/>
              <w:left w:val="single" w:color="FFFFFF" w:sz="12"/>
              <w:bottom w:val="none" w:color="FFFFFF" w:sz="0"/>
              <w:right w:val="single" w:color="FFFFFF" w:sz="12"/>
            </w:tcBorders>
            <w:shd w:fill="EAF4F6" w:color="auto" w:val="clear"/>
            <w:tcMar>
              <w:top w:type="dxa" w:w="140"/>
              <w:left w:type="dxa" w:w="160"/>
              <w:bottom w:type="dxa" w:w="140"/>
              <w:right w:type="dxa" w:w="160"/>
            </w:tcMar>
          </w:tcPr>
          <w:p>
            <w:pPr>
              <w:spacing w:after="40"/>
            </w:pPr>
            <w:r>
              <w:rPr>
                <w:rFonts w:ascii="Calibri" w:cs="Calibri" w:eastAsia="Calibri" w:hAnsi="Calibri"/>
                <w:b/>
                <w:bCs/>
                <w:color w:val="1B7F8C"/>
                <w:sz w:val="26"/>
                <w:szCs w:val="26"/>
              </w:rPr>
              <w:t xml:space="preserve">06</w:t>
            </w:r>
          </w:p>
          <w:p>
            <w:pPr>
              <w:spacing w:line="259"/>
            </w:pPr>
            <w:r>
              <w:rPr>
                <w:rFonts w:ascii="Calibri" w:cs="Calibri" w:eastAsia="Calibri" w:hAnsi="Calibri"/>
                <w:b/>
                <w:bCs/>
                <w:color w:val="0B3C5D"/>
                <w:sz w:val="21"/>
                <w:szCs w:val="21"/>
              </w:rPr>
              <w:t xml:space="preserve">Anomaly / early-warning detection</w:t>
            </w:r>
          </w:p>
        </w:tc>
      </w:tr>
    </w:tbl>
    <w:p>
      <w:pPr>
        <w:spacing w:after="0" w:before="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3C5D" w:color="auto" w:val="clear"/>
            <w:tcMar>
              <w:top w:type="dxa" w:w="240"/>
              <w:left w:type="dxa" w:w="320"/>
              <w:bottom w:type="dxa" w:w="240"/>
              <w:right w:type="dxa" w:w="320"/>
            </w:tcMar>
          </w:tcPr>
          <w:p>
            <w:pPr>
              <w:spacing w:after="80"/>
            </w:pPr>
            <w:r>
              <w:rPr>
                <w:rFonts w:ascii="Calibri" w:cs="Calibri" w:eastAsia="Calibri" w:hAnsi="Calibri"/>
                <w:b/>
                <w:bCs/>
                <w:color w:val="8FD3DC"/>
                <w:spacing w:val="50"/>
                <w:sz w:val="18"/>
                <w:szCs w:val="18"/>
              </w:rPr>
              <w:t xml:space="preserve">THE BIGGER PICTURE</w:t>
            </w:r>
          </w:p>
          <w:p>
            <w:pPr>
              <w:spacing w:line="300"/>
            </w:pPr>
            <w:r>
              <w:rPr>
                <w:rFonts w:ascii="Calibri" w:cs="Calibri" w:eastAsia="Calibri" w:hAnsi="Calibri"/>
                <w:color w:val="FFFFFF"/>
                <w:sz w:val="25"/>
                <w:szCs w:val="25"/>
              </w:rPr>
              <w:t xml:space="preserve">This would allow AQUA to move beyond simply predicting water-quality values towards understanding where, when and why water-quality deterioration may occur.</w:t>
            </w:r>
          </w:p>
        </w:tc>
      </w:tr>
    </w:tbl>
    <w:sectPr>
      <w:headerReference w:type="default" r:id="rId7"/>
      <w:footerReference w:type="default" r:id="rId8"/>
      <w:pgSz w:w="11906" w:h="16838" w:orient="portrait"/>
      <w:pgMar w:top="1300" w:right="1134" w:bottom="1200" w:left="1134"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3"/>
        <w:sz w:val="18"/>
        <w:szCs w:val="18"/>
      </w:rPr>
      <w:t xml:space="preserve">Page </w:t>
    </w:r>
    <w:r>
      <w:rPr>
        <w:rFonts w:ascii="Calibri" w:cs="Calibri" w:eastAsia="Calibri" w:hAnsi="Calibri"/>
        <w:color w:val="5F6B73"/>
        <w:sz w:val="18"/>
        <w:szCs w:val="18"/>
      </w:rPr>
      <w:fldChar w:fldCharType="begin"/>
      <w:instrText xml:space="preserve">PAGE</w:instrText>
      <w:fldChar w:fldCharType="separate"/>
      <w:fldChar w:fldCharType="end"/>
    </w:r>
    <w:r>
      <w:rPr>
        <w:rFonts w:ascii="Calibri" w:cs="Calibri" w:eastAsia="Calibri" w:hAnsi="Calibri"/>
        <w:color w:val="5F6B73"/>
        <w:sz w:val="18"/>
        <w:szCs w:val="18"/>
      </w:rPr>
      <w:t xml:space="preserve"> of </w:t>
    </w:r>
    <w:r>
      <w:rPr>
        <w:rFonts w:ascii="Calibri" w:cs="Calibri" w:eastAsia="Calibri" w:hAnsi="Calibri"/>
        <w:color w:val="5F6B7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DE2" w:sz="4" w:space="6"/>
      </w:pBdr>
      <w:tabs>
        <w:tab w:val="right" w:pos="9638"/>
      </w:tabs>
    </w:pPr>
    <w:r>
      <w:rPr>
        <w:rFonts w:ascii="Calibri" w:cs="Calibri" w:eastAsia="Calibri" w:hAnsi="Calibri"/>
        <w:b/>
        <w:bCs/>
        <w:color w:val="1B7F8C"/>
        <w:spacing w:val="40"/>
        <w:sz w:val="18"/>
        <w:szCs w:val="18"/>
      </w:rPr>
      <w:t xml:space="preserve">AQUA</w:t>
    </w:r>
    <w:r>
      <w:rPr>
        <w:rFonts w:ascii="Calibri" w:cs="Calibri" w:eastAsia="Calibri" w:hAnsi="Calibri"/>
        <w:color w:val="5F6B73"/>
        <w:sz w:val="18"/>
        <w:szCs w:val="18"/>
      </w:rPr>
      <w:t xml:space="preserve">	Literature Review · Research Gaps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b/>
        <w:bCs/>
        <w:color w:val="1B7F8C"/>
      </w:rPr>
    </w:lvl>
  </w:abstractNum>
  <w:abstractNum w:abstractNumId="3" w15:restartNumberingAfterBreak="0">
    <w:multiLevelType w:val="hybridMultilevel"/>
    <w:lvl w:ilvl="0" w15:tentative="1">
      <w:start w:val="1"/>
      <w:numFmt w:val="bullet"/>
      <w:lvlText w:val="–"/>
      <w:lvlJc w:val="left"/>
      <w:pPr>
        <w:ind w:left="500" w:hanging="260"/>
      </w:pPr>
      <w:rPr>
        <w:color w:val="5F6B7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Calibri" w:cs="Calibri" w:eastAsia="Calibri" w:hAnsi="Calibri"/>
      <w:b/>
      <w:bCs/>
      <w:color w:val="0B3C5D"/>
      <w:sz w:val="32"/>
      <w:szCs w:val="32"/>
    </w:rPr>
  </w:style>
  <w:style w:type="paragraph" w:styleId="Heading2">
    <w:name w:val="Heading 2"/>
    <w:basedOn w:val="Normal"/>
    <w:next w:val="Normal"/>
    <w:qFormat/>
    <w:pPr>
      <w:spacing w:after="80" w:before="160"/>
      <w:outlineLvl w:val="1"/>
    </w:pPr>
    <w:rPr>
      <w:rFonts w:ascii="Calibri" w:cs="Calibri" w:eastAsia="Calibri" w:hAnsi="Calibri"/>
      <w:b/>
      <w:bCs/>
      <w:color w:val="1B7F8C"/>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Recurring Research Gaps Identified from the Literature</dc:title>
  <dc:creator>AQUA</dc:creator>
  <cp:lastModifiedBy>Un-named</cp:lastModifiedBy>
  <cp:revision>1</cp:revision>
  <dcterms:created xsi:type="dcterms:W3CDTF">2026-09-19T08:32:06.361Z</dcterms:created>
  <dcterms:modified xsi:type="dcterms:W3CDTF">2026-09-19T08:32:06.362Z</dcterms:modified>
</cp:coreProperties>
</file>

<file path=docProps/custom.xml><?xml version="1.0" encoding="utf-8"?>
<Properties xmlns="http://schemas.openxmlformats.org/officeDocument/2006/custom-properties" xmlns:vt="http://schemas.openxmlformats.org/officeDocument/2006/docPropsVTypes"/>
</file>