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C86" w:rsidRPr="00871E89" w:rsidRDefault="00C16A22" w:rsidP="00C16A22">
      <w:pPr>
        <w:pStyle w:val="Heading1"/>
        <w:spacing w:before="400" w:after="200"/>
        <w:jc w:val="center"/>
      </w:pPr>
      <w:proofErr w:type="spellStart"/>
      <w:r w:rsidRPr="00C16A22">
        <w:rPr>
          <w:color w:val="auto"/>
        </w:rPr>
        <w:t>Microservices</w:t>
      </w:r>
      <w:proofErr w:type="spellEnd"/>
      <w:r w:rsidRPr="00C16A22">
        <w:rPr>
          <w:color w:val="auto"/>
        </w:rPr>
        <w:t xml:space="preserve"> composite </w:t>
      </w:r>
      <w:proofErr w:type="spellStart"/>
      <w:r w:rsidRPr="00C16A22">
        <w:rPr>
          <w:color w:val="auto"/>
        </w:rPr>
        <w:t>handson</w:t>
      </w:r>
      <w:proofErr w:type="spellEnd"/>
      <w:r>
        <w:rPr>
          <w:color w:val="auto"/>
        </w:rPr>
        <w:br/>
      </w:r>
    </w:p>
    <w:p w:rsidR="00407C86" w:rsidRPr="00871E89" w:rsidRDefault="00D9588F" w:rsidP="00407C86">
      <w:pPr>
        <w:pStyle w:val="Heading2"/>
        <w:spacing w:before="300" w:after="150"/>
        <w:rPr>
          <w:color w:val="auto"/>
        </w:rPr>
      </w:pPr>
      <w:r>
        <w:rPr>
          <w:color w:val="auto"/>
        </w:rPr>
        <w:t>Act</w:t>
      </w:r>
      <w:r w:rsidR="00407C86" w:rsidRPr="00871E89">
        <w:rPr>
          <w:color w:val="auto"/>
        </w:rPr>
        <w:t xml:space="preserve"> 1: Banking Products/Services offered by </w:t>
      </w:r>
      <w:proofErr w:type="spellStart"/>
      <w:r w:rsidR="00407C86" w:rsidRPr="00871E89">
        <w:rPr>
          <w:color w:val="auto"/>
        </w:rPr>
        <w:t>Airtel</w:t>
      </w:r>
      <w:proofErr w:type="spellEnd"/>
    </w:p>
    <w:p w:rsidR="00407C86" w:rsidRPr="00871E89" w:rsidRDefault="00407C86" w:rsidP="00407C86">
      <w:pPr>
        <w:spacing w:after="120"/>
      </w:pPr>
      <w:proofErr w:type="spellStart"/>
      <w:r w:rsidRPr="00871E89">
        <w:rPr>
          <w:rFonts w:ascii="Calibri" w:eastAsia="Calibri" w:hAnsi="Calibri" w:cs="Calibri"/>
          <w:sz w:val="22"/>
          <w:szCs w:val="22"/>
        </w:rPr>
        <w:t>Airtel</w:t>
      </w:r>
      <w:proofErr w:type="spellEnd"/>
      <w:r w:rsidRPr="00871E89"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 w:rsidRPr="00871E89">
        <w:rPr>
          <w:rFonts w:ascii="Calibri" w:eastAsia="Calibri" w:hAnsi="Calibri" w:cs="Calibri"/>
          <w:sz w:val="22"/>
          <w:szCs w:val="22"/>
        </w:rPr>
        <w:t>airtel.in</w:t>
      </w:r>
      <w:proofErr w:type="spellEnd"/>
      <w:r w:rsidRPr="00871E89">
        <w:rPr>
          <w:rFonts w:ascii="Calibri" w:eastAsia="Calibri" w:hAnsi="Calibri" w:cs="Calibri"/>
          <w:sz w:val="22"/>
          <w:szCs w:val="22"/>
        </w:rPr>
        <w:t xml:space="preserve">) is a telecom-led company, so its "banking-style" products are delivered mainly through </w:t>
      </w:r>
      <w:proofErr w:type="spellStart"/>
      <w:r w:rsidRPr="00871E89">
        <w:rPr>
          <w:rFonts w:ascii="Calibri" w:eastAsia="Calibri" w:hAnsi="Calibri" w:cs="Calibri"/>
          <w:sz w:val="22"/>
          <w:szCs w:val="22"/>
        </w:rPr>
        <w:t>Airtel</w:t>
      </w:r>
      <w:proofErr w:type="spellEnd"/>
      <w:r w:rsidRPr="00871E89">
        <w:rPr>
          <w:rFonts w:ascii="Calibri" w:eastAsia="Calibri" w:hAnsi="Calibri" w:cs="Calibri"/>
          <w:sz w:val="22"/>
          <w:szCs w:val="22"/>
        </w:rPr>
        <w:t xml:space="preserve"> Payments Bank plus its core telecom/digital services. A representative, non-exhaustive list an SME could compile with learners:</w:t>
      </w:r>
    </w:p>
    <w:p w:rsidR="00407C86" w:rsidRPr="00871E89" w:rsidRDefault="00407C86" w:rsidP="00407C86">
      <w:pPr>
        <w:pStyle w:val="ListParagraph"/>
        <w:numPr>
          <w:ilvl w:val="0"/>
          <w:numId w:val="1"/>
        </w:numPr>
        <w:spacing w:after="60"/>
      </w:pPr>
      <w:proofErr w:type="spellStart"/>
      <w:r w:rsidRPr="00871E89">
        <w:rPr>
          <w:rFonts w:ascii="Calibri" w:eastAsia="Calibri" w:hAnsi="Calibri" w:cs="Calibri"/>
          <w:sz w:val="22"/>
          <w:szCs w:val="22"/>
        </w:rPr>
        <w:t>Airtel</w:t>
      </w:r>
      <w:proofErr w:type="spellEnd"/>
      <w:r w:rsidRPr="00871E89">
        <w:rPr>
          <w:rFonts w:ascii="Calibri" w:eastAsia="Calibri" w:hAnsi="Calibri" w:cs="Calibri"/>
          <w:sz w:val="22"/>
          <w:szCs w:val="22"/>
        </w:rPr>
        <w:t xml:space="preserve"> Payments Bank: Savings account, current account (for merchants), fixed deposits</w:t>
      </w:r>
    </w:p>
    <w:p w:rsidR="00407C86" w:rsidRPr="00871E89" w:rsidRDefault="00407C86" w:rsidP="00407C86">
      <w:pPr>
        <w:pStyle w:val="ListParagraph"/>
        <w:numPr>
          <w:ilvl w:val="0"/>
          <w:numId w:val="1"/>
        </w:numPr>
        <w:spacing w:after="60"/>
      </w:pPr>
      <w:r w:rsidRPr="00871E89">
        <w:rPr>
          <w:rFonts w:ascii="Calibri" w:eastAsia="Calibri" w:hAnsi="Calibri" w:cs="Calibri"/>
          <w:sz w:val="22"/>
          <w:szCs w:val="22"/>
        </w:rPr>
        <w:t xml:space="preserve">Cards: </w:t>
      </w:r>
      <w:proofErr w:type="spellStart"/>
      <w:r w:rsidRPr="00871E89">
        <w:rPr>
          <w:rFonts w:ascii="Calibri" w:eastAsia="Calibri" w:hAnsi="Calibri" w:cs="Calibri"/>
          <w:sz w:val="22"/>
          <w:szCs w:val="22"/>
        </w:rPr>
        <w:t>Airtel</w:t>
      </w:r>
      <w:proofErr w:type="spellEnd"/>
      <w:r w:rsidRPr="00871E89">
        <w:rPr>
          <w:rFonts w:ascii="Calibri" w:eastAsia="Calibri" w:hAnsi="Calibri" w:cs="Calibri"/>
          <w:sz w:val="22"/>
          <w:szCs w:val="22"/>
        </w:rPr>
        <w:t xml:space="preserve"> Payments Bank debit card</w:t>
      </w:r>
    </w:p>
    <w:p w:rsidR="00407C86" w:rsidRPr="00871E89" w:rsidRDefault="00407C86" w:rsidP="00407C86">
      <w:pPr>
        <w:pStyle w:val="ListParagraph"/>
        <w:numPr>
          <w:ilvl w:val="0"/>
          <w:numId w:val="1"/>
        </w:numPr>
        <w:spacing w:after="60"/>
      </w:pPr>
      <w:r w:rsidRPr="00871E89">
        <w:rPr>
          <w:rFonts w:ascii="Calibri" w:eastAsia="Calibri" w:hAnsi="Calibri" w:cs="Calibri"/>
          <w:sz w:val="22"/>
          <w:szCs w:val="22"/>
        </w:rPr>
        <w:t>Payments: UPI, bill payments (electricity, gas, DTH), mobile/DTH recharges, money transfer</w:t>
      </w:r>
    </w:p>
    <w:p w:rsidR="00407C86" w:rsidRPr="00871E89" w:rsidRDefault="00407C86" w:rsidP="00407C86">
      <w:pPr>
        <w:pStyle w:val="ListParagraph"/>
        <w:numPr>
          <w:ilvl w:val="0"/>
          <w:numId w:val="1"/>
        </w:numPr>
        <w:spacing w:after="60"/>
      </w:pPr>
      <w:r w:rsidRPr="00871E89">
        <w:rPr>
          <w:rFonts w:ascii="Calibri" w:eastAsia="Calibri" w:hAnsi="Calibri" w:cs="Calibri"/>
          <w:sz w:val="22"/>
          <w:szCs w:val="22"/>
        </w:rPr>
        <w:t xml:space="preserve">Insurance: Life and health insurance tie-ups sold through the </w:t>
      </w:r>
      <w:proofErr w:type="spellStart"/>
      <w:r w:rsidRPr="00871E89">
        <w:rPr>
          <w:rFonts w:ascii="Calibri" w:eastAsia="Calibri" w:hAnsi="Calibri" w:cs="Calibri"/>
          <w:sz w:val="22"/>
          <w:szCs w:val="22"/>
        </w:rPr>
        <w:t>Airtel</w:t>
      </w:r>
      <w:proofErr w:type="spellEnd"/>
      <w:r w:rsidRPr="00871E89">
        <w:rPr>
          <w:rFonts w:ascii="Calibri" w:eastAsia="Calibri" w:hAnsi="Calibri" w:cs="Calibri"/>
          <w:sz w:val="22"/>
          <w:szCs w:val="22"/>
        </w:rPr>
        <w:t xml:space="preserve"> app</w:t>
      </w:r>
    </w:p>
    <w:p w:rsidR="00407C86" w:rsidRPr="00871E89" w:rsidRDefault="00407C86" w:rsidP="00407C86">
      <w:pPr>
        <w:pStyle w:val="ListParagraph"/>
        <w:numPr>
          <w:ilvl w:val="0"/>
          <w:numId w:val="1"/>
        </w:numPr>
        <w:spacing w:after="60"/>
      </w:pPr>
      <w:r w:rsidRPr="00871E89">
        <w:rPr>
          <w:rFonts w:ascii="Calibri" w:eastAsia="Calibri" w:hAnsi="Calibri" w:cs="Calibri"/>
          <w:sz w:val="22"/>
          <w:szCs w:val="22"/>
        </w:rPr>
        <w:t>Loans: Small-ticket personal loans / buy-now-pay-later offers via lending partners</w:t>
      </w:r>
    </w:p>
    <w:p w:rsidR="00407C86" w:rsidRPr="00871E89" w:rsidRDefault="00407C86" w:rsidP="00407C86">
      <w:pPr>
        <w:pStyle w:val="ListParagraph"/>
        <w:numPr>
          <w:ilvl w:val="0"/>
          <w:numId w:val="1"/>
        </w:numPr>
        <w:spacing w:after="60"/>
      </w:pPr>
      <w:r w:rsidRPr="00871E89">
        <w:rPr>
          <w:rFonts w:ascii="Calibri" w:eastAsia="Calibri" w:hAnsi="Calibri" w:cs="Calibri"/>
          <w:sz w:val="22"/>
          <w:szCs w:val="22"/>
        </w:rPr>
        <w:t>Core telecom: Prepaid/postpaid mobile plans, broadband (</w:t>
      </w:r>
      <w:proofErr w:type="spellStart"/>
      <w:r w:rsidRPr="00871E89">
        <w:rPr>
          <w:rFonts w:ascii="Calibri" w:eastAsia="Calibri" w:hAnsi="Calibri" w:cs="Calibri"/>
          <w:sz w:val="22"/>
          <w:szCs w:val="22"/>
        </w:rPr>
        <w:t>Airtel</w:t>
      </w:r>
      <w:proofErr w:type="spellEnd"/>
      <w:r w:rsidRPr="00871E89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71E89">
        <w:rPr>
          <w:rFonts w:ascii="Calibri" w:eastAsia="Calibri" w:hAnsi="Calibri" w:cs="Calibri"/>
          <w:sz w:val="22"/>
          <w:szCs w:val="22"/>
        </w:rPr>
        <w:t>Xstream</w:t>
      </w:r>
      <w:proofErr w:type="spellEnd"/>
      <w:r w:rsidRPr="00871E89">
        <w:rPr>
          <w:rFonts w:ascii="Calibri" w:eastAsia="Calibri" w:hAnsi="Calibri" w:cs="Calibri"/>
          <w:sz w:val="22"/>
          <w:szCs w:val="22"/>
        </w:rPr>
        <w:t xml:space="preserve"> Fiber), DTH (</w:t>
      </w:r>
      <w:proofErr w:type="spellStart"/>
      <w:r w:rsidRPr="00871E89">
        <w:rPr>
          <w:rFonts w:ascii="Calibri" w:eastAsia="Calibri" w:hAnsi="Calibri" w:cs="Calibri"/>
          <w:sz w:val="22"/>
          <w:szCs w:val="22"/>
        </w:rPr>
        <w:t>Airtel</w:t>
      </w:r>
      <w:proofErr w:type="spellEnd"/>
      <w:r w:rsidRPr="00871E89">
        <w:rPr>
          <w:rFonts w:ascii="Calibri" w:eastAsia="Calibri" w:hAnsi="Calibri" w:cs="Calibri"/>
          <w:sz w:val="22"/>
          <w:szCs w:val="22"/>
        </w:rPr>
        <w:t xml:space="preserve"> Digital TV)</w:t>
      </w:r>
    </w:p>
    <w:p w:rsidR="00407C86" w:rsidRPr="00871E89" w:rsidRDefault="00407C86" w:rsidP="00407C86">
      <w:pPr>
        <w:pStyle w:val="ListParagraph"/>
        <w:numPr>
          <w:ilvl w:val="0"/>
          <w:numId w:val="1"/>
        </w:numPr>
        <w:spacing w:after="60"/>
      </w:pPr>
      <w:r w:rsidRPr="00871E89">
        <w:rPr>
          <w:rFonts w:ascii="Calibri" w:eastAsia="Calibri" w:hAnsi="Calibri" w:cs="Calibri"/>
          <w:sz w:val="22"/>
          <w:szCs w:val="22"/>
        </w:rPr>
        <w:t xml:space="preserve">Digital/value-added services: </w:t>
      </w:r>
      <w:proofErr w:type="spellStart"/>
      <w:r w:rsidRPr="00871E89">
        <w:rPr>
          <w:rFonts w:ascii="Calibri" w:eastAsia="Calibri" w:hAnsi="Calibri" w:cs="Calibri"/>
          <w:sz w:val="22"/>
          <w:szCs w:val="22"/>
        </w:rPr>
        <w:t>Airtel</w:t>
      </w:r>
      <w:proofErr w:type="spellEnd"/>
      <w:r w:rsidRPr="00871E89">
        <w:rPr>
          <w:rFonts w:ascii="Calibri" w:eastAsia="Calibri" w:hAnsi="Calibri" w:cs="Calibri"/>
          <w:sz w:val="22"/>
          <w:szCs w:val="22"/>
        </w:rPr>
        <w:t xml:space="preserve"> Thanks rewards, </w:t>
      </w:r>
      <w:proofErr w:type="spellStart"/>
      <w:r w:rsidRPr="00871E89">
        <w:rPr>
          <w:rFonts w:ascii="Calibri" w:eastAsia="Calibri" w:hAnsi="Calibri" w:cs="Calibri"/>
          <w:sz w:val="22"/>
          <w:szCs w:val="22"/>
        </w:rPr>
        <w:t>Wynk</w:t>
      </w:r>
      <w:proofErr w:type="spellEnd"/>
      <w:r w:rsidRPr="00871E89">
        <w:rPr>
          <w:rFonts w:ascii="Calibri" w:eastAsia="Calibri" w:hAnsi="Calibri" w:cs="Calibri"/>
          <w:sz w:val="22"/>
          <w:szCs w:val="22"/>
        </w:rPr>
        <w:t xml:space="preserve"> Music, </w:t>
      </w:r>
      <w:proofErr w:type="spellStart"/>
      <w:r w:rsidRPr="00871E89">
        <w:rPr>
          <w:rFonts w:ascii="Calibri" w:eastAsia="Calibri" w:hAnsi="Calibri" w:cs="Calibri"/>
          <w:sz w:val="22"/>
          <w:szCs w:val="22"/>
        </w:rPr>
        <w:t>Airtel</w:t>
      </w:r>
      <w:proofErr w:type="spellEnd"/>
      <w:r w:rsidRPr="00871E89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871E89">
        <w:rPr>
          <w:rFonts w:ascii="Calibri" w:eastAsia="Calibri" w:hAnsi="Calibri" w:cs="Calibri"/>
          <w:sz w:val="22"/>
          <w:szCs w:val="22"/>
        </w:rPr>
        <w:t>Xstream</w:t>
      </w:r>
      <w:proofErr w:type="spellEnd"/>
      <w:r w:rsidRPr="00871E89">
        <w:rPr>
          <w:rFonts w:ascii="Calibri" w:eastAsia="Calibri" w:hAnsi="Calibri" w:cs="Calibri"/>
          <w:sz w:val="22"/>
          <w:szCs w:val="22"/>
        </w:rPr>
        <w:t xml:space="preserve"> (OTT)</w:t>
      </w:r>
    </w:p>
    <w:p w:rsidR="00407C86" w:rsidRPr="00871E89" w:rsidRDefault="00407C86" w:rsidP="00407C86">
      <w:pPr>
        <w:spacing w:after="120"/>
      </w:pPr>
      <w:proofErr w:type="gramStart"/>
      <w:r w:rsidRPr="00871E89">
        <w:rPr>
          <w:rFonts w:ascii="Calibri" w:eastAsia="Calibri" w:hAnsi="Calibri" w:cs="Calibri"/>
          <w:sz w:val="22"/>
          <w:szCs w:val="22"/>
        </w:rPr>
        <w:t xml:space="preserve">Mapping this back to the bank diagram in the theory section: Accounts → Payments Bank savings/current; Cards → debit card; Insurance → partner insurance products; Loans → partner lending; </w:t>
      </w:r>
      <w:proofErr w:type="spellStart"/>
      <w:r w:rsidRPr="00871E89">
        <w:rPr>
          <w:rFonts w:ascii="Calibri" w:eastAsia="Calibri" w:hAnsi="Calibri" w:cs="Calibri"/>
          <w:sz w:val="22"/>
          <w:szCs w:val="22"/>
        </w:rPr>
        <w:t>Forex</w:t>
      </w:r>
      <w:proofErr w:type="spellEnd"/>
      <w:r w:rsidRPr="00871E89">
        <w:rPr>
          <w:rFonts w:ascii="Calibri" w:eastAsia="Calibri" w:hAnsi="Calibri" w:cs="Calibri"/>
          <w:sz w:val="22"/>
          <w:szCs w:val="22"/>
        </w:rPr>
        <w:t xml:space="preserve"> Services → generally not offered by </w:t>
      </w:r>
      <w:proofErr w:type="spellStart"/>
      <w:r w:rsidRPr="00871E89">
        <w:rPr>
          <w:rFonts w:ascii="Calibri" w:eastAsia="Calibri" w:hAnsi="Calibri" w:cs="Calibri"/>
          <w:sz w:val="22"/>
          <w:szCs w:val="22"/>
        </w:rPr>
        <w:t>Airtel</w:t>
      </w:r>
      <w:proofErr w:type="spellEnd"/>
      <w:r w:rsidRPr="00871E89">
        <w:rPr>
          <w:rFonts w:ascii="Calibri" w:eastAsia="Calibri" w:hAnsi="Calibri" w:cs="Calibri"/>
          <w:sz w:val="22"/>
          <w:szCs w:val="22"/>
        </w:rPr>
        <w:t xml:space="preserve"> directly.</w:t>
      </w:r>
      <w:proofErr w:type="gramEnd"/>
      <w:r w:rsidRPr="00871E89">
        <w:rPr>
          <w:rFonts w:ascii="Calibri" w:eastAsia="Calibri" w:hAnsi="Calibri" w:cs="Calibri"/>
          <w:sz w:val="22"/>
          <w:szCs w:val="22"/>
        </w:rPr>
        <w:t xml:space="preserve"> This mirrors the exercise's point that even a well-known consumer brand's offerings, once catalogued, look like the branching service tree shown for the bank — which is exactly the structure an Enterprise Application has to support.</w:t>
      </w:r>
    </w:p>
    <w:p w:rsidR="00407C86" w:rsidRPr="00871E89" w:rsidRDefault="00D9588F" w:rsidP="00407C86">
      <w:pPr>
        <w:pStyle w:val="Heading2"/>
        <w:spacing w:before="300" w:after="150"/>
        <w:rPr>
          <w:color w:val="auto"/>
        </w:rPr>
      </w:pPr>
      <w:r>
        <w:rPr>
          <w:color w:val="auto"/>
        </w:rPr>
        <w:t>Act</w:t>
      </w:r>
      <w:r w:rsidR="00407C86" w:rsidRPr="00871E89">
        <w:rPr>
          <w:color w:val="auto"/>
        </w:rPr>
        <w:t xml:space="preserve"> 2: Ideas to handle the monolithic "account balance" slowdown scenario</w:t>
      </w:r>
    </w:p>
    <w:p w:rsidR="00407C86" w:rsidRPr="00871E89" w:rsidRDefault="00407C86" w:rsidP="00407C86">
      <w:pPr>
        <w:spacing w:after="120"/>
      </w:pPr>
      <w:r w:rsidRPr="00871E89">
        <w:rPr>
          <w:rFonts w:ascii="Calibri" w:eastAsia="Calibri" w:hAnsi="Calibri" w:cs="Calibri"/>
          <w:sz w:val="22"/>
          <w:szCs w:val="22"/>
        </w:rPr>
        <w:t xml:space="preserve">The scenario: a single monolithic </w:t>
      </w:r>
      <w:proofErr w:type="spellStart"/>
      <w:r w:rsidRPr="00871E89">
        <w:rPr>
          <w:rFonts w:ascii="Calibri" w:eastAsia="Calibri" w:hAnsi="Calibri" w:cs="Calibri"/>
          <w:sz w:val="22"/>
          <w:szCs w:val="22"/>
        </w:rPr>
        <w:t>RESTful</w:t>
      </w:r>
      <w:proofErr w:type="spellEnd"/>
      <w:r w:rsidRPr="00871E89">
        <w:rPr>
          <w:rFonts w:ascii="Calibri" w:eastAsia="Calibri" w:hAnsi="Calibri" w:cs="Calibri"/>
          <w:sz w:val="22"/>
          <w:szCs w:val="22"/>
        </w:rPr>
        <w:t xml:space="preserve"> application slowed to a crawl under festival-season load because of a memory leak in one operation (get account balance), which then dragged down loan, insurance, and customer-service functions that had nothing to do with the leak. Ideas to discuss with learners:</w:t>
      </w:r>
    </w:p>
    <w:p w:rsidR="00407C86" w:rsidRPr="00871E89" w:rsidRDefault="00407C86" w:rsidP="00407C86">
      <w:pPr>
        <w:pStyle w:val="ListParagraph"/>
        <w:numPr>
          <w:ilvl w:val="0"/>
          <w:numId w:val="1"/>
        </w:numPr>
        <w:spacing w:after="60"/>
      </w:pPr>
      <w:r w:rsidRPr="00871E89">
        <w:rPr>
          <w:rFonts w:ascii="Calibri" w:eastAsia="Calibri" w:hAnsi="Calibri" w:cs="Calibri"/>
          <w:sz w:val="22"/>
          <w:szCs w:val="22"/>
        </w:rPr>
        <w:t xml:space="preserve">Decompose into </w:t>
      </w:r>
      <w:proofErr w:type="spellStart"/>
      <w:r w:rsidRPr="00871E89">
        <w:rPr>
          <w:rFonts w:ascii="Calibri" w:eastAsia="Calibri" w:hAnsi="Calibri" w:cs="Calibri"/>
          <w:sz w:val="22"/>
          <w:szCs w:val="22"/>
        </w:rPr>
        <w:t>microservices</w:t>
      </w:r>
      <w:proofErr w:type="spellEnd"/>
      <w:r w:rsidRPr="00871E89">
        <w:rPr>
          <w:rFonts w:ascii="Calibri" w:eastAsia="Calibri" w:hAnsi="Calibri" w:cs="Calibri"/>
          <w:sz w:val="22"/>
          <w:szCs w:val="22"/>
        </w:rPr>
        <w:t>: split account, loan, and insurance into independently deployable services so a memory leak in the account-balance service can no longer take down loan/insurance processing (this is exactly the motivation the material builds toward).</w:t>
      </w:r>
    </w:p>
    <w:p w:rsidR="00407C86" w:rsidRPr="00871E89" w:rsidRDefault="00407C86" w:rsidP="00407C86">
      <w:pPr>
        <w:pStyle w:val="ListParagraph"/>
        <w:numPr>
          <w:ilvl w:val="0"/>
          <w:numId w:val="1"/>
        </w:numPr>
        <w:spacing w:after="60"/>
      </w:pPr>
      <w:r w:rsidRPr="00871E89">
        <w:rPr>
          <w:rFonts w:ascii="Calibri" w:eastAsia="Calibri" w:hAnsi="Calibri" w:cs="Calibri"/>
          <w:sz w:val="22"/>
          <w:szCs w:val="22"/>
        </w:rPr>
        <w:t>Independent scaling: run multiple instances of just the account-balance service behind a load balancer during predictable high-traffic periods (festivals), without over-provisioning the whole monolith.</w:t>
      </w:r>
    </w:p>
    <w:p w:rsidR="00407C86" w:rsidRPr="00871E89" w:rsidRDefault="00407C86" w:rsidP="00407C86">
      <w:pPr>
        <w:pStyle w:val="ListParagraph"/>
        <w:numPr>
          <w:ilvl w:val="0"/>
          <w:numId w:val="1"/>
        </w:numPr>
        <w:spacing w:after="60"/>
      </w:pPr>
      <w:r w:rsidRPr="00871E89">
        <w:rPr>
          <w:rFonts w:ascii="Calibri" w:eastAsia="Calibri" w:hAnsi="Calibri" w:cs="Calibri"/>
          <w:sz w:val="22"/>
          <w:szCs w:val="22"/>
        </w:rPr>
        <w:t>Circuit breakers and timeouts: wrap calls to a slow/leaking dependency with a circuit breaker (e.g. Resilience4j) so failures degrade gracefully instead of exhausting threads/memory application-wide.</w:t>
      </w:r>
    </w:p>
    <w:p w:rsidR="00407C86" w:rsidRPr="00871E89" w:rsidRDefault="00407C86" w:rsidP="00407C86">
      <w:pPr>
        <w:pStyle w:val="ListParagraph"/>
        <w:numPr>
          <w:ilvl w:val="0"/>
          <w:numId w:val="1"/>
        </w:numPr>
        <w:spacing w:after="60"/>
      </w:pPr>
      <w:r w:rsidRPr="00871E89">
        <w:rPr>
          <w:rFonts w:ascii="Calibri" w:eastAsia="Calibri" w:hAnsi="Calibri" w:cs="Calibri"/>
          <w:sz w:val="22"/>
          <w:szCs w:val="22"/>
        </w:rPr>
        <w:t>Resource isolation / bulkheads: give each capability its own thread pool or container so one leaking component cannot starve memory needed by unrelated requests.</w:t>
      </w:r>
    </w:p>
    <w:p w:rsidR="00407C86" w:rsidRPr="00871E89" w:rsidRDefault="00407C86" w:rsidP="00407C86">
      <w:pPr>
        <w:pStyle w:val="ListParagraph"/>
        <w:numPr>
          <w:ilvl w:val="0"/>
          <w:numId w:val="1"/>
        </w:numPr>
        <w:spacing w:after="60"/>
      </w:pPr>
      <w:r w:rsidRPr="00871E89">
        <w:rPr>
          <w:rFonts w:ascii="Calibri" w:eastAsia="Calibri" w:hAnsi="Calibri" w:cs="Calibri"/>
          <w:sz w:val="22"/>
          <w:szCs w:val="22"/>
        </w:rPr>
        <w:t xml:space="preserve">Better </w:t>
      </w:r>
      <w:proofErr w:type="spellStart"/>
      <w:r w:rsidRPr="00871E89">
        <w:rPr>
          <w:rFonts w:ascii="Calibri" w:eastAsia="Calibri" w:hAnsi="Calibri" w:cs="Calibri"/>
          <w:sz w:val="22"/>
          <w:szCs w:val="22"/>
        </w:rPr>
        <w:t>observability</w:t>
      </w:r>
      <w:proofErr w:type="spellEnd"/>
      <w:r w:rsidRPr="00871E89">
        <w:rPr>
          <w:rFonts w:ascii="Calibri" w:eastAsia="Calibri" w:hAnsi="Calibri" w:cs="Calibri"/>
          <w:sz w:val="22"/>
          <w:szCs w:val="22"/>
        </w:rPr>
        <w:t>: memory/heap monitoring, alerting, and heap-dump analysis to catch a leak before it forces a full restart.</w:t>
      </w:r>
    </w:p>
    <w:p w:rsidR="00407C86" w:rsidRPr="00871E89" w:rsidRDefault="00407C86" w:rsidP="00407C86">
      <w:pPr>
        <w:pStyle w:val="ListParagraph"/>
        <w:numPr>
          <w:ilvl w:val="0"/>
          <w:numId w:val="1"/>
        </w:numPr>
        <w:spacing w:after="60"/>
      </w:pPr>
      <w:r w:rsidRPr="00871E89">
        <w:rPr>
          <w:rFonts w:ascii="Calibri" w:eastAsia="Calibri" w:hAnsi="Calibri" w:cs="Calibri"/>
          <w:sz w:val="22"/>
          <w:szCs w:val="22"/>
        </w:rPr>
        <w:lastRenderedPageBreak/>
        <w:t>Blue-green or rolling restarts: even before re-architecting, restarting only the affected instance/pod (not the entire estate) reduces the 2-3 hour full-outage window described in the scenario.</w:t>
      </w:r>
    </w:p>
    <w:p w:rsidR="00407C86" w:rsidRPr="00871E89" w:rsidRDefault="00407C86" w:rsidP="00407C86">
      <w:pPr>
        <w:pStyle w:val="ListParagraph"/>
        <w:numPr>
          <w:ilvl w:val="0"/>
          <w:numId w:val="1"/>
        </w:numPr>
        <w:spacing w:after="60"/>
      </w:pPr>
      <w:r w:rsidRPr="00871E89">
        <w:rPr>
          <w:rFonts w:ascii="Calibri" w:eastAsia="Calibri" w:hAnsi="Calibri" w:cs="Calibri"/>
          <w:sz w:val="22"/>
          <w:szCs w:val="22"/>
        </w:rPr>
        <w:t>Capacity planning for seasonal load: load-test and pre-scale ahead of known peak periods (festival shopping) rather than reacting after a crash.</w:t>
      </w:r>
    </w:p>
    <w:p w:rsidR="00407C86" w:rsidRPr="00871E89" w:rsidRDefault="00407C86" w:rsidP="00407C86">
      <w:pPr>
        <w:spacing w:after="120"/>
      </w:pPr>
      <w:r w:rsidRPr="00871E89">
        <w:rPr>
          <w:rFonts w:ascii="Calibri" w:eastAsia="Calibri" w:hAnsi="Calibri" w:cs="Calibri"/>
          <w:sz w:val="22"/>
          <w:szCs w:val="22"/>
        </w:rPr>
        <w:t xml:space="preserve">This activity has no single "correct" answer — it's meant to lead learners, through discussion, to rediscover the advantages of </w:t>
      </w:r>
      <w:proofErr w:type="spellStart"/>
      <w:r w:rsidRPr="00871E89">
        <w:rPr>
          <w:rFonts w:ascii="Calibri" w:eastAsia="Calibri" w:hAnsi="Calibri" w:cs="Calibri"/>
          <w:sz w:val="22"/>
          <w:szCs w:val="22"/>
        </w:rPr>
        <w:t>microservices</w:t>
      </w:r>
      <w:proofErr w:type="spellEnd"/>
      <w:r w:rsidRPr="00871E89">
        <w:rPr>
          <w:rFonts w:ascii="Calibri" w:eastAsia="Calibri" w:hAnsi="Calibri" w:cs="Calibri"/>
          <w:sz w:val="22"/>
          <w:szCs w:val="22"/>
        </w:rPr>
        <w:t xml:space="preserve"> (decentralization, independence, </w:t>
      </w:r>
      <w:proofErr w:type="gramStart"/>
      <w:r w:rsidRPr="00871E89">
        <w:rPr>
          <w:rFonts w:ascii="Calibri" w:eastAsia="Calibri" w:hAnsi="Calibri" w:cs="Calibri"/>
          <w:sz w:val="22"/>
          <w:szCs w:val="22"/>
        </w:rPr>
        <w:t>scalability</w:t>
      </w:r>
      <w:proofErr w:type="gramEnd"/>
      <w:r w:rsidRPr="00871E89">
        <w:rPr>
          <w:rFonts w:ascii="Calibri" w:eastAsia="Calibri" w:hAnsi="Calibri" w:cs="Calibri"/>
          <w:sz w:val="22"/>
          <w:szCs w:val="22"/>
        </w:rPr>
        <w:t>) that the following theory section states explicitly.</w:t>
      </w:r>
    </w:p>
    <w:p w:rsidR="00150DA1" w:rsidRPr="00871E89" w:rsidRDefault="00D9588F"/>
    <w:sectPr w:rsidR="00150DA1" w:rsidRPr="00871E89" w:rsidSect="00E1301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4905FB"/>
    <w:multiLevelType w:val="hybridMultilevel"/>
    <w:tmpl w:val="CB9E12FE"/>
    <w:lvl w:ilvl="0" w:tplc="DDC6B766">
      <w:start w:val="1"/>
      <w:numFmt w:val="bullet"/>
      <w:lvlText w:val="●"/>
      <w:lvlJc w:val="left"/>
      <w:pPr>
        <w:ind w:left="720" w:hanging="360"/>
      </w:pPr>
    </w:lvl>
    <w:lvl w:ilvl="1" w:tplc="76AE5F38">
      <w:start w:val="1"/>
      <w:numFmt w:val="bullet"/>
      <w:lvlText w:val="○"/>
      <w:lvlJc w:val="left"/>
      <w:pPr>
        <w:ind w:left="1440" w:hanging="360"/>
      </w:pPr>
    </w:lvl>
    <w:lvl w:ilvl="2" w:tplc="545CBF5C">
      <w:start w:val="1"/>
      <w:numFmt w:val="bullet"/>
      <w:lvlText w:val="■"/>
      <w:lvlJc w:val="left"/>
      <w:pPr>
        <w:ind w:left="2160" w:hanging="360"/>
      </w:pPr>
    </w:lvl>
    <w:lvl w:ilvl="3" w:tplc="AEE8733C">
      <w:start w:val="1"/>
      <w:numFmt w:val="bullet"/>
      <w:lvlText w:val="●"/>
      <w:lvlJc w:val="left"/>
      <w:pPr>
        <w:ind w:left="2880" w:hanging="360"/>
      </w:pPr>
    </w:lvl>
    <w:lvl w:ilvl="4" w:tplc="254E7956">
      <w:start w:val="1"/>
      <w:numFmt w:val="bullet"/>
      <w:lvlText w:val="○"/>
      <w:lvlJc w:val="left"/>
      <w:pPr>
        <w:ind w:left="3600" w:hanging="360"/>
      </w:pPr>
    </w:lvl>
    <w:lvl w:ilvl="5" w:tplc="79900AC4">
      <w:start w:val="1"/>
      <w:numFmt w:val="bullet"/>
      <w:lvlText w:val="■"/>
      <w:lvlJc w:val="left"/>
      <w:pPr>
        <w:ind w:left="4320" w:hanging="360"/>
      </w:pPr>
    </w:lvl>
    <w:lvl w:ilvl="6" w:tplc="52C6CA56">
      <w:start w:val="1"/>
      <w:numFmt w:val="bullet"/>
      <w:lvlText w:val="●"/>
      <w:lvlJc w:val="left"/>
      <w:pPr>
        <w:ind w:left="5040" w:hanging="360"/>
      </w:pPr>
    </w:lvl>
    <w:lvl w:ilvl="7" w:tplc="CE5054C6">
      <w:start w:val="1"/>
      <w:numFmt w:val="bullet"/>
      <w:lvlText w:val="●"/>
      <w:lvlJc w:val="left"/>
      <w:pPr>
        <w:ind w:left="5760" w:hanging="360"/>
      </w:pPr>
    </w:lvl>
    <w:lvl w:ilvl="8" w:tplc="803E4A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07C86"/>
    <w:rsid w:val="00407C86"/>
    <w:rsid w:val="00871E89"/>
    <w:rsid w:val="008C464C"/>
    <w:rsid w:val="00BA3778"/>
    <w:rsid w:val="00C16A22"/>
    <w:rsid w:val="00C66320"/>
    <w:rsid w:val="00CA7409"/>
    <w:rsid w:val="00D44586"/>
    <w:rsid w:val="00D958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7C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bidi="ta-IN"/>
    </w:rPr>
  </w:style>
  <w:style w:type="paragraph" w:styleId="Heading1">
    <w:name w:val="heading 1"/>
    <w:link w:val="Heading1Char"/>
    <w:qFormat/>
    <w:rsid w:val="00407C86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val="en-US" w:bidi="ta-IN"/>
    </w:rPr>
  </w:style>
  <w:style w:type="paragraph" w:styleId="Heading2">
    <w:name w:val="heading 2"/>
    <w:link w:val="Heading2Char"/>
    <w:qFormat/>
    <w:rsid w:val="00407C86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07C86"/>
    <w:rPr>
      <w:rFonts w:ascii="Times New Roman" w:eastAsia="Times New Roman" w:hAnsi="Times New Roman" w:cs="Times New Roman"/>
      <w:color w:val="2E74B5"/>
      <w:sz w:val="32"/>
      <w:szCs w:val="32"/>
      <w:lang w:val="en-US" w:bidi="ta-IN"/>
    </w:rPr>
  </w:style>
  <w:style w:type="character" w:customStyle="1" w:styleId="Heading2Char">
    <w:name w:val="Heading 2 Char"/>
    <w:basedOn w:val="DefaultParagraphFont"/>
    <w:link w:val="Heading2"/>
    <w:rsid w:val="00407C86"/>
    <w:rPr>
      <w:rFonts w:ascii="Times New Roman" w:eastAsia="Times New Roman" w:hAnsi="Times New Roman" w:cs="Times New Roman"/>
      <w:color w:val="2E74B5"/>
      <w:sz w:val="26"/>
      <w:szCs w:val="26"/>
      <w:lang w:val="en-US" w:bidi="ta-IN"/>
    </w:rPr>
  </w:style>
  <w:style w:type="paragraph" w:styleId="ListParagraph">
    <w:name w:val="List Paragraph"/>
    <w:qFormat/>
    <w:rsid w:val="00407C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Madhu</cp:lastModifiedBy>
  <cp:revision>4</cp:revision>
  <dcterms:created xsi:type="dcterms:W3CDTF">2026-07-18T12:46:00Z</dcterms:created>
  <dcterms:modified xsi:type="dcterms:W3CDTF">2026-07-18T13:01:00Z</dcterms:modified>
</cp:coreProperties>
</file>