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74F1" w:rsidRDefault="001274F1" w:rsidP="001274F1">
      <w:pPr>
        <w:pStyle w:val="Heading3"/>
        <w:shd w:val="clear" w:color="auto" w:fill="FFFFFF"/>
        <w:spacing w:before="335" w:beforeAutospacing="0" w:after="167" w:afterAutospacing="0" w:line="636" w:lineRule="atLeast"/>
        <w:rPr>
          <w:rFonts w:ascii="Arial" w:hAnsi="Arial" w:cs="Arial"/>
          <w:color w:val="35475C"/>
          <w:sz w:val="42"/>
          <w:szCs w:val="42"/>
        </w:rPr>
      </w:pPr>
      <w:r>
        <w:t xml:space="preserve">                      </w:t>
      </w:r>
      <w:r w:rsidRPr="001274F1">
        <w:rPr>
          <w:rFonts w:ascii="Arial" w:hAnsi="Arial" w:cs="Arial"/>
          <w:color w:val="35475C"/>
          <w:sz w:val="42"/>
          <w:szCs w:val="42"/>
        </w:rPr>
        <w:t>Project Design Phase - Part 2</w:t>
      </w:r>
    </w:p>
    <w:p w:rsidR="001274F1" w:rsidRPr="001274F1" w:rsidRDefault="001274F1" w:rsidP="001274F1">
      <w:pPr>
        <w:pStyle w:val="Heading3"/>
        <w:shd w:val="clear" w:color="auto" w:fill="FFFFFF"/>
        <w:spacing w:before="268" w:beforeAutospacing="0" w:after="167" w:afterAutospacing="0" w:line="502" w:lineRule="atLeast"/>
        <w:rPr>
          <w:rFonts w:ascii="Arial" w:hAnsi="Arial" w:cs="Arial"/>
          <w:color w:val="35475C"/>
          <w:sz w:val="36"/>
          <w:szCs w:val="36"/>
        </w:rPr>
      </w:pPr>
      <w:r>
        <w:rPr>
          <w:rFonts w:ascii="Arial" w:hAnsi="Arial" w:cs="Arial"/>
          <w:color w:val="35475C"/>
          <w:sz w:val="42"/>
          <w:szCs w:val="42"/>
        </w:rPr>
        <w:t xml:space="preserve">                </w:t>
      </w:r>
      <w:r w:rsidRPr="001274F1">
        <w:rPr>
          <w:rFonts w:ascii="Arial" w:hAnsi="Arial" w:cs="Arial"/>
          <w:color w:val="35475C"/>
          <w:sz w:val="36"/>
          <w:szCs w:val="36"/>
        </w:rPr>
        <w:t>Open Source Frameworks</w:t>
      </w:r>
    </w:p>
    <w:p w:rsidR="001274F1" w:rsidRPr="001274F1" w:rsidRDefault="001274F1" w:rsidP="001274F1">
      <w:pPr>
        <w:pStyle w:val="Heading3"/>
        <w:shd w:val="clear" w:color="auto" w:fill="FFFFFF"/>
        <w:spacing w:before="335" w:beforeAutospacing="0" w:after="167" w:afterAutospacing="0" w:line="636" w:lineRule="atLeast"/>
        <w:rPr>
          <w:rFonts w:ascii="Arial" w:hAnsi="Arial" w:cs="Arial"/>
          <w:color w:val="35475C"/>
          <w:sz w:val="42"/>
          <w:szCs w:val="42"/>
        </w:rPr>
      </w:pPr>
    </w:p>
    <w:tbl>
      <w:tblPr>
        <w:tblStyle w:val="TableGrid"/>
        <w:tblW w:w="0" w:type="auto"/>
        <w:tblLook w:val="04A0"/>
      </w:tblPr>
      <w:tblGrid>
        <w:gridCol w:w="2864"/>
        <w:gridCol w:w="6712"/>
      </w:tblGrid>
      <w:tr w:rsidR="001274F1" w:rsidTr="004730A2">
        <w:tc>
          <w:tcPr>
            <w:tcW w:w="4788" w:type="dxa"/>
          </w:tcPr>
          <w:p w:rsidR="001274F1" w:rsidRDefault="001274F1" w:rsidP="004730A2">
            <w:pPr>
              <w:rPr>
                <w:b/>
                <w:sz w:val="40"/>
                <w:szCs w:val="40"/>
              </w:rPr>
            </w:pPr>
            <w:r>
              <w:rPr>
                <w:b/>
                <w:sz w:val="40"/>
                <w:szCs w:val="40"/>
              </w:rPr>
              <w:t>NM ID</w:t>
            </w:r>
          </w:p>
        </w:tc>
        <w:tc>
          <w:tcPr>
            <w:tcW w:w="4788" w:type="dxa"/>
          </w:tcPr>
          <w:p w:rsidR="001274F1" w:rsidRDefault="001274F1" w:rsidP="004730A2">
            <w:pPr>
              <w:rPr>
                <w:b/>
                <w:sz w:val="40"/>
                <w:szCs w:val="40"/>
              </w:rPr>
            </w:pPr>
            <w:r>
              <w:rPr>
                <w:b/>
                <w:sz w:val="40"/>
                <w:szCs w:val="40"/>
              </w:rPr>
              <w:t>8073B6FD2C609D2A026419D64F1FD32</w:t>
            </w:r>
          </w:p>
        </w:tc>
      </w:tr>
      <w:tr w:rsidR="001274F1" w:rsidTr="004730A2">
        <w:tc>
          <w:tcPr>
            <w:tcW w:w="4788" w:type="dxa"/>
          </w:tcPr>
          <w:p w:rsidR="001274F1" w:rsidRDefault="001274F1" w:rsidP="004730A2">
            <w:pPr>
              <w:rPr>
                <w:b/>
                <w:sz w:val="40"/>
                <w:szCs w:val="40"/>
              </w:rPr>
            </w:pPr>
            <w:r>
              <w:rPr>
                <w:b/>
                <w:sz w:val="40"/>
                <w:szCs w:val="40"/>
              </w:rPr>
              <w:t>PROJECT TITTLE</w:t>
            </w:r>
          </w:p>
        </w:tc>
        <w:tc>
          <w:tcPr>
            <w:tcW w:w="4788" w:type="dxa"/>
          </w:tcPr>
          <w:p w:rsidR="001274F1" w:rsidRDefault="001274F1" w:rsidP="004730A2">
            <w:pPr>
              <w:rPr>
                <w:b/>
                <w:sz w:val="40"/>
                <w:szCs w:val="40"/>
              </w:rPr>
            </w:pPr>
            <w:r>
              <w:rPr>
                <w:b/>
                <w:sz w:val="40"/>
                <w:szCs w:val="40"/>
              </w:rPr>
              <w:t>BUILD IN EVENT MANAGEMENT USING SALESFORCE</w:t>
            </w:r>
          </w:p>
        </w:tc>
      </w:tr>
    </w:tbl>
    <w:p w:rsidR="00FF1DAA" w:rsidRDefault="00FF1DAA"/>
    <w:p w:rsidR="001274F1" w:rsidRPr="001274F1" w:rsidRDefault="001274F1" w:rsidP="001274F1">
      <w:pPr>
        <w:numPr>
          <w:ilvl w:val="0"/>
          <w:numId w:val="1"/>
        </w:num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var(--dx-g-font-sans)" w:eastAsia="Times New Roman" w:hAnsi="var(--dx-g-font-sans)" w:cs="Times New Roman"/>
          <w:sz w:val="24"/>
          <w:szCs w:val="24"/>
        </w:rPr>
      </w:pPr>
      <w:hyperlink r:id="rId5" w:history="1">
        <w:r w:rsidRPr="001274F1">
          <w:rPr>
            <w:rFonts w:ascii="var(--dx-g-font-sans)" w:eastAsia="Times New Roman" w:hAnsi="var(--dx-g-font-sans)" w:cs="Times New Roman"/>
            <w:b/>
            <w:bCs/>
            <w:color w:val="0000FF"/>
            <w:sz w:val="24"/>
            <w:szCs w:val="24"/>
            <w:u w:val="single"/>
          </w:rPr>
          <w:t>Delivering Custom Notifications with Platform Events</w:t>
        </w:r>
      </w:hyperlink>
      <w:r w:rsidRPr="001274F1">
        <w:rPr>
          <w:rFonts w:ascii="var(--dx-g-font-sans)" w:eastAsia="Times New Roman" w:hAnsi="var(--dx-g-font-sans)" w:cs="Times New Roman"/>
          <w:sz w:val="24"/>
          <w:szCs w:val="24"/>
        </w:rPr>
        <w:br/>
        <w:t xml:space="preserve">Platform events are part of </w:t>
      </w:r>
      <w:proofErr w:type="spellStart"/>
      <w:r w:rsidRPr="001274F1">
        <w:rPr>
          <w:rFonts w:ascii="var(--dx-g-font-sans)" w:eastAsia="Times New Roman" w:hAnsi="var(--dx-g-font-sans)" w:cs="Times New Roman"/>
          <w:sz w:val="24"/>
          <w:szCs w:val="24"/>
        </w:rPr>
        <w:t>Salesforce’s</w:t>
      </w:r>
      <w:proofErr w:type="spellEnd"/>
      <w:r w:rsidRPr="001274F1">
        <w:rPr>
          <w:rFonts w:ascii="var(--dx-g-font-sans)" w:eastAsia="Times New Roman" w:hAnsi="var(--dx-g-font-sans)" w:cs="Times New Roman"/>
          <w:sz w:val="24"/>
          <w:szCs w:val="24"/>
        </w:rPr>
        <w:t xml:space="preserve"> enterprise messaging platform. The platform provides an event-driven messaging architecture to enable apps to communicate inside and outside of </w:t>
      </w:r>
      <w:proofErr w:type="spellStart"/>
      <w:r w:rsidRPr="001274F1">
        <w:rPr>
          <w:rFonts w:ascii="var(--dx-g-font-sans)" w:eastAsia="Times New Roman" w:hAnsi="var(--dx-g-font-sans)" w:cs="Times New Roman"/>
          <w:sz w:val="24"/>
          <w:szCs w:val="24"/>
        </w:rPr>
        <w:t>Salesforce</w:t>
      </w:r>
      <w:proofErr w:type="spellEnd"/>
      <w:r w:rsidRPr="001274F1">
        <w:rPr>
          <w:rFonts w:ascii="var(--dx-g-font-sans)" w:eastAsia="Times New Roman" w:hAnsi="var(--dx-g-font-sans)" w:cs="Times New Roman"/>
          <w:sz w:val="24"/>
          <w:szCs w:val="24"/>
        </w:rPr>
        <w:t>. Before diving into platform events, take a look at what an event-based software system is.</w:t>
      </w:r>
    </w:p>
    <w:p w:rsidR="001274F1" w:rsidRPr="001274F1" w:rsidRDefault="001274F1" w:rsidP="001274F1">
      <w:pPr>
        <w:numPr>
          <w:ilvl w:val="0"/>
          <w:numId w:val="1"/>
        </w:num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var(--dx-g-font-sans)" w:eastAsia="Times New Roman" w:hAnsi="var(--dx-g-font-sans)" w:cs="Times New Roman"/>
          <w:sz w:val="24"/>
          <w:szCs w:val="24"/>
        </w:rPr>
      </w:pPr>
      <w:hyperlink r:id="rId6" w:history="1">
        <w:r w:rsidRPr="001274F1">
          <w:rPr>
            <w:rFonts w:ascii="var(--dx-g-font-sans)" w:eastAsia="Times New Roman" w:hAnsi="var(--dx-g-font-sans)" w:cs="Times New Roman"/>
            <w:b/>
            <w:bCs/>
            <w:color w:val="0000FF"/>
            <w:sz w:val="24"/>
            <w:szCs w:val="24"/>
            <w:u w:val="single"/>
          </w:rPr>
          <w:t>Defining Your Custom Platform Event</w:t>
        </w:r>
      </w:hyperlink>
      <w:r w:rsidRPr="001274F1">
        <w:rPr>
          <w:rFonts w:ascii="var(--dx-g-font-sans)" w:eastAsia="Times New Roman" w:hAnsi="var(--dx-g-font-sans)" w:cs="Times New Roman"/>
          <w:sz w:val="24"/>
          <w:szCs w:val="24"/>
        </w:rPr>
        <w:br/>
        <w:t xml:space="preserve">Custom platform events are </w:t>
      </w:r>
      <w:proofErr w:type="spellStart"/>
      <w:r w:rsidRPr="001274F1">
        <w:rPr>
          <w:rFonts w:ascii="var(--dx-g-font-sans)" w:eastAsia="Times New Roman" w:hAnsi="var(--dx-g-font-sans)" w:cs="Times New Roman"/>
          <w:sz w:val="24"/>
          <w:szCs w:val="24"/>
        </w:rPr>
        <w:t>sObjects</w:t>
      </w:r>
      <w:proofErr w:type="spellEnd"/>
      <w:r w:rsidRPr="001274F1">
        <w:rPr>
          <w:rFonts w:ascii="var(--dx-g-font-sans)" w:eastAsia="Times New Roman" w:hAnsi="var(--dx-g-font-sans)" w:cs="Times New Roman"/>
          <w:sz w:val="24"/>
          <w:szCs w:val="24"/>
        </w:rPr>
        <w:t>, similar to custom objects. Define a platform event in the same way you define a custom object.</w:t>
      </w:r>
    </w:p>
    <w:p w:rsidR="001274F1" w:rsidRPr="001274F1" w:rsidRDefault="001274F1" w:rsidP="001274F1">
      <w:pPr>
        <w:numPr>
          <w:ilvl w:val="0"/>
          <w:numId w:val="1"/>
        </w:num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var(--dx-g-font-sans)" w:eastAsia="Times New Roman" w:hAnsi="var(--dx-g-font-sans)" w:cs="Times New Roman"/>
          <w:sz w:val="24"/>
          <w:szCs w:val="24"/>
        </w:rPr>
      </w:pPr>
      <w:hyperlink r:id="rId7" w:history="1">
        <w:r w:rsidRPr="001274F1">
          <w:rPr>
            <w:rFonts w:ascii="var(--dx-g-font-sans)" w:eastAsia="Times New Roman" w:hAnsi="var(--dx-g-font-sans)" w:cs="Times New Roman"/>
            <w:b/>
            <w:bCs/>
            <w:color w:val="0000FF"/>
            <w:sz w:val="24"/>
            <w:szCs w:val="24"/>
            <w:u w:val="single"/>
          </w:rPr>
          <w:t>Publishing Platform Events</w:t>
        </w:r>
      </w:hyperlink>
      <w:r w:rsidRPr="001274F1">
        <w:rPr>
          <w:rFonts w:ascii="var(--dx-g-font-sans)" w:eastAsia="Times New Roman" w:hAnsi="var(--dx-g-font-sans)" w:cs="Times New Roman"/>
          <w:sz w:val="24"/>
          <w:szCs w:val="24"/>
        </w:rPr>
        <w:br/>
      </w:r>
      <w:proofErr w:type="gramStart"/>
      <w:r w:rsidRPr="001274F1">
        <w:rPr>
          <w:rFonts w:ascii="var(--dx-g-font-sans)" w:eastAsia="Times New Roman" w:hAnsi="var(--dx-g-font-sans)" w:cs="Times New Roman"/>
          <w:sz w:val="24"/>
          <w:szCs w:val="24"/>
        </w:rPr>
        <w:t>After</w:t>
      </w:r>
      <w:proofErr w:type="gramEnd"/>
      <w:r w:rsidRPr="001274F1">
        <w:rPr>
          <w:rFonts w:ascii="var(--dx-g-font-sans)" w:eastAsia="Times New Roman" w:hAnsi="var(--dx-g-font-sans)" w:cs="Times New Roman"/>
          <w:sz w:val="24"/>
          <w:szCs w:val="24"/>
        </w:rPr>
        <w:t xml:space="preserve"> a platform event has been defined in your </w:t>
      </w:r>
      <w:proofErr w:type="spellStart"/>
      <w:r w:rsidRPr="001274F1">
        <w:rPr>
          <w:rFonts w:ascii="var(--dx-g-font-sans)" w:eastAsia="Times New Roman" w:hAnsi="var(--dx-g-font-sans)" w:cs="Times New Roman"/>
          <w:sz w:val="24"/>
          <w:szCs w:val="24"/>
        </w:rPr>
        <w:t>Salesforce</w:t>
      </w:r>
      <w:proofErr w:type="spellEnd"/>
      <w:r w:rsidRPr="001274F1">
        <w:rPr>
          <w:rFonts w:ascii="var(--dx-g-font-sans)" w:eastAsia="Times New Roman" w:hAnsi="var(--dx-g-font-sans)" w:cs="Times New Roman"/>
          <w:sz w:val="24"/>
          <w:szCs w:val="24"/>
        </w:rPr>
        <w:t xml:space="preserve"> org, publish event messages from a </w:t>
      </w:r>
      <w:proofErr w:type="spellStart"/>
      <w:r w:rsidRPr="001274F1">
        <w:rPr>
          <w:rFonts w:ascii="var(--dx-g-font-sans)" w:eastAsia="Times New Roman" w:hAnsi="var(--dx-g-font-sans)" w:cs="Times New Roman"/>
          <w:sz w:val="24"/>
          <w:szCs w:val="24"/>
        </w:rPr>
        <w:t>Salesforce</w:t>
      </w:r>
      <w:proofErr w:type="spellEnd"/>
      <w:r w:rsidRPr="001274F1">
        <w:rPr>
          <w:rFonts w:ascii="var(--dx-g-font-sans)" w:eastAsia="Times New Roman" w:hAnsi="var(--dx-g-font-sans)" w:cs="Times New Roman"/>
          <w:sz w:val="24"/>
          <w:szCs w:val="24"/>
        </w:rPr>
        <w:t xml:space="preserve"> app using processes, flows, or Apex or an external app using </w:t>
      </w:r>
      <w:proofErr w:type="spellStart"/>
      <w:r w:rsidRPr="001274F1">
        <w:rPr>
          <w:rFonts w:ascii="var(--dx-g-font-sans)" w:eastAsia="Times New Roman" w:hAnsi="var(--dx-g-font-sans)" w:cs="Times New Roman"/>
          <w:sz w:val="24"/>
          <w:szCs w:val="24"/>
        </w:rPr>
        <w:t>Salesforce</w:t>
      </w:r>
      <w:proofErr w:type="spellEnd"/>
      <w:r w:rsidRPr="001274F1">
        <w:rPr>
          <w:rFonts w:ascii="var(--dx-g-font-sans)" w:eastAsia="Times New Roman" w:hAnsi="var(--dx-g-font-sans)" w:cs="Times New Roman"/>
          <w:sz w:val="24"/>
          <w:szCs w:val="24"/>
        </w:rPr>
        <w:t xml:space="preserve"> APIs.</w:t>
      </w:r>
    </w:p>
    <w:p w:rsidR="001274F1" w:rsidRPr="001274F1" w:rsidRDefault="001274F1" w:rsidP="001274F1">
      <w:pPr>
        <w:numPr>
          <w:ilvl w:val="0"/>
          <w:numId w:val="1"/>
        </w:num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var(--dx-g-font-sans)" w:eastAsia="Times New Roman" w:hAnsi="var(--dx-g-font-sans)" w:cs="Times New Roman"/>
          <w:sz w:val="24"/>
          <w:szCs w:val="24"/>
        </w:rPr>
      </w:pPr>
      <w:hyperlink r:id="rId8" w:history="1">
        <w:r w:rsidRPr="001274F1">
          <w:rPr>
            <w:rFonts w:ascii="var(--dx-g-font-sans)" w:eastAsia="Times New Roman" w:hAnsi="var(--dx-g-font-sans)" w:cs="Times New Roman"/>
            <w:b/>
            <w:bCs/>
            <w:color w:val="0000FF"/>
            <w:sz w:val="24"/>
            <w:szCs w:val="24"/>
            <w:u w:val="single"/>
          </w:rPr>
          <w:t>Subscribing to Platform Events</w:t>
        </w:r>
      </w:hyperlink>
      <w:r w:rsidRPr="001274F1">
        <w:rPr>
          <w:rFonts w:ascii="var(--dx-g-font-sans)" w:eastAsia="Times New Roman" w:hAnsi="var(--dx-g-font-sans)" w:cs="Times New Roman"/>
          <w:sz w:val="24"/>
          <w:szCs w:val="24"/>
        </w:rPr>
        <w:br/>
        <w:t xml:space="preserve">Receive platform events in processes, flows, Apex triggers, or </w:t>
      </w:r>
      <w:proofErr w:type="spellStart"/>
      <w:r w:rsidRPr="001274F1">
        <w:rPr>
          <w:rFonts w:ascii="var(--dx-g-font-sans)" w:eastAsia="Times New Roman" w:hAnsi="var(--dx-g-font-sans)" w:cs="Times New Roman"/>
          <w:sz w:val="24"/>
          <w:szCs w:val="24"/>
        </w:rPr>
        <w:t>CometD</w:t>
      </w:r>
      <w:proofErr w:type="spellEnd"/>
      <w:r w:rsidRPr="001274F1">
        <w:rPr>
          <w:rFonts w:ascii="var(--dx-g-font-sans)" w:eastAsia="Times New Roman" w:hAnsi="var(--dx-g-font-sans)" w:cs="Times New Roman"/>
          <w:sz w:val="24"/>
          <w:szCs w:val="24"/>
        </w:rPr>
        <w:t xml:space="preserve"> clients.</w:t>
      </w:r>
    </w:p>
    <w:p w:rsidR="001274F1" w:rsidRPr="001274F1" w:rsidRDefault="001274F1" w:rsidP="001274F1">
      <w:pPr>
        <w:numPr>
          <w:ilvl w:val="0"/>
          <w:numId w:val="1"/>
        </w:num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var(--dx-g-font-sans)" w:eastAsia="Times New Roman" w:hAnsi="var(--dx-g-font-sans)" w:cs="Times New Roman"/>
          <w:sz w:val="24"/>
          <w:szCs w:val="24"/>
        </w:rPr>
      </w:pPr>
      <w:hyperlink r:id="rId9" w:history="1">
        <w:r w:rsidRPr="001274F1">
          <w:rPr>
            <w:rFonts w:ascii="var(--dx-g-font-sans)" w:eastAsia="Times New Roman" w:hAnsi="var(--dx-g-font-sans)" w:cs="Times New Roman"/>
            <w:b/>
            <w:bCs/>
            <w:color w:val="0000FF"/>
            <w:sz w:val="24"/>
            <w:szCs w:val="24"/>
            <w:u w:val="single"/>
          </w:rPr>
          <w:t>Testing Your Platform Event in Apex</w:t>
        </w:r>
      </w:hyperlink>
      <w:r w:rsidRPr="001274F1">
        <w:rPr>
          <w:rFonts w:ascii="var(--dx-g-font-sans)" w:eastAsia="Times New Roman" w:hAnsi="var(--dx-g-font-sans)" w:cs="Times New Roman"/>
          <w:sz w:val="24"/>
          <w:szCs w:val="24"/>
        </w:rPr>
        <w:br/>
        <w:t>Add Apex tests to test platform event subscribers. Before you can package or deploy Apex code, including triggers, to production, it must have tests and sufficient code coverage. Add Apex tests to provide code coverage for your triggers.</w:t>
      </w:r>
    </w:p>
    <w:p w:rsidR="001274F1" w:rsidRPr="001274F1" w:rsidRDefault="001274F1" w:rsidP="001274F1">
      <w:pPr>
        <w:numPr>
          <w:ilvl w:val="0"/>
          <w:numId w:val="1"/>
        </w:num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var(--dx-g-font-sans)" w:eastAsia="Times New Roman" w:hAnsi="var(--dx-g-font-sans)" w:cs="Times New Roman"/>
          <w:sz w:val="24"/>
          <w:szCs w:val="24"/>
        </w:rPr>
      </w:pPr>
      <w:hyperlink r:id="rId10" w:anchor="platform_events_encryption" w:history="1">
        <w:r w:rsidRPr="001274F1">
          <w:rPr>
            <w:rFonts w:ascii="var(--dx-g-font-sans)" w:eastAsia="Times New Roman" w:hAnsi="var(--dx-g-font-sans)" w:cs="Times New Roman"/>
            <w:b/>
            <w:bCs/>
            <w:color w:val="0000FF"/>
            <w:sz w:val="24"/>
            <w:szCs w:val="24"/>
            <w:u w:val="single"/>
          </w:rPr>
          <w:t>Encrypting Platform Event Messages at Rest in the Event Bus</w:t>
        </w:r>
      </w:hyperlink>
      <w:r w:rsidRPr="001274F1">
        <w:rPr>
          <w:rFonts w:ascii="var(--dx-g-font-sans)" w:eastAsia="Times New Roman" w:hAnsi="var(--dx-g-font-sans)" w:cs="Times New Roman"/>
          <w:sz w:val="24"/>
          <w:szCs w:val="24"/>
        </w:rPr>
        <w:br/>
        <w:t>For increased security, you can enable encryption of platform event messages while they’re stored in the event bus in a Shield Encryption org.</w:t>
      </w:r>
    </w:p>
    <w:p w:rsidR="001274F1" w:rsidRPr="001274F1" w:rsidRDefault="001274F1" w:rsidP="001274F1">
      <w:pPr>
        <w:numPr>
          <w:ilvl w:val="0"/>
          <w:numId w:val="1"/>
        </w:num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var(--dx-g-font-sans)" w:eastAsia="Times New Roman" w:hAnsi="var(--dx-g-font-sans)" w:cs="Times New Roman"/>
          <w:sz w:val="24"/>
          <w:szCs w:val="24"/>
        </w:rPr>
      </w:pPr>
      <w:hyperlink r:id="rId11" w:history="1">
        <w:r w:rsidRPr="001274F1">
          <w:rPr>
            <w:rFonts w:ascii="var(--dx-g-font-sans)" w:eastAsia="Times New Roman" w:hAnsi="var(--dx-g-font-sans)" w:cs="Times New Roman"/>
            <w:b/>
            <w:bCs/>
            <w:color w:val="0000FF"/>
            <w:sz w:val="24"/>
            <w:szCs w:val="24"/>
            <w:u w:val="single"/>
          </w:rPr>
          <w:t>Monitor Platform Event Publishing and Delivery Usage</w:t>
        </w:r>
      </w:hyperlink>
      <w:r w:rsidRPr="001274F1">
        <w:rPr>
          <w:rFonts w:ascii="var(--dx-g-font-sans)" w:eastAsia="Times New Roman" w:hAnsi="var(--dx-g-font-sans)" w:cs="Times New Roman"/>
          <w:sz w:val="24"/>
          <w:szCs w:val="24"/>
        </w:rPr>
        <w:br/>
      </w:r>
      <w:proofErr w:type="gramStart"/>
      <w:r w:rsidRPr="001274F1">
        <w:rPr>
          <w:rFonts w:ascii="var(--dx-g-font-sans)" w:eastAsia="Times New Roman" w:hAnsi="var(--dx-g-font-sans)" w:cs="Times New Roman"/>
          <w:sz w:val="24"/>
          <w:szCs w:val="24"/>
        </w:rPr>
        <w:t>To</w:t>
      </w:r>
      <w:proofErr w:type="gramEnd"/>
      <w:r w:rsidRPr="001274F1">
        <w:rPr>
          <w:rFonts w:ascii="var(--dx-g-font-sans)" w:eastAsia="Times New Roman" w:hAnsi="var(--dx-g-font-sans)" w:cs="Times New Roman"/>
          <w:sz w:val="24"/>
          <w:szCs w:val="24"/>
        </w:rPr>
        <w:t xml:space="preserve"> get usage data for event publishing and delivery to </w:t>
      </w:r>
      <w:proofErr w:type="spellStart"/>
      <w:r w:rsidRPr="001274F1">
        <w:rPr>
          <w:rFonts w:ascii="var(--dx-g-font-sans)" w:eastAsia="Times New Roman" w:hAnsi="var(--dx-g-font-sans)" w:cs="Times New Roman"/>
          <w:sz w:val="24"/>
          <w:szCs w:val="24"/>
        </w:rPr>
        <w:t>CometD</w:t>
      </w:r>
      <w:proofErr w:type="spellEnd"/>
      <w:r w:rsidRPr="001274F1">
        <w:rPr>
          <w:rFonts w:ascii="var(--dx-g-font-sans)" w:eastAsia="Times New Roman" w:hAnsi="var(--dx-g-font-sans)" w:cs="Times New Roman"/>
          <w:sz w:val="24"/>
          <w:szCs w:val="24"/>
        </w:rPr>
        <w:t xml:space="preserve"> and Pub/Sub API clients, </w:t>
      </w:r>
      <w:proofErr w:type="spellStart"/>
      <w:r w:rsidRPr="001274F1">
        <w:rPr>
          <w:rFonts w:ascii="var(--dx-g-font-mono)" w:eastAsia="Times New Roman" w:hAnsi="var(--dx-g-font-mono)" w:cs="Courier New"/>
          <w:color w:val="181818"/>
          <w:sz w:val="24"/>
          <w:szCs w:val="24"/>
        </w:rPr>
        <w:t>empApi</w:t>
      </w:r>
      <w:proofErr w:type="spellEnd"/>
      <w:r w:rsidRPr="001274F1">
        <w:rPr>
          <w:rFonts w:ascii="var(--dx-g-font-sans)" w:eastAsia="Times New Roman" w:hAnsi="var(--dx-g-font-sans)" w:cs="Times New Roman"/>
          <w:sz w:val="24"/>
          <w:szCs w:val="24"/>
        </w:rPr>
        <w:t xml:space="preserve"> Lightning components, and event relays, query the </w:t>
      </w:r>
      <w:proofErr w:type="spellStart"/>
      <w:r w:rsidRPr="001274F1">
        <w:rPr>
          <w:rFonts w:ascii="var(--dx-g-font-sans)" w:eastAsia="Times New Roman" w:hAnsi="var(--dx-g-font-sans)" w:cs="Times New Roman"/>
          <w:sz w:val="24"/>
          <w:szCs w:val="24"/>
        </w:rPr>
        <w:t>PlatformEventUsageMetric</w:t>
      </w:r>
      <w:proofErr w:type="spellEnd"/>
      <w:r w:rsidRPr="001274F1">
        <w:rPr>
          <w:rFonts w:ascii="var(--dx-g-font-sans)" w:eastAsia="Times New Roman" w:hAnsi="var(--dx-g-font-sans)" w:cs="Times New Roman"/>
          <w:sz w:val="24"/>
          <w:szCs w:val="24"/>
        </w:rPr>
        <w:t xml:space="preserve"> object. If Enhanced Usage Metrics isn’t enabled, usage data is available for the last 24 hours, ending at the last hour, and for historical daily usage. </w:t>
      </w:r>
      <w:proofErr w:type="spellStart"/>
      <w:r w:rsidRPr="001274F1">
        <w:rPr>
          <w:rFonts w:ascii="var(--dx-g-font-sans)" w:eastAsia="Times New Roman" w:hAnsi="var(--dx-g-font-sans)" w:cs="Times New Roman"/>
          <w:sz w:val="24"/>
          <w:szCs w:val="24"/>
        </w:rPr>
        <w:t>PlatformEventUsageMetric</w:t>
      </w:r>
      <w:proofErr w:type="spellEnd"/>
      <w:r w:rsidRPr="001274F1">
        <w:rPr>
          <w:rFonts w:ascii="var(--dx-g-font-sans)" w:eastAsia="Times New Roman" w:hAnsi="var(--dx-g-font-sans)" w:cs="Times New Roman"/>
          <w:sz w:val="24"/>
          <w:szCs w:val="24"/>
        </w:rPr>
        <w:t xml:space="preserve"> is available in API version 50.0 and later. In API 58.0 and </w:t>
      </w:r>
      <w:r w:rsidRPr="001274F1">
        <w:rPr>
          <w:rFonts w:ascii="var(--dx-g-font-sans)" w:eastAsia="Times New Roman" w:hAnsi="var(--dx-g-font-sans)" w:cs="Times New Roman"/>
          <w:sz w:val="24"/>
          <w:szCs w:val="24"/>
        </w:rPr>
        <w:lastRenderedPageBreak/>
        <w:t>later, you can enable Enhanced Usage Metrics so you can get usage data by event name and client for granular time intervals.</w:t>
      </w:r>
    </w:p>
    <w:p w:rsidR="001274F1" w:rsidRPr="001274F1" w:rsidRDefault="001274F1" w:rsidP="001274F1">
      <w:pPr>
        <w:numPr>
          <w:ilvl w:val="0"/>
          <w:numId w:val="1"/>
        </w:num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var(--dx-g-font-sans)" w:eastAsia="Times New Roman" w:hAnsi="var(--dx-g-font-sans)" w:cs="Times New Roman"/>
          <w:sz w:val="24"/>
          <w:szCs w:val="24"/>
        </w:rPr>
      </w:pPr>
      <w:hyperlink r:id="rId12" w:history="1">
        <w:r w:rsidRPr="001274F1">
          <w:rPr>
            <w:rFonts w:ascii="var(--dx-g-font-sans)" w:eastAsia="Times New Roman" w:hAnsi="var(--dx-g-font-sans)" w:cs="Times New Roman"/>
            <w:b/>
            <w:bCs/>
            <w:color w:val="0000FF"/>
            <w:sz w:val="24"/>
            <w:szCs w:val="24"/>
            <w:u w:val="single"/>
          </w:rPr>
          <w:t>Platform Event Considerations</w:t>
        </w:r>
      </w:hyperlink>
      <w:r w:rsidRPr="001274F1">
        <w:rPr>
          <w:rFonts w:ascii="var(--dx-g-font-sans)" w:eastAsia="Times New Roman" w:hAnsi="var(--dx-g-font-sans)" w:cs="Times New Roman"/>
          <w:sz w:val="24"/>
          <w:szCs w:val="24"/>
        </w:rPr>
        <w:br/>
        <w:t xml:space="preserve">Learn about special behaviors related to defining, publishing, and subscribing to platform events. Learn how to test platform events. And get an overview of the various events that </w:t>
      </w:r>
      <w:proofErr w:type="spellStart"/>
      <w:r w:rsidRPr="001274F1">
        <w:rPr>
          <w:rFonts w:ascii="var(--dx-g-font-sans)" w:eastAsia="Times New Roman" w:hAnsi="var(--dx-g-font-sans)" w:cs="Times New Roman"/>
          <w:sz w:val="24"/>
          <w:szCs w:val="24"/>
        </w:rPr>
        <w:t>Salesforce</w:t>
      </w:r>
      <w:proofErr w:type="spellEnd"/>
      <w:r w:rsidRPr="001274F1">
        <w:rPr>
          <w:rFonts w:ascii="var(--dx-g-font-sans)" w:eastAsia="Times New Roman" w:hAnsi="var(--dx-g-font-sans)" w:cs="Times New Roman"/>
          <w:sz w:val="24"/>
          <w:szCs w:val="24"/>
        </w:rPr>
        <w:t xml:space="preserve"> offers.</w:t>
      </w:r>
    </w:p>
    <w:p w:rsidR="001274F1" w:rsidRPr="001274F1" w:rsidRDefault="001274F1" w:rsidP="001274F1">
      <w:pPr>
        <w:numPr>
          <w:ilvl w:val="0"/>
          <w:numId w:val="1"/>
        </w:num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var(--dx-g-font-sans)" w:eastAsia="Times New Roman" w:hAnsi="var(--dx-g-font-sans)" w:cs="Times New Roman"/>
          <w:sz w:val="24"/>
          <w:szCs w:val="24"/>
        </w:rPr>
      </w:pPr>
      <w:hyperlink r:id="rId13" w:history="1">
        <w:r w:rsidRPr="001274F1">
          <w:rPr>
            <w:rFonts w:ascii="var(--dx-g-font-sans)" w:eastAsia="Times New Roman" w:hAnsi="var(--dx-g-font-sans)" w:cs="Times New Roman"/>
            <w:b/>
            <w:bCs/>
            <w:color w:val="0000FF"/>
            <w:sz w:val="24"/>
            <w:szCs w:val="24"/>
            <w:u w:val="single"/>
          </w:rPr>
          <w:t>Examples</w:t>
        </w:r>
      </w:hyperlink>
      <w:r w:rsidRPr="001274F1">
        <w:rPr>
          <w:rFonts w:ascii="var(--dx-g-font-sans)" w:eastAsia="Times New Roman" w:hAnsi="var(--dx-g-font-sans)" w:cs="Times New Roman"/>
          <w:sz w:val="24"/>
          <w:szCs w:val="24"/>
        </w:rPr>
        <w:br/>
      </w:r>
      <w:proofErr w:type="gramStart"/>
      <w:r w:rsidRPr="001274F1">
        <w:rPr>
          <w:rFonts w:ascii="var(--dx-g-font-sans)" w:eastAsia="Times New Roman" w:hAnsi="var(--dx-g-font-sans)" w:cs="Times New Roman"/>
          <w:sz w:val="24"/>
          <w:szCs w:val="24"/>
        </w:rPr>
        <w:t>Check</w:t>
      </w:r>
      <w:proofErr w:type="gramEnd"/>
      <w:r w:rsidRPr="001274F1">
        <w:rPr>
          <w:rFonts w:ascii="var(--dx-g-font-sans)" w:eastAsia="Times New Roman" w:hAnsi="var(--dx-g-font-sans)" w:cs="Times New Roman"/>
          <w:sz w:val="24"/>
          <w:szCs w:val="24"/>
        </w:rPr>
        <w:t xml:space="preserve"> out platform event apps—an end-to-end example using flows, Java examples, and a sample app that covers a business scenario.</w:t>
      </w:r>
    </w:p>
    <w:p w:rsidR="001274F1" w:rsidRPr="001274F1" w:rsidRDefault="001274F1" w:rsidP="001274F1">
      <w:pPr>
        <w:numPr>
          <w:ilvl w:val="0"/>
          <w:numId w:val="1"/>
        </w:num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var(--dx-g-font-sans)" w:eastAsia="Times New Roman" w:hAnsi="var(--dx-g-font-sans)" w:cs="Times New Roman"/>
          <w:sz w:val="24"/>
          <w:szCs w:val="24"/>
        </w:rPr>
      </w:pPr>
      <w:hyperlink r:id="rId14" w:history="1">
        <w:r w:rsidRPr="001274F1">
          <w:rPr>
            <w:rFonts w:ascii="var(--dx-g-font-sans)" w:eastAsia="Times New Roman" w:hAnsi="var(--dx-g-font-sans)" w:cs="Times New Roman"/>
            <w:b/>
            <w:bCs/>
            <w:color w:val="0000FF"/>
            <w:sz w:val="24"/>
            <w:szCs w:val="24"/>
            <w:u w:val="single"/>
          </w:rPr>
          <w:t>Reference</w:t>
        </w:r>
      </w:hyperlink>
      <w:r w:rsidRPr="001274F1">
        <w:rPr>
          <w:rFonts w:ascii="var(--dx-g-font-sans)" w:eastAsia="Times New Roman" w:hAnsi="var(--dx-g-font-sans)" w:cs="Times New Roman"/>
          <w:sz w:val="24"/>
          <w:szCs w:val="24"/>
        </w:rPr>
        <w:br/>
        <w:t>The reference documentation for platform events covers limits, an API object, and Apex methods.</w:t>
      </w:r>
    </w:p>
    <w:p w:rsidR="001274F1" w:rsidRDefault="001274F1"/>
    <w:sectPr w:rsidR="001274F1" w:rsidSect="00FF1DA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ar(--dx-g-font-sans)">
    <w:altName w:val="Times New Roman"/>
    <w:panose1 w:val="00000000000000000000"/>
    <w:charset w:val="00"/>
    <w:family w:val="roman"/>
    <w:notTrueType/>
    <w:pitch w:val="default"/>
    <w:sig w:usb0="00000000" w:usb1="00000000" w:usb2="00000000" w:usb3="00000000" w:csb0="00000000" w:csb1="00000000"/>
  </w:font>
  <w:font w:name="var(--dx-g-font-mono)">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C8D5C6C"/>
    <w:multiLevelType w:val="multilevel"/>
    <w:tmpl w:val="D58CF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1274F1"/>
    <w:rsid w:val="001274F1"/>
    <w:rsid w:val="00FF1DA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1DAA"/>
  </w:style>
  <w:style w:type="paragraph" w:styleId="Heading3">
    <w:name w:val="heading 3"/>
    <w:basedOn w:val="Normal"/>
    <w:link w:val="Heading3Char"/>
    <w:uiPriority w:val="9"/>
    <w:qFormat/>
    <w:rsid w:val="001274F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274F1"/>
    <w:rPr>
      <w:rFonts w:ascii="Times New Roman" w:eastAsia="Times New Roman" w:hAnsi="Times New Roman" w:cs="Times New Roman"/>
      <w:b/>
      <w:bCs/>
      <w:sz w:val="27"/>
      <w:szCs w:val="27"/>
    </w:rPr>
  </w:style>
  <w:style w:type="table" w:styleId="TableGrid">
    <w:name w:val="Table Grid"/>
    <w:basedOn w:val="TableNormal"/>
    <w:uiPriority w:val="59"/>
    <w:rsid w:val="001274F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Strong">
    <w:name w:val="Strong"/>
    <w:basedOn w:val="DefaultParagraphFont"/>
    <w:uiPriority w:val="22"/>
    <w:qFormat/>
    <w:rsid w:val="001274F1"/>
    <w:rPr>
      <w:b/>
      <w:bCs/>
    </w:rPr>
  </w:style>
  <w:style w:type="character" w:styleId="Hyperlink">
    <w:name w:val="Hyperlink"/>
    <w:basedOn w:val="DefaultParagraphFont"/>
    <w:uiPriority w:val="99"/>
    <w:semiHidden/>
    <w:unhideWhenUsed/>
    <w:rsid w:val="001274F1"/>
    <w:rPr>
      <w:color w:val="0000FF"/>
      <w:u w:val="single"/>
    </w:rPr>
  </w:style>
  <w:style w:type="character" w:styleId="HTMLSample">
    <w:name w:val="HTML Sample"/>
    <w:basedOn w:val="DefaultParagraphFont"/>
    <w:uiPriority w:val="99"/>
    <w:semiHidden/>
    <w:unhideWhenUsed/>
    <w:rsid w:val="001274F1"/>
    <w:rPr>
      <w:rFonts w:ascii="Courier New" w:eastAsia="Times New Roman" w:hAnsi="Courier New" w:cs="Courier New"/>
    </w:rPr>
  </w:style>
</w:styles>
</file>

<file path=word/webSettings.xml><?xml version="1.0" encoding="utf-8"?>
<w:webSettings xmlns:r="http://schemas.openxmlformats.org/officeDocument/2006/relationships" xmlns:w="http://schemas.openxmlformats.org/wordprocessingml/2006/main">
  <w:divs>
    <w:div w:id="811366067">
      <w:bodyDiv w:val="1"/>
      <w:marLeft w:val="0"/>
      <w:marRight w:val="0"/>
      <w:marTop w:val="0"/>
      <w:marBottom w:val="0"/>
      <w:divBdr>
        <w:top w:val="none" w:sz="0" w:space="0" w:color="auto"/>
        <w:left w:val="none" w:sz="0" w:space="0" w:color="auto"/>
        <w:bottom w:val="none" w:sz="0" w:space="0" w:color="auto"/>
        <w:right w:val="none" w:sz="0" w:space="0" w:color="auto"/>
      </w:divBdr>
      <w:divsChild>
        <w:div w:id="255019651">
          <w:marLeft w:val="0"/>
          <w:marRight w:val="0"/>
          <w:marTop w:val="0"/>
          <w:marBottom w:val="0"/>
          <w:divBdr>
            <w:top w:val="single" w:sz="2" w:space="0" w:color="E2E8F0"/>
            <w:left w:val="single" w:sz="2" w:space="0" w:color="E2E8F0"/>
            <w:bottom w:val="single" w:sz="2" w:space="0" w:color="E2E8F0"/>
            <w:right w:val="single" w:sz="2" w:space="0" w:color="E2E8F0"/>
          </w:divBdr>
          <w:divsChild>
            <w:div w:id="400055520">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 w:id="1115636746">
      <w:bodyDiv w:val="1"/>
      <w:marLeft w:val="0"/>
      <w:marRight w:val="0"/>
      <w:marTop w:val="0"/>
      <w:marBottom w:val="0"/>
      <w:divBdr>
        <w:top w:val="none" w:sz="0" w:space="0" w:color="auto"/>
        <w:left w:val="none" w:sz="0" w:space="0" w:color="auto"/>
        <w:bottom w:val="none" w:sz="0" w:space="0" w:color="auto"/>
        <w:right w:val="none" w:sz="0" w:space="0" w:color="auto"/>
      </w:divBdr>
    </w:div>
    <w:div w:id="1690833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eveloper.salesforce.com/docs/atlas.en-us.platform_events.meta/platform_events/platform_events_subscribe.htm" TargetMode="External"/><Relationship Id="rId13" Type="http://schemas.openxmlformats.org/officeDocument/2006/relationships/hyperlink" Target="https://developer.salesforce.com/docs/atlas.en-us.platform_events.meta/platform_events/platform_events_examples.htm" TargetMode="External"/><Relationship Id="rId3" Type="http://schemas.openxmlformats.org/officeDocument/2006/relationships/settings" Target="settings.xml"/><Relationship Id="rId7" Type="http://schemas.openxmlformats.org/officeDocument/2006/relationships/hyperlink" Target="https://developer.salesforce.com/docs/atlas.en-us.platform_events.meta/platform_events/platform_events_publish.htm" TargetMode="External"/><Relationship Id="rId12" Type="http://schemas.openxmlformats.org/officeDocument/2006/relationships/hyperlink" Target="https://developer.salesforce.com/docs/atlas.en-us.platform_events.meta/platform_events/platform_event_extras.ht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eveloper.salesforce.com/docs/atlas.en-us.platform_events.meta/platform_events/platform_events_define.htm" TargetMode="External"/><Relationship Id="rId11" Type="http://schemas.openxmlformats.org/officeDocument/2006/relationships/hyperlink" Target="https://developer.salesforce.com/docs/atlas.en-us.platform_events.meta/platform_events/platform_events_monitor_usage.htm" TargetMode="External"/><Relationship Id="rId5" Type="http://schemas.openxmlformats.org/officeDocument/2006/relationships/hyperlink" Target="https://developer.salesforce.com/docs/atlas.en-us.platform_events.meta/platform_events/platform_events_overview.htm" TargetMode="External"/><Relationship Id="rId15" Type="http://schemas.openxmlformats.org/officeDocument/2006/relationships/fontTable" Target="fontTable.xml"/><Relationship Id="rId10" Type="http://schemas.openxmlformats.org/officeDocument/2006/relationships/hyperlink" Target="https://developer.salesforce.com/docs/atlas.en-us.platform_events.meta/platform_events/platform_events_encryption.htm" TargetMode="External"/><Relationship Id="rId4" Type="http://schemas.openxmlformats.org/officeDocument/2006/relationships/webSettings" Target="webSettings.xml"/><Relationship Id="rId9" Type="http://schemas.openxmlformats.org/officeDocument/2006/relationships/hyperlink" Target="https://developer.salesforce.com/docs/atlas.en-us.platform_events.meta/platform_events/platform_event_apex_tests.htm" TargetMode="External"/><Relationship Id="rId14" Type="http://schemas.openxmlformats.org/officeDocument/2006/relationships/hyperlink" Target="https://developer.salesforce.com/docs/atlas.en-us.platform_events.meta/platform_events/platform_events_referenc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584</Words>
  <Characters>3330</Characters>
  <Application>Microsoft Office Word</Application>
  <DocSecurity>0</DocSecurity>
  <Lines>27</Lines>
  <Paragraphs>7</Paragraphs>
  <ScaleCrop>false</ScaleCrop>
  <Company/>
  <LinksUpToDate>false</LinksUpToDate>
  <CharactersWithSpaces>3907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Bhavadarani</dc:creator>
  <cp:lastModifiedBy>Bhavadarani</cp:lastModifiedBy>
  <cp:revision>1</cp:revision>
  <dcterms:created xsi:type="dcterms:W3CDTF">2023-11-03T09:01:00Z</dcterms:created>
  <dcterms:modified xsi:type="dcterms:W3CDTF">2023-11-03T09:04:00Z</dcterms:modified>
</cp:coreProperties>
</file>