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017"/>
        <w:tblW w:w="10915" w:type="dxa"/>
        <w:tblLook w:val="04A0" w:firstRow="1" w:lastRow="0" w:firstColumn="1" w:lastColumn="0" w:noHBand="0" w:noVBand="1"/>
      </w:tblPr>
      <w:tblGrid>
        <w:gridCol w:w="892"/>
        <w:gridCol w:w="2027"/>
        <w:gridCol w:w="2752"/>
        <w:gridCol w:w="5244"/>
      </w:tblGrid>
      <w:tr w:rsidR="00F24D2B" w14:paraId="4A18E067" w14:textId="77777777" w:rsidTr="00F24D2B">
        <w:trPr>
          <w:trHeight w:val="699"/>
        </w:trPr>
        <w:tc>
          <w:tcPr>
            <w:tcW w:w="892" w:type="dxa"/>
          </w:tcPr>
          <w:p w14:paraId="30911982" w14:textId="3FE0F1BF" w:rsidR="00F24805" w:rsidRPr="00F24D2B" w:rsidRDefault="00F24805" w:rsidP="00F24D2B">
            <w:pPr>
              <w:rPr>
                <w:rFonts w:ascii="Aharoni" w:hAnsi="Aharoni" w:cs="Aharoni" w:hint="cs"/>
                <w:color w:val="000000" w:themeColor="text1"/>
                <w:sz w:val="36"/>
                <w:szCs w:val="36"/>
              </w:rPr>
            </w:pPr>
            <w:r w:rsidRPr="00F24D2B">
              <w:rPr>
                <w:rFonts w:ascii="Aharoni" w:hAnsi="Aharoni" w:cs="Aharoni"/>
                <w:color w:val="000000" w:themeColor="text1"/>
                <w:sz w:val="36"/>
                <w:szCs w:val="36"/>
              </w:rPr>
              <w:t>s.no</w:t>
            </w:r>
          </w:p>
        </w:tc>
        <w:tc>
          <w:tcPr>
            <w:tcW w:w="2027" w:type="dxa"/>
          </w:tcPr>
          <w:p w14:paraId="498C5649" w14:textId="378E4482" w:rsidR="00F24805" w:rsidRDefault="00F24805" w:rsidP="00F24D2B">
            <w:r>
              <w:rPr>
                <w:rFonts w:ascii="Arial Black" w:hAnsi="Arial Black" w:cs="Arial Black"/>
                <w:sz w:val="24"/>
                <w:szCs w:val="24"/>
              </w:rPr>
              <w:t xml:space="preserve">   </w:t>
            </w:r>
            <w:r>
              <w:rPr>
                <w:rFonts w:ascii="Arial Black" w:hAnsi="Arial Black" w:cs="Arial Black"/>
                <w:sz w:val="24"/>
                <w:szCs w:val="24"/>
              </w:rPr>
              <w:t>APPLICATION DOMAIN</w:t>
            </w:r>
          </w:p>
        </w:tc>
        <w:tc>
          <w:tcPr>
            <w:tcW w:w="2752" w:type="dxa"/>
          </w:tcPr>
          <w:p w14:paraId="27D701FE" w14:textId="49D51ECB" w:rsidR="00F24805" w:rsidRDefault="00F24805" w:rsidP="00F24D2B">
            <w:r>
              <w:rPr>
                <w:rFonts w:ascii="Arial Black" w:hAnsi="Arial Black" w:cs="Arial Black"/>
                <w:sz w:val="24"/>
                <w:szCs w:val="24"/>
              </w:rPr>
              <w:t>COMPLEX PROBLEM IDENTIFIED</w:t>
            </w:r>
          </w:p>
        </w:tc>
        <w:tc>
          <w:tcPr>
            <w:tcW w:w="5244" w:type="dxa"/>
          </w:tcPr>
          <w:p w14:paraId="7E742E15" w14:textId="16BC48FE" w:rsidR="00F24805" w:rsidRDefault="00F24805" w:rsidP="00F24D2B">
            <w:r>
              <w:rPr>
                <w:rFonts w:ascii="Arial Black" w:hAnsi="Arial Black" w:cs="Arial Black"/>
                <w:sz w:val="24"/>
                <w:szCs w:val="24"/>
              </w:rPr>
              <w:t>JUSTIFICATION</w:t>
            </w:r>
          </w:p>
        </w:tc>
      </w:tr>
      <w:tr w:rsidR="00F24D2B" w14:paraId="77F3D67C" w14:textId="77777777" w:rsidTr="00F24D2B">
        <w:trPr>
          <w:trHeight w:val="1682"/>
        </w:trPr>
        <w:tc>
          <w:tcPr>
            <w:tcW w:w="892" w:type="dxa"/>
          </w:tcPr>
          <w:p w14:paraId="3765A42A" w14:textId="22497845" w:rsidR="00F24805" w:rsidRPr="00F24D2B" w:rsidRDefault="00F24805" w:rsidP="00F24D2B">
            <w:pPr>
              <w:rPr>
                <w:rFonts w:ascii="Amasis MT Pro Black" w:hAnsi="Amasis MT Pro Black"/>
                <w:color w:val="000000" w:themeColor="text1"/>
                <w:sz w:val="40"/>
                <w:szCs w:val="40"/>
              </w:rPr>
            </w:pPr>
            <w:r w:rsidRPr="00F24D2B">
              <w:rPr>
                <w:rFonts w:ascii="Amasis MT Pro Black" w:hAnsi="Amasis MT Pro Black"/>
                <w:color w:val="000000" w:themeColor="text1"/>
                <w:sz w:val="40"/>
                <w:szCs w:val="40"/>
              </w:rPr>
              <w:t>1.</w:t>
            </w:r>
          </w:p>
        </w:tc>
        <w:tc>
          <w:tcPr>
            <w:tcW w:w="2027" w:type="dxa"/>
          </w:tcPr>
          <w:p w14:paraId="5157A371" w14:textId="5915E039" w:rsidR="00F24805" w:rsidRPr="00F24D2B" w:rsidRDefault="00F24D2B" w:rsidP="00F24D2B">
            <w:pPr>
              <w:rPr>
                <w:rFonts w:asciiTheme="majorHAnsi" w:hAnsiTheme="majorHAnsi" w:cstheme="majorHAnsi"/>
              </w:rPr>
            </w:pPr>
            <w:r w:rsidRPr="00F24D2B">
              <w:rPr>
                <w:rFonts w:asciiTheme="majorHAnsi" w:hAnsiTheme="majorHAnsi" w:cstheme="majorHAnsi"/>
              </w:rPr>
              <w:t>Finance</w:t>
            </w:r>
          </w:p>
        </w:tc>
        <w:tc>
          <w:tcPr>
            <w:tcW w:w="2752" w:type="dxa"/>
          </w:tcPr>
          <w:p w14:paraId="2A260B21" w14:textId="24A7B0BC" w:rsidR="00F24805" w:rsidRDefault="00F24D2B" w:rsidP="00F24D2B">
            <w:r>
              <w:t>Fraud Detection in Transactions</w:t>
            </w:r>
          </w:p>
        </w:tc>
        <w:tc>
          <w:tcPr>
            <w:tcW w:w="5244" w:type="dxa"/>
          </w:tcPr>
          <w:p w14:paraId="1085CC1B" w14:textId="27F9A290" w:rsidR="00F24805" w:rsidRDefault="00F24D2B" w:rsidP="00F24D2B">
            <w:r>
              <w:t xml:space="preserve">Financial fraud detection involves </w:t>
            </w:r>
            <w:proofErr w:type="spellStart"/>
            <w:r>
              <w:t>analyzing</w:t>
            </w:r>
            <w:proofErr w:type="spellEnd"/>
            <w:r>
              <w:t xml:space="preserve"> vast amounts of transactional data in real-time to identify suspicious patterns. This requires advanced algorithms, machine learning models, and the ability to adapt to evolving fraud tactics, making it a complex challenge.</w:t>
            </w:r>
          </w:p>
        </w:tc>
      </w:tr>
      <w:tr w:rsidR="00F24D2B" w14:paraId="00CD79FC" w14:textId="77777777" w:rsidTr="00F24D2B">
        <w:trPr>
          <w:trHeight w:val="1758"/>
        </w:trPr>
        <w:tc>
          <w:tcPr>
            <w:tcW w:w="892" w:type="dxa"/>
          </w:tcPr>
          <w:p w14:paraId="60785977" w14:textId="1AE1DE03" w:rsidR="00F24805" w:rsidRPr="00F24D2B" w:rsidRDefault="00F24805" w:rsidP="00F24D2B">
            <w:pPr>
              <w:rPr>
                <w:rFonts w:ascii="Amasis MT Pro Black" w:hAnsi="Amasis MT Pro Black"/>
                <w:color w:val="000000" w:themeColor="text1"/>
                <w:sz w:val="40"/>
                <w:szCs w:val="40"/>
              </w:rPr>
            </w:pPr>
            <w:r w:rsidRPr="00F24D2B">
              <w:rPr>
                <w:rFonts w:ascii="Amasis MT Pro Black" w:hAnsi="Amasis MT Pro Black"/>
                <w:color w:val="000000" w:themeColor="text1"/>
                <w:sz w:val="40"/>
                <w:szCs w:val="40"/>
              </w:rPr>
              <w:t>2.</w:t>
            </w:r>
          </w:p>
        </w:tc>
        <w:tc>
          <w:tcPr>
            <w:tcW w:w="20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tblGrid>
            <w:tr w:rsidR="00F24D2B" w:rsidRPr="00F24D2B" w14:paraId="7B21C639" w14:textId="77777777" w:rsidTr="00F24D2B">
              <w:trPr>
                <w:tblCellSpacing w:w="15" w:type="dxa"/>
              </w:trPr>
              <w:tc>
                <w:tcPr>
                  <w:tcW w:w="0" w:type="auto"/>
                  <w:vAlign w:val="center"/>
                  <w:hideMark/>
                </w:tcPr>
                <w:p w14:paraId="6E34D023" w14:textId="36BD4ED0" w:rsidR="00F24D2B" w:rsidRPr="00F24D2B" w:rsidRDefault="00F24D2B" w:rsidP="00F24D2B">
                  <w:pPr>
                    <w:framePr w:hSpace="180" w:wrap="around" w:vAnchor="page" w:hAnchor="margin" w:xAlign="center" w:y="2017"/>
                    <w:spacing w:after="0" w:line="240" w:lineRule="auto"/>
                    <w:rPr>
                      <w:rFonts w:ascii="Times New Roman" w:eastAsia="Times New Roman" w:hAnsi="Times New Roman" w:cs="Times New Roman"/>
                      <w:kern w:val="0"/>
                      <w:sz w:val="24"/>
                      <w:szCs w:val="24"/>
                      <w:lang w:eastAsia="en-IN"/>
                      <w14:ligatures w14:val="none"/>
                    </w:rPr>
                  </w:pPr>
                  <w:r>
                    <w:t>Smart Cities</w:t>
                  </w:r>
                </w:p>
              </w:tc>
            </w:tr>
          </w:tbl>
          <w:p w14:paraId="59BE6E1E" w14:textId="77777777" w:rsidR="00F24D2B" w:rsidRPr="00F24D2B" w:rsidRDefault="00F24D2B" w:rsidP="00F24D2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D2B" w:rsidRPr="00F24D2B" w14:paraId="26E3D06F" w14:textId="77777777" w:rsidTr="00F24D2B">
              <w:trPr>
                <w:tblCellSpacing w:w="15" w:type="dxa"/>
              </w:trPr>
              <w:tc>
                <w:tcPr>
                  <w:tcW w:w="0" w:type="auto"/>
                  <w:vAlign w:val="center"/>
                  <w:hideMark/>
                </w:tcPr>
                <w:p w14:paraId="79936703" w14:textId="77777777" w:rsidR="00F24D2B" w:rsidRPr="00F24D2B" w:rsidRDefault="00F24D2B" w:rsidP="00F24D2B">
                  <w:pPr>
                    <w:framePr w:hSpace="180" w:wrap="around" w:vAnchor="page" w:hAnchor="margin" w:xAlign="center" w:y="2017"/>
                    <w:spacing w:after="0" w:line="240" w:lineRule="auto"/>
                    <w:rPr>
                      <w:rFonts w:ascii="Times New Roman" w:eastAsia="Times New Roman" w:hAnsi="Times New Roman" w:cs="Times New Roman"/>
                      <w:kern w:val="0"/>
                      <w:sz w:val="24"/>
                      <w:szCs w:val="24"/>
                      <w:lang w:eastAsia="en-IN"/>
                      <w14:ligatures w14:val="none"/>
                    </w:rPr>
                  </w:pPr>
                </w:p>
              </w:tc>
            </w:tr>
          </w:tbl>
          <w:p w14:paraId="040D2557" w14:textId="77777777" w:rsidR="00F24805" w:rsidRDefault="00F24805" w:rsidP="00F24D2B"/>
        </w:tc>
        <w:tc>
          <w:tcPr>
            <w:tcW w:w="2752" w:type="dxa"/>
          </w:tcPr>
          <w:p w14:paraId="075E3ECB" w14:textId="4EC176C0" w:rsidR="00F24805" w:rsidRDefault="00F24D2B" w:rsidP="00F24D2B">
            <w:r>
              <w:t>Integrating IoT Devices for Urban Management</w:t>
            </w:r>
          </w:p>
        </w:tc>
        <w:tc>
          <w:tcPr>
            <w:tcW w:w="5244" w:type="dxa"/>
          </w:tcPr>
          <w:p w14:paraId="459BB076" w14:textId="5A099B24" w:rsidR="00F24805" w:rsidRDefault="00F24D2B" w:rsidP="00F24D2B">
            <w:r>
              <w:t>Smart city infrastructure relies on numerous IoT devices that need to communicate seamlessly. Managing data flow, ensuring interoperability, and maintaining security across these devices presents significant technical and logistical challenges.</w:t>
            </w:r>
          </w:p>
        </w:tc>
      </w:tr>
      <w:tr w:rsidR="00F24D2B" w14:paraId="371F5B41" w14:textId="77777777" w:rsidTr="00F24D2B">
        <w:trPr>
          <w:trHeight w:val="1682"/>
        </w:trPr>
        <w:tc>
          <w:tcPr>
            <w:tcW w:w="892" w:type="dxa"/>
          </w:tcPr>
          <w:p w14:paraId="65CD673A" w14:textId="390E845C" w:rsidR="00F24805" w:rsidRPr="00F24D2B" w:rsidRDefault="00F24805" w:rsidP="00F24D2B">
            <w:pPr>
              <w:rPr>
                <w:rFonts w:ascii="Amasis MT Pro Black" w:hAnsi="Amasis MT Pro Black"/>
                <w:color w:val="000000" w:themeColor="text1"/>
                <w:sz w:val="40"/>
                <w:szCs w:val="40"/>
              </w:rPr>
            </w:pPr>
            <w:r w:rsidRPr="00F24D2B">
              <w:rPr>
                <w:rFonts w:ascii="Amasis MT Pro Black" w:hAnsi="Amasis MT Pro Black"/>
                <w:color w:val="000000" w:themeColor="text1"/>
                <w:sz w:val="40"/>
                <w:szCs w:val="40"/>
              </w:rPr>
              <w:t>3.</w:t>
            </w:r>
          </w:p>
        </w:tc>
        <w:tc>
          <w:tcPr>
            <w:tcW w:w="2027" w:type="dxa"/>
          </w:tcPr>
          <w:p w14:paraId="13FDFC22" w14:textId="6FA6F12E" w:rsidR="00F24805" w:rsidRDefault="00F24D2B" w:rsidP="00F24D2B">
            <w:r>
              <w:t>Agriculture</w:t>
            </w:r>
          </w:p>
        </w:tc>
        <w:tc>
          <w:tcPr>
            <w:tcW w:w="2752" w:type="dxa"/>
          </w:tcPr>
          <w:p w14:paraId="11BE5E0D" w14:textId="7C02AFAB" w:rsidR="00F24805" w:rsidRDefault="00F24D2B" w:rsidP="00F24D2B">
            <w:r>
              <w:t>Precision Farming and Resource Management</w:t>
            </w:r>
          </w:p>
        </w:tc>
        <w:tc>
          <w:tcPr>
            <w:tcW w:w="5244" w:type="dxa"/>
          </w:tcPr>
          <w:p w14:paraId="4F2AC6F4" w14:textId="50911F04" w:rsidR="00F24805" w:rsidRDefault="00F24D2B" w:rsidP="00F24D2B">
            <w:r>
              <w:t xml:space="preserve">Precision farming involves </w:t>
            </w:r>
            <w:proofErr w:type="spellStart"/>
            <w:r>
              <w:t>analyzing</w:t>
            </w:r>
            <w:proofErr w:type="spellEnd"/>
            <w:r>
              <w:t xml:space="preserve"> vast amounts of data from sensors, drones, and satellites to optimize resource use and crop yields. The complexity lies in integrating diverse data sources, applying machine learning, and adapting to environmental changes.</w:t>
            </w:r>
            <w:r>
              <w:t xml:space="preserve"> </w:t>
            </w:r>
          </w:p>
        </w:tc>
      </w:tr>
    </w:tbl>
    <w:p w14:paraId="3BEC2505" w14:textId="77777777" w:rsidR="00F24805" w:rsidRPr="00F24D2B" w:rsidRDefault="00F24805">
      <w:pPr>
        <w:rPr>
          <w:b/>
          <w:bCs/>
        </w:rPr>
      </w:pPr>
    </w:p>
    <w:sectPr w:rsidR="00F24805" w:rsidRPr="00F24D2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95E79" w14:textId="77777777" w:rsidR="00297740" w:rsidRDefault="00297740" w:rsidP="00F24D2B">
      <w:pPr>
        <w:spacing w:after="0" w:line="240" w:lineRule="auto"/>
      </w:pPr>
      <w:r>
        <w:separator/>
      </w:r>
    </w:p>
  </w:endnote>
  <w:endnote w:type="continuationSeparator" w:id="0">
    <w:p w14:paraId="4219E782" w14:textId="77777777" w:rsidR="00297740" w:rsidRDefault="00297740" w:rsidP="00F2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077E" w14:textId="77777777" w:rsidR="00297740" w:rsidRDefault="00297740" w:rsidP="00F24D2B">
      <w:pPr>
        <w:spacing w:after="0" w:line="240" w:lineRule="auto"/>
      </w:pPr>
      <w:r>
        <w:separator/>
      </w:r>
    </w:p>
  </w:footnote>
  <w:footnote w:type="continuationSeparator" w:id="0">
    <w:p w14:paraId="190807E4" w14:textId="77777777" w:rsidR="00297740" w:rsidRDefault="00297740" w:rsidP="00F2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0EFA" w14:textId="13251342" w:rsidR="00F24D2B" w:rsidRPr="00F24D2B" w:rsidRDefault="00F24D2B">
    <w:pPr>
      <w:pStyle w:val="Header"/>
      <w:rPr>
        <w:sz w:val="52"/>
        <w:szCs w:val="52"/>
        <w:lang w:val="en-US"/>
      </w:rPr>
    </w:pPr>
    <w:r>
      <w:rPr>
        <w:sz w:val="52"/>
        <w:szCs w:val="52"/>
        <w:lang w:val="en-US"/>
      </w:rPr>
      <w:t xml:space="preserve">         COMPLEX PROBLEM TABLE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05"/>
    <w:rsid w:val="00297740"/>
    <w:rsid w:val="00B256B9"/>
    <w:rsid w:val="00F24805"/>
    <w:rsid w:val="00F2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DDCC"/>
  <w15:chartTrackingRefBased/>
  <w15:docId w15:val="{DCCE217A-F06D-485D-847E-38BBD92D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D2B"/>
  </w:style>
  <w:style w:type="paragraph" w:styleId="Footer">
    <w:name w:val="footer"/>
    <w:basedOn w:val="Normal"/>
    <w:link w:val="FooterChar"/>
    <w:uiPriority w:val="99"/>
    <w:unhideWhenUsed/>
    <w:rsid w:val="00F24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d</dc:creator>
  <cp:keywords/>
  <dc:description/>
  <cp:lastModifiedBy>madhumitha d</cp:lastModifiedBy>
  <cp:revision>1</cp:revision>
  <cp:lastPrinted>2024-09-18T13:13:00Z</cp:lastPrinted>
  <dcterms:created xsi:type="dcterms:W3CDTF">2024-09-18T11:22:00Z</dcterms:created>
  <dcterms:modified xsi:type="dcterms:W3CDTF">2024-09-18T13:14:00Z</dcterms:modified>
</cp:coreProperties>
</file>