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shd w:val="clear" w:color="auto" w:fill="1a3a5c"/>
      </w:pPr>
      <w:r>
        <w:rPr>
          <w:b/>
          <w:color w:val="FFFFFF"/>
          <w:sz w:val="44"/>
        </w:rPr>
        <w:t xml:space="preserve">   VULNERABILITY ASSESSMENT REPORT   </w:t>
      </w:r>
    </w:p>
    <w:p/>
    <w:p>
      <w:pPr>
        <w:jc w:val="center"/>
      </w:pPr>
      <w:r>
        <w:rPr>
          <w:color w:val="2C3E50"/>
          <w:sz w:val="28"/>
        </w:rPr>
        <w:t>Web Application Security Assessment</w:t>
      </w:r>
    </w:p>
    <w:p/>
    <w:p>
      <w:pPr>
        <w:pBdr>
          <w:bottom w:val="single" w:sz="16" w:space="1" w:color="1a3a5c"/>
        </w:pBdr>
        <w:spacing w:before="0" w:after="120"/>
      </w:pPr>
    </w:p>
    <w:tbl>
      <w:tblPr>
        <w:tblStyle w:val="TableGrid"/>
        <w:tblW w:type="auto" w:w="0"/>
        <w:jc w:val="center"/>
        <w:tblLook w:firstColumn="1" w:firstRow="1" w:lastColumn="0" w:lastRow="0" w:noHBand="0" w:noVBand="1" w:val="04A0"/>
      </w:tblPr>
      <w:tblGrid>
        <w:gridCol w:w="4392"/>
        <w:gridCol w:w="4392"/>
      </w:tblGrid>
      <w:tr>
        <w:tc>
          <w:tcPr>
            <w:tcW w:type="dxa" w:w="3168"/>
            <w:shd w:val="clear" w:color="auto" w:fill="EAF2FF"/>
          </w:tcPr>
          <w:p>
            <w:r>
              <w:rPr>
                <w:b/>
                <w:color w:val="1A3A5C"/>
                <w:sz w:val="20"/>
              </w:rPr>
              <w:t>Prepared By</w:t>
            </w:r>
          </w:p>
        </w:tc>
        <w:tc>
          <w:tcPr>
            <w:tcW w:type="dxa" w:w="5472"/>
            <w:shd w:val="clear" w:color="auto" w:fill="FAFAFA"/>
          </w:tcPr>
          <w:p>
            <w:r>
              <w:rPr>
                <w:sz w:val="20"/>
              </w:rPr>
              <w:t>MADHUPRIYA</w:t>
            </w:r>
          </w:p>
        </w:tc>
      </w:tr>
      <w:tr>
        <w:tc>
          <w:tcPr>
            <w:tcW w:type="dxa" w:w="3168"/>
            <w:shd w:val="clear" w:color="auto" w:fill="EAF2FF"/>
          </w:tcPr>
          <w:p>
            <w:r>
              <w:rPr>
                <w:b/>
                <w:color w:val="1A3A5C"/>
                <w:sz w:val="20"/>
              </w:rPr>
              <w:t>CIN ID</w:t>
            </w:r>
          </w:p>
        </w:tc>
        <w:tc>
          <w:tcPr>
            <w:tcW w:type="dxa" w:w="5472"/>
            <w:shd w:val="clear" w:color="auto" w:fill="FAFAFA"/>
          </w:tcPr>
          <w:p>
            <w:r>
              <w:rPr>
                <w:sz w:val="20"/>
              </w:rPr>
              <w:t>FIT/JUN26/CS9330</w:t>
            </w:r>
          </w:p>
        </w:tc>
      </w:tr>
      <w:tr>
        <w:tc>
          <w:tcPr>
            <w:tcW w:type="dxa" w:w="3168"/>
            <w:shd w:val="clear" w:color="auto" w:fill="EAF2FF"/>
          </w:tcPr>
          <w:p>
            <w:r>
              <w:rPr>
                <w:b/>
                <w:color w:val="1A3A5C"/>
                <w:sz w:val="20"/>
              </w:rPr>
              <w:t>Organisation</w:t>
            </w:r>
          </w:p>
        </w:tc>
        <w:tc>
          <w:tcPr>
            <w:tcW w:type="dxa" w:w="5472"/>
            <w:shd w:val="clear" w:color="auto" w:fill="FAFAFA"/>
          </w:tcPr>
          <w:p>
            <w:r>
              <w:rPr>
                <w:sz w:val="20"/>
              </w:rPr>
              <w:t>Future Interns</w:t>
            </w:r>
          </w:p>
        </w:tc>
      </w:tr>
      <w:tr>
        <w:tc>
          <w:tcPr>
            <w:tcW w:type="dxa" w:w="3168"/>
            <w:shd w:val="clear" w:color="auto" w:fill="EAF2FF"/>
          </w:tcPr>
          <w:p>
            <w:r>
              <w:rPr>
                <w:b/>
                <w:color w:val="1A3A5C"/>
                <w:sz w:val="20"/>
              </w:rPr>
              <w:t>Target</w:t>
            </w:r>
          </w:p>
        </w:tc>
        <w:tc>
          <w:tcPr>
            <w:tcW w:type="dxa" w:w="5472"/>
            <w:shd w:val="clear" w:color="auto" w:fill="FAFAFA"/>
          </w:tcPr>
          <w:p>
            <w:r>
              <w:rPr>
                <w:sz w:val="20"/>
              </w:rPr>
              <w:t>demo.testfire.net</w:t>
            </w:r>
          </w:p>
        </w:tc>
      </w:tr>
      <w:tr>
        <w:tc>
          <w:tcPr>
            <w:tcW w:type="dxa" w:w="3168"/>
            <w:shd w:val="clear" w:color="auto" w:fill="EAF2FF"/>
          </w:tcPr>
          <w:p>
            <w:r>
              <w:rPr>
                <w:b/>
                <w:color w:val="1A3A5C"/>
                <w:sz w:val="20"/>
              </w:rPr>
              <w:t>IP Address</w:t>
            </w:r>
          </w:p>
        </w:tc>
        <w:tc>
          <w:tcPr>
            <w:tcW w:type="dxa" w:w="5472"/>
            <w:shd w:val="clear" w:color="auto" w:fill="FAFAFA"/>
          </w:tcPr>
          <w:p>
            <w:r>
              <w:rPr>
                <w:sz w:val="20"/>
              </w:rPr>
              <w:t>65.61.137.117</w:t>
            </w:r>
          </w:p>
        </w:tc>
      </w:tr>
      <w:tr>
        <w:tc>
          <w:tcPr>
            <w:tcW w:type="dxa" w:w="3168"/>
            <w:shd w:val="clear" w:color="auto" w:fill="EAF2FF"/>
          </w:tcPr>
          <w:p>
            <w:r>
              <w:rPr>
                <w:b/>
                <w:color w:val="1A3A5C"/>
                <w:sz w:val="20"/>
              </w:rPr>
              <w:t>Scan Date</w:t>
            </w:r>
          </w:p>
        </w:tc>
        <w:tc>
          <w:tcPr>
            <w:tcW w:type="dxa" w:w="5472"/>
            <w:shd w:val="clear" w:color="auto" w:fill="FAFAFA"/>
          </w:tcPr>
          <w:p>
            <w:r>
              <w:rPr>
                <w:sz w:val="20"/>
              </w:rPr>
              <w:t>23 June 2026</w:t>
            </w:r>
          </w:p>
        </w:tc>
      </w:tr>
      <w:tr>
        <w:tc>
          <w:tcPr>
            <w:tcW w:type="dxa" w:w="3168"/>
            <w:shd w:val="clear" w:color="auto" w:fill="EAF2FF"/>
          </w:tcPr>
          <w:p>
            <w:r>
              <w:rPr>
                <w:b/>
                <w:color w:val="1A3A5C"/>
                <w:sz w:val="20"/>
              </w:rPr>
              <w:t>Report Version</w:t>
            </w:r>
          </w:p>
        </w:tc>
        <w:tc>
          <w:tcPr>
            <w:tcW w:type="dxa" w:w="5472"/>
            <w:shd w:val="clear" w:color="auto" w:fill="FAFAFA"/>
          </w:tcPr>
          <w:p>
            <w:r>
              <w:rPr>
                <w:sz w:val="20"/>
              </w:rPr>
              <w:t>v1.0 — Task 1</w:t>
            </w:r>
          </w:p>
        </w:tc>
      </w:tr>
    </w:tbl>
    <w:p/>
    <w:p>
      <w:pPr>
        <w:jc w:val="center"/>
      </w:pPr>
      <w:r>
        <w:t xml:space="preserve">Risk Summary:   </w:t>
      </w:r>
      <w:r>
        <w:rPr>
          <w:b/>
          <w:color w:val="FFFFFF"/>
          <w:sz w:val="18"/>
          <w:shd w:val="clear" w:color="auto" w:fill="C0392B"/>
        </w:rPr>
        <w:t xml:space="preserve">  3 HIGH  </w:t>
      </w:r>
      <w:r>
        <w:t xml:space="preserve">   </w:t>
      </w:r>
      <w:r>
        <w:rPr>
          <w:b/>
          <w:color w:val="FFFFFF"/>
          <w:sz w:val="18"/>
          <w:shd w:val="clear" w:color="auto" w:fill="D68910"/>
        </w:rPr>
        <w:t xml:space="preserve">  6 MEDIUM  </w:t>
      </w:r>
      <w:r>
        <w:t xml:space="preserve">   </w:t>
      </w:r>
      <w:r>
        <w:rPr>
          <w:b/>
          <w:color w:val="FFFFFF"/>
          <w:sz w:val="18"/>
          <w:shd w:val="clear" w:color="auto" w:fill="27AE60"/>
        </w:rPr>
        <w:t xml:space="preserve">  3 LOW  </w:t>
      </w:r>
      <w:r>
        <w:t xml:space="preserve">   </w:t>
      </w:r>
      <w:r>
        <w:rPr>
          <w:b/>
          <w:color w:val="FFFFFF"/>
          <w:sz w:val="18"/>
          <w:shd w:val="clear" w:color="auto" w:fill="2E86C1"/>
        </w:rPr>
        <w:t xml:space="preserve">  2 INFO  </w:t>
      </w:r>
    </w:p>
    <w:p/>
    <w:p>
      <w:pPr>
        <w:pBdr>
          <w:bottom w:val="single" w:sz="8" w:space="1" w:color="1a3a5c"/>
        </w:pBdr>
        <w:spacing w:before="0" w:after="120"/>
      </w:pPr>
    </w:p>
    <w:p>
      <w:pPr>
        <w:jc w:val="center"/>
      </w:pPr>
      <w:r>
        <w:rPr>
          <w:color w:val="888888"/>
          <w:sz w:val="18"/>
        </w:rPr>
        <w:t>Cyber Security Internship — Future Interns  |  futureinterns.com</w:t>
      </w:r>
    </w:p>
    <w:p>
      <w:r>
        <w:br w:type="page"/>
      </w:r>
    </w:p>
    <w:p>
      <w:pPr>
        <w:spacing w:before="280" w:after="120"/>
      </w:pPr>
      <w:r>
        <w:rPr>
          <w:b/>
          <w:color w:val="1A3A5C"/>
          <w:sz w:val="32"/>
        </w:rPr>
        <w:t>1. Executive Summary</w:t>
      </w:r>
    </w:p>
    <w:p>
      <w:pPr>
        <w:pBdr>
          <w:bottom w:val="single" w:sz="12" w:space="1" w:color="1a3a5c"/>
        </w:pBdr>
        <w:spacing w:before="0" w:after="120"/>
      </w:pPr>
    </w:p>
    <w:p>
      <w:pPr>
        <w:spacing w:after="80" w:before="0"/>
      </w:pPr>
      <w:r>
        <w:rPr>
          <w:sz w:val="22"/>
        </w:rPr>
        <w:t>A comprehensive vulnerability assessment was conducted on the web application hosted at demo.testfire.net (IBM Altoro Mutual — an intentionally vulnerable banking demo application). The assessment was performed using industry-standard tools including Nmap, OWASP ZAP, and Browser Developer Tools. The objective was to identify, classify, and document security vulnerabilities that could pose a risk to the application, its users, and their data.</w:t>
      </w:r>
    </w:p>
    <w:p>
      <w:pPr>
        <w:spacing w:after="80" w:before="0"/>
      </w:pPr>
      <w:r>
        <w:rPr>
          <w:sz w:val="22"/>
        </w:rPr>
        <w:t>The assessment identified a total of 14 distinct security vulnerabilities across three risk levels. Of these, 3 were classified as HIGH severity — including SQL Injection, Cross-Site Scripting, and missing HSTS — which could directly lead to data theft, session hijacking, or account compromise if exploited by a malicious actor. Immediate remediation is strongly recommended for all HIGH and MEDIUM severity findings.</w:t>
      </w:r>
    </w:p>
    <w:p>
      <w:pPr>
        <w:shd w:val="clear" w:color="auto" w:fill="FDF2F2"/>
      </w:pPr>
      <w:r>
        <w:rPr>
          <w:b/>
          <w:sz w:val="22"/>
        </w:rPr>
        <w:t xml:space="preserve">Overall Risk Rating: </w:t>
      </w:r>
      <w:r>
        <w:rPr>
          <w:b/>
          <w:color w:val="FFFFFF"/>
          <w:sz w:val="18"/>
          <w:shd w:val="clear" w:color="auto" w:fill="C0392B"/>
        </w:rPr>
        <w:t xml:space="preserve">    HIGH    </w:t>
      </w:r>
    </w:p>
    <w:p/>
    <w:p>
      <w:pPr>
        <w:spacing w:before="280" w:after="120"/>
      </w:pPr>
      <w:r>
        <w:rPr>
          <w:b/>
          <w:color w:val="1A3A5C"/>
          <w:sz w:val="32"/>
        </w:rPr>
        <w:t>2. Scope &amp; Methodology</w:t>
      </w:r>
    </w:p>
    <w:p>
      <w:pPr>
        <w:pBdr>
          <w:bottom w:val="single" w:sz="12" w:space="1" w:color="1a3a5c"/>
        </w:pBdr>
        <w:spacing w:before="0" w:after="120"/>
      </w:pPr>
    </w:p>
    <w:p>
      <w:pPr>
        <w:spacing w:before="280" w:after="120"/>
      </w:pPr>
      <w:r>
        <w:rPr>
          <w:b/>
          <w:color w:val="1A3A5C"/>
          <w:sz w:val="26"/>
        </w:rPr>
        <w:t>2.1 Scope of Assessment</w:t>
      </w:r>
    </w:p>
    <w:p>
      <w:pPr>
        <w:spacing w:after="40" w:before="0"/>
      </w:pPr>
      <w:r>
        <w:rPr>
          <w:b/>
          <w:color w:val="1A3A5C"/>
          <w:sz w:val="22"/>
        </w:rPr>
        <w:t xml:space="preserve">Target Application: </w:t>
      </w:r>
      <w:r>
        <w:rPr>
          <w:sz w:val="22"/>
        </w:rPr>
        <w:t>Altoro Mutual Banking Demo (demo.testfire.net)</w:t>
      </w:r>
    </w:p>
    <w:p>
      <w:pPr>
        <w:spacing w:after="40" w:before="0"/>
      </w:pPr>
      <w:r>
        <w:rPr>
          <w:b/>
          <w:color w:val="1A3A5C"/>
          <w:sz w:val="22"/>
        </w:rPr>
        <w:t xml:space="preserve">IP Address: </w:t>
      </w:r>
      <w:r>
        <w:rPr>
          <w:sz w:val="22"/>
        </w:rPr>
        <w:t>65.61.137.117</w:t>
      </w:r>
    </w:p>
    <w:p>
      <w:pPr>
        <w:spacing w:after="40" w:before="0"/>
      </w:pPr>
      <w:r>
        <w:rPr>
          <w:b/>
          <w:color w:val="1A3A5C"/>
          <w:sz w:val="22"/>
        </w:rPr>
        <w:t xml:space="preserve">Ports Assessed: </w:t>
      </w:r>
      <w:r>
        <w:rPr>
          <w:sz w:val="22"/>
        </w:rPr>
        <w:t>80 (HTTP), 443 (HTTPS), 8080 (HTTP-alt), 8443 (closed)</w:t>
      </w:r>
    </w:p>
    <w:p>
      <w:pPr>
        <w:spacing w:after="40" w:before="0"/>
      </w:pPr>
      <w:r>
        <w:rPr>
          <w:b/>
          <w:color w:val="1A3A5C"/>
          <w:sz w:val="22"/>
        </w:rPr>
        <w:t xml:space="preserve">Assessment Type: </w:t>
      </w:r>
      <w:r>
        <w:rPr>
          <w:sz w:val="22"/>
        </w:rPr>
        <w:t>Black-box — passive &amp; active scanning</w:t>
      </w:r>
    </w:p>
    <w:p>
      <w:pPr>
        <w:spacing w:after="40" w:before="0"/>
      </w:pPr>
      <w:r>
        <w:rPr>
          <w:b/>
          <w:color w:val="1A3A5C"/>
          <w:sz w:val="22"/>
        </w:rPr>
        <w:t xml:space="preserve">Authorisation: </w:t>
      </w:r>
      <w:r>
        <w:rPr>
          <w:sz w:val="22"/>
        </w:rPr>
        <w:t>Target is an intentionally vulnerable legal test application</w:t>
      </w:r>
    </w:p>
    <w:p/>
    <w:p>
      <w:pPr>
        <w:spacing w:before="280" w:after="120"/>
      </w:pPr>
      <w:r>
        <w:rPr>
          <w:b/>
          <w:color w:val="1A3A5C"/>
          <w:sz w:val="26"/>
        </w:rPr>
        <w:t>2.2 Tools Used</w:t>
      </w:r>
    </w:p>
    <w:tbl>
      <w:tblPr>
        <w:tblStyle w:val="TableGrid"/>
        <w:tblW w:type="auto" w:w="0"/>
        <w:jc w:val="left"/>
        <w:tblLook w:firstColumn="1" w:firstRow="1" w:lastColumn="0" w:lastRow="0" w:noHBand="0" w:noVBand="1" w:val="04A0"/>
      </w:tblPr>
      <w:tblGrid>
        <w:gridCol w:w="2928"/>
        <w:gridCol w:w="2928"/>
        <w:gridCol w:w="2928"/>
      </w:tblGrid>
      <w:tr>
        <w:tc>
          <w:tcPr>
            <w:tcW w:type="dxa" w:w="2928"/>
            <w:shd w:val="clear" w:color="auto" w:fill="1a3a5c"/>
          </w:tcPr>
          <w:p>
            <w:r>
              <w:rPr>
                <w:b/>
                <w:color w:val="FFFFFF"/>
                <w:sz w:val="20"/>
              </w:rPr>
              <w:t>Tool</w:t>
            </w:r>
          </w:p>
        </w:tc>
        <w:tc>
          <w:tcPr>
            <w:tcW w:type="dxa" w:w="2928"/>
            <w:shd w:val="clear" w:color="auto" w:fill="1a3a5c"/>
          </w:tcPr>
          <w:p>
            <w:r>
              <w:rPr>
                <w:b/>
                <w:color w:val="FFFFFF"/>
                <w:sz w:val="20"/>
              </w:rPr>
              <w:t>Version</w:t>
            </w:r>
          </w:p>
        </w:tc>
        <w:tc>
          <w:tcPr>
            <w:tcW w:type="dxa" w:w="2928"/>
            <w:shd w:val="clear" w:color="auto" w:fill="1a3a5c"/>
          </w:tcPr>
          <w:p>
            <w:r>
              <w:rPr>
                <w:b/>
                <w:color w:val="FFFFFF"/>
                <w:sz w:val="20"/>
              </w:rPr>
              <w:t>Purpose</w:t>
            </w:r>
          </w:p>
        </w:tc>
      </w:tr>
      <w:tr>
        <w:tc>
          <w:tcPr>
            <w:tcW w:type="dxa" w:w="2928"/>
            <w:shd w:val="clear" w:color="auto" w:fill="FAFAFA"/>
          </w:tcPr>
          <w:p>
            <w:r>
              <w:rPr>
                <w:sz w:val="20"/>
              </w:rPr>
              <w:t>Nmap</w:t>
            </w:r>
          </w:p>
        </w:tc>
        <w:tc>
          <w:tcPr>
            <w:tcW w:type="dxa" w:w="2928"/>
            <w:shd w:val="clear" w:color="auto" w:fill="FAFAFA"/>
          </w:tcPr>
          <w:p>
            <w:r>
              <w:rPr>
                <w:sz w:val="20"/>
              </w:rPr>
              <w:t>7.99</w:t>
            </w:r>
          </w:p>
        </w:tc>
        <w:tc>
          <w:tcPr>
            <w:tcW w:type="dxa" w:w="2928"/>
            <w:shd w:val="clear" w:color="auto" w:fill="FAFAFA"/>
          </w:tcPr>
          <w:p>
            <w:r>
              <w:rPr>
                <w:sz w:val="20"/>
              </w:rPr>
              <w:t>Port scanning, service and version detection</w:t>
            </w:r>
          </w:p>
        </w:tc>
      </w:tr>
      <w:tr>
        <w:tc>
          <w:tcPr>
            <w:tcW w:type="dxa" w:w="2928"/>
            <w:shd w:val="clear" w:color="auto" w:fill="EAF2FF"/>
          </w:tcPr>
          <w:p>
            <w:r>
              <w:rPr>
                <w:sz w:val="20"/>
              </w:rPr>
              <w:t>OWASP ZAP</w:t>
            </w:r>
          </w:p>
        </w:tc>
        <w:tc>
          <w:tcPr>
            <w:tcW w:type="dxa" w:w="2928"/>
            <w:shd w:val="clear" w:color="auto" w:fill="EAF2FF"/>
          </w:tcPr>
          <w:p>
            <w:r>
              <w:rPr>
                <w:sz w:val="20"/>
              </w:rPr>
              <w:t>2.17.0</w:t>
            </w:r>
          </w:p>
        </w:tc>
        <w:tc>
          <w:tcPr>
            <w:tcW w:type="dxa" w:w="2928"/>
            <w:shd w:val="clear" w:color="auto" w:fill="EAF2FF"/>
          </w:tcPr>
          <w:p>
            <w:r>
              <w:rPr>
                <w:sz w:val="20"/>
              </w:rPr>
              <w:t>Automated web vulnerability scanning</w:t>
            </w:r>
          </w:p>
        </w:tc>
      </w:tr>
      <w:tr>
        <w:tc>
          <w:tcPr>
            <w:tcW w:type="dxa" w:w="2928"/>
            <w:shd w:val="clear" w:color="auto" w:fill="FAFAFA"/>
          </w:tcPr>
          <w:p>
            <w:r>
              <w:rPr>
                <w:sz w:val="20"/>
              </w:rPr>
              <w:t>Browser DevTools</w:t>
            </w:r>
          </w:p>
        </w:tc>
        <w:tc>
          <w:tcPr>
            <w:tcW w:type="dxa" w:w="2928"/>
            <w:shd w:val="clear" w:color="auto" w:fill="FAFAFA"/>
          </w:tcPr>
          <w:p>
            <w:r>
              <w:rPr>
                <w:sz w:val="20"/>
              </w:rPr>
              <w:t>Chrome</w:t>
            </w:r>
          </w:p>
        </w:tc>
        <w:tc>
          <w:tcPr>
            <w:tcW w:type="dxa" w:w="2928"/>
            <w:shd w:val="clear" w:color="auto" w:fill="FAFAFA"/>
          </w:tcPr>
          <w:p>
            <w:r>
              <w:rPr>
                <w:sz w:val="20"/>
              </w:rPr>
              <w:t>Manual header and cookie inspection</w:t>
            </w:r>
          </w:p>
        </w:tc>
      </w:tr>
    </w:tbl>
    <w:p/>
    <w:p>
      <w:pPr>
        <w:spacing w:before="280" w:after="120"/>
      </w:pPr>
      <w:r>
        <w:rPr>
          <w:b/>
          <w:color w:val="1A3A5C"/>
          <w:sz w:val="32"/>
        </w:rPr>
        <w:t>3. Findings Summary</w:t>
      </w:r>
    </w:p>
    <w:p>
      <w:pPr>
        <w:pBdr>
          <w:bottom w:val="single" w:sz="12" w:space="1" w:color="1a3a5c"/>
        </w:pBdr>
        <w:spacing w:before="0" w:after="120"/>
      </w:pPr>
    </w:p>
    <w:p>
      <w:pPr>
        <w:spacing w:after="80" w:before="0"/>
      </w:pPr>
      <w:r>
        <w:rPr>
          <w:sz w:val="22"/>
        </w:rPr>
        <w:t>The table below summarises all vulnerabilities identified during the assessment:</w:t>
      </w:r>
    </w:p>
    <w:p/>
    <w:tbl>
      <w:tblPr>
        <w:tblStyle w:val="TableGrid"/>
        <w:tblW w:type="auto" w:w="0"/>
        <w:jc w:val="left"/>
        <w:tblLook w:firstColumn="1" w:firstRow="1" w:lastColumn="0" w:lastRow="0" w:noHBand="0" w:noVBand="1" w:val="04A0"/>
      </w:tblPr>
      <w:tblGrid>
        <w:gridCol w:w="1757"/>
        <w:gridCol w:w="1757"/>
        <w:gridCol w:w="1757"/>
        <w:gridCol w:w="1757"/>
        <w:gridCol w:w="1757"/>
      </w:tblGrid>
      <w:tr>
        <w:tc>
          <w:tcPr>
            <w:tcW w:type="dxa" w:w="576"/>
            <w:shd w:val="clear" w:color="auto" w:fill="1a3a5c"/>
          </w:tcPr>
          <w:p>
            <w:r>
              <w:rPr>
                <w:b/>
                <w:color w:val="FFFFFF"/>
                <w:sz w:val="20"/>
              </w:rPr>
              <w:t>#</w:t>
            </w:r>
          </w:p>
        </w:tc>
        <w:tc>
          <w:tcPr>
            <w:tcW w:type="dxa" w:w="4032"/>
            <w:shd w:val="clear" w:color="auto" w:fill="1a3a5c"/>
          </w:tcPr>
          <w:p>
            <w:r>
              <w:rPr>
                <w:b/>
                <w:color w:val="FFFFFF"/>
                <w:sz w:val="20"/>
              </w:rPr>
              <w:t>Vulnerability</w:t>
            </w:r>
          </w:p>
        </w:tc>
        <w:tc>
          <w:tcPr>
            <w:tcW w:type="dxa" w:w="1728"/>
            <w:shd w:val="clear" w:color="auto" w:fill="1a3a5c"/>
          </w:tcPr>
          <w:p>
            <w:r>
              <w:rPr>
                <w:b/>
                <w:color w:val="FFFFFF"/>
                <w:sz w:val="20"/>
              </w:rPr>
              <w:t>Tool</w:t>
            </w:r>
          </w:p>
        </w:tc>
        <w:tc>
          <w:tcPr>
            <w:tcW w:type="dxa" w:w="1296"/>
            <w:shd w:val="clear" w:color="auto" w:fill="1a3a5c"/>
          </w:tcPr>
          <w:p>
            <w:r>
              <w:rPr>
                <w:b/>
                <w:color w:val="FFFFFF"/>
                <w:sz w:val="20"/>
              </w:rPr>
              <w:t>Instances</w:t>
            </w:r>
          </w:p>
        </w:tc>
        <w:tc>
          <w:tcPr>
            <w:tcW w:type="dxa" w:w="1296"/>
            <w:shd w:val="clear" w:color="auto" w:fill="1a3a5c"/>
          </w:tcPr>
          <w:p>
            <w:r>
              <w:rPr>
                <w:b/>
                <w:color w:val="FFFFFF"/>
                <w:sz w:val="20"/>
              </w:rPr>
              <w:t>Risk</w:t>
            </w:r>
          </w:p>
        </w:tc>
      </w:tr>
      <w:tr>
        <w:tc>
          <w:tcPr>
            <w:tcW w:type="dxa" w:w="576"/>
            <w:shd w:val="clear" w:color="auto" w:fill="F5F5F5"/>
          </w:tcPr>
          <w:p>
            <w:r>
              <w:rPr>
                <w:sz w:val="20"/>
              </w:rPr>
              <w:t>1</w:t>
            </w:r>
          </w:p>
        </w:tc>
        <w:tc>
          <w:tcPr>
            <w:tcW w:type="dxa" w:w="4032"/>
            <w:shd w:val="clear" w:color="auto" w:fill="F5F5F5"/>
          </w:tcPr>
          <w:p>
            <w:r>
              <w:rPr>
                <w:sz w:val="20"/>
              </w:rPr>
              <w:t>SQL Injection</w:t>
            </w:r>
          </w:p>
        </w:tc>
        <w:tc>
          <w:tcPr>
            <w:tcW w:type="dxa" w:w="1728"/>
            <w:shd w:val="clear" w:color="auto" w:fill="F5F5F5"/>
          </w:tcPr>
          <w:p>
            <w:r>
              <w:rPr>
                <w:sz w:val="20"/>
              </w:rPr>
              <w:t>OWASP ZAP</w:t>
            </w:r>
          </w:p>
        </w:tc>
        <w:tc>
          <w:tcPr>
            <w:tcW w:type="dxa" w:w="1296"/>
            <w:shd w:val="clear" w:color="auto" w:fill="F5F5F5"/>
          </w:tcPr>
          <w:p>
            <w:r>
              <w:rPr>
                <w:sz w:val="20"/>
              </w:rPr>
              <w:t>5</w:t>
            </w:r>
          </w:p>
        </w:tc>
        <w:tc>
          <w:tcPr>
            <w:tcW w:type="dxa" w:w="1296"/>
            <w:shd w:val="clear" w:color="auto" w:fill="FDECEA"/>
          </w:tcPr>
          <w:p>
            <w:r>
              <w:rPr>
                <w:b/>
                <w:color w:val="C0392B"/>
                <w:sz w:val="20"/>
              </w:rPr>
              <w:t>HIGH</w:t>
            </w:r>
          </w:p>
        </w:tc>
      </w:tr>
      <w:tr>
        <w:tc>
          <w:tcPr>
            <w:tcW w:type="dxa" w:w="576"/>
            <w:shd w:val="clear" w:color="auto" w:fill="FAFAFA"/>
          </w:tcPr>
          <w:p>
            <w:r>
              <w:rPr>
                <w:sz w:val="20"/>
              </w:rPr>
              <w:t>2</w:t>
            </w:r>
          </w:p>
        </w:tc>
        <w:tc>
          <w:tcPr>
            <w:tcW w:type="dxa" w:w="4032"/>
            <w:shd w:val="clear" w:color="auto" w:fill="FAFAFA"/>
          </w:tcPr>
          <w:p>
            <w:r>
              <w:rPr>
                <w:sz w:val="20"/>
              </w:rPr>
              <w:t>Cross-Site Scripting (Reflected)</w:t>
            </w:r>
          </w:p>
        </w:tc>
        <w:tc>
          <w:tcPr>
            <w:tcW w:type="dxa" w:w="1728"/>
            <w:shd w:val="clear" w:color="auto" w:fill="FAFAFA"/>
          </w:tcPr>
          <w:p>
            <w:r>
              <w:rPr>
                <w:sz w:val="20"/>
              </w:rPr>
              <w:t>OWASP ZAP</w:t>
            </w:r>
          </w:p>
        </w:tc>
        <w:tc>
          <w:tcPr>
            <w:tcW w:type="dxa" w:w="1296"/>
            <w:shd w:val="clear" w:color="auto" w:fill="FAFAFA"/>
          </w:tcPr>
          <w:p>
            <w:r>
              <w:rPr>
                <w:sz w:val="20"/>
              </w:rPr>
              <w:t>2</w:t>
            </w:r>
          </w:p>
        </w:tc>
        <w:tc>
          <w:tcPr>
            <w:tcW w:type="dxa" w:w="1296"/>
            <w:shd w:val="clear" w:color="auto" w:fill="FDECEA"/>
          </w:tcPr>
          <w:p>
            <w:r>
              <w:rPr>
                <w:b/>
                <w:color w:val="C0392B"/>
                <w:sz w:val="20"/>
              </w:rPr>
              <w:t>HIGH</w:t>
            </w:r>
          </w:p>
        </w:tc>
      </w:tr>
      <w:tr>
        <w:tc>
          <w:tcPr>
            <w:tcW w:type="dxa" w:w="576"/>
            <w:shd w:val="clear" w:color="auto" w:fill="F5F5F5"/>
          </w:tcPr>
          <w:p>
            <w:r>
              <w:rPr>
                <w:sz w:val="20"/>
              </w:rPr>
              <w:t>3</w:t>
            </w:r>
          </w:p>
        </w:tc>
        <w:tc>
          <w:tcPr>
            <w:tcW w:type="dxa" w:w="4032"/>
            <w:shd w:val="clear" w:color="auto" w:fill="F5F5F5"/>
          </w:tcPr>
          <w:p>
            <w:r>
              <w:rPr>
                <w:sz w:val="20"/>
              </w:rPr>
              <w:t>Missing HSTS Header</w:t>
            </w:r>
          </w:p>
        </w:tc>
        <w:tc>
          <w:tcPr>
            <w:tcW w:type="dxa" w:w="1728"/>
            <w:shd w:val="clear" w:color="auto" w:fill="F5F5F5"/>
          </w:tcPr>
          <w:p>
            <w:r>
              <w:rPr>
                <w:sz w:val="20"/>
              </w:rPr>
              <w:t>DevTools</w:t>
            </w:r>
          </w:p>
        </w:tc>
        <w:tc>
          <w:tcPr>
            <w:tcW w:type="dxa" w:w="1296"/>
            <w:shd w:val="clear" w:color="auto" w:fill="F5F5F5"/>
          </w:tcPr>
          <w:p>
            <w:r>
              <w:rPr>
                <w:sz w:val="20"/>
              </w:rPr>
              <w:t>1</w:t>
            </w:r>
          </w:p>
        </w:tc>
        <w:tc>
          <w:tcPr>
            <w:tcW w:type="dxa" w:w="1296"/>
            <w:shd w:val="clear" w:color="auto" w:fill="FDECEA"/>
          </w:tcPr>
          <w:p>
            <w:r>
              <w:rPr>
                <w:b/>
                <w:color w:val="C0392B"/>
                <w:sz w:val="20"/>
              </w:rPr>
              <w:t>HIGH</w:t>
            </w:r>
          </w:p>
        </w:tc>
      </w:tr>
      <w:tr>
        <w:tc>
          <w:tcPr>
            <w:tcW w:type="dxa" w:w="576"/>
            <w:shd w:val="clear" w:color="auto" w:fill="FAFAFA"/>
          </w:tcPr>
          <w:p>
            <w:r>
              <w:rPr>
                <w:sz w:val="20"/>
              </w:rPr>
              <w:t>4</w:t>
            </w:r>
          </w:p>
        </w:tc>
        <w:tc>
          <w:tcPr>
            <w:tcW w:type="dxa" w:w="4032"/>
            <w:shd w:val="clear" w:color="auto" w:fill="FAFAFA"/>
          </w:tcPr>
          <w:p>
            <w:r>
              <w:rPr>
                <w:sz w:val="20"/>
              </w:rPr>
              <w:t>Absence of Anti-CSRF Tokens</w:t>
            </w:r>
          </w:p>
        </w:tc>
        <w:tc>
          <w:tcPr>
            <w:tcW w:type="dxa" w:w="1728"/>
            <w:shd w:val="clear" w:color="auto" w:fill="FAFAFA"/>
          </w:tcPr>
          <w:p>
            <w:r>
              <w:rPr>
                <w:sz w:val="20"/>
              </w:rPr>
              <w:t>OWASP ZAP</w:t>
            </w:r>
          </w:p>
        </w:tc>
        <w:tc>
          <w:tcPr>
            <w:tcW w:type="dxa" w:w="1296"/>
            <w:shd w:val="clear" w:color="auto" w:fill="FAFAFA"/>
          </w:tcPr>
          <w:p>
            <w:r>
              <w:rPr>
                <w:sz w:val="20"/>
              </w:rPr>
              <w:t>3</w:t>
            </w:r>
          </w:p>
        </w:tc>
        <w:tc>
          <w:tcPr>
            <w:tcW w:type="dxa" w:w="1296"/>
            <w:shd w:val="clear" w:color="auto" w:fill="FEF9E7"/>
          </w:tcPr>
          <w:p>
            <w:r>
              <w:rPr>
                <w:b/>
                <w:color w:val="D68910"/>
                <w:sz w:val="20"/>
              </w:rPr>
              <w:t>MEDIUM</w:t>
            </w:r>
          </w:p>
        </w:tc>
      </w:tr>
      <w:tr>
        <w:tc>
          <w:tcPr>
            <w:tcW w:type="dxa" w:w="576"/>
            <w:shd w:val="clear" w:color="auto" w:fill="F5F5F5"/>
          </w:tcPr>
          <w:p>
            <w:r>
              <w:rPr>
                <w:sz w:val="20"/>
              </w:rPr>
              <w:t>5</w:t>
            </w:r>
          </w:p>
        </w:tc>
        <w:tc>
          <w:tcPr>
            <w:tcW w:type="dxa" w:w="4032"/>
            <w:shd w:val="clear" w:color="auto" w:fill="F5F5F5"/>
          </w:tcPr>
          <w:p>
            <w:r>
              <w:rPr>
                <w:sz w:val="20"/>
              </w:rPr>
              <w:t>Content-Security-Policy Not Set</w:t>
            </w:r>
          </w:p>
        </w:tc>
        <w:tc>
          <w:tcPr>
            <w:tcW w:type="dxa" w:w="1728"/>
            <w:shd w:val="clear" w:color="auto" w:fill="F5F5F5"/>
          </w:tcPr>
          <w:p>
            <w:r>
              <w:rPr>
                <w:sz w:val="20"/>
              </w:rPr>
              <w:t>OWASP ZAP</w:t>
            </w:r>
          </w:p>
        </w:tc>
        <w:tc>
          <w:tcPr>
            <w:tcW w:type="dxa" w:w="1296"/>
            <w:shd w:val="clear" w:color="auto" w:fill="F5F5F5"/>
          </w:tcPr>
          <w:p>
            <w:r>
              <w:rPr>
                <w:sz w:val="20"/>
              </w:rPr>
              <w:t>1</w:t>
            </w:r>
          </w:p>
        </w:tc>
        <w:tc>
          <w:tcPr>
            <w:tcW w:type="dxa" w:w="1296"/>
            <w:shd w:val="clear" w:color="auto" w:fill="FEF9E7"/>
          </w:tcPr>
          <w:p>
            <w:r>
              <w:rPr>
                <w:b/>
                <w:color w:val="D68910"/>
                <w:sz w:val="20"/>
              </w:rPr>
              <w:t>MEDIUM</w:t>
            </w:r>
          </w:p>
        </w:tc>
      </w:tr>
      <w:tr>
        <w:tc>
          <w:tcPr>
            <w:tcW w:type="dxa" w:w="576"/>
            <w:shd w:val="clear" w:color="auto" w:fill="FAFAFA"/>
          </w:tcPr>
          <w:p>
            <w:r>
              <w:rPr>
                <w:sz w:val="20"/>
              </w:rPr>
              <w:t>6</w:t>
            </w:r>
          </w:p>
        </w:tc>
        <w:tc>
          <w:tcPr>
            <w:tcW w:type="dxa" w:w="4032"/>
            <w:shd w:val="clear" w:color="auto" w:fill="FAFAFA"/>
          </w:tcPr>
          <w:p>
            <w:r>
              <w:rPr>
                <w:sz w:val="20"/>
              </w:rPr>
              <w:t>Missing Anti-Clickjacking Header</w:t>
            </w:r>
          </w:p>
        </w:tc>
        <w:tc>
          <w:tcPr>
            <w:tcW w:type="dxa" w:w="1728"/>
            <w:shd w:val="clear" w:color="auto" w:fill="FAFAFA"/>
          </w:tcPr>
          <w:p>
            <w:r>
              <w:rPr>
                <w:sz w:val="20"/>
              </w:rPr>
              <w:t>OWASP ZAP</w:t>
            </w:r>
          </w:p>
        </w:tc>
        <w:tc>
          <w:tcPr>
            <w:tcW w:type="dxa" w:w="1296"/>
            <w:shd w:val="clear" w:color="auto" w:fill="FAFAFA"/>
          </w:tcPr>
          <w:p>
            <w:r>
              <w:rPr>
                <w:sz w:val="20"/>
              </w:rPr>
              <w:t>1</w:t>
            </w:r>
          </w:p>
        </w:tc>
        <w:tc>
          <w:tcPr>
            <w:tcW w:type="dxa" w:w="1296"/>
            <w:shd w:val="clear" w:color="auto" w:fill="FEF9E7"/>
          </w:tcPr>
          <w:p>
            <w:r>
              <w:rPr>
                <w:b/>
                <w:color w:val="D68910"/>
                <w:sz w:val="20"/>
              </w:rPr>
              <w:t>MEDIUM</w:t>
            </w:r>
          </w:p>
        </w:tc>
      </w:tr>
      <w:tr>
        <w:tc>
          <w:tcPr>
            <w:tcW w:type="dxa" w:w="576"/>
            <w:shd w:val="clear" w:color="auto" w:fill="F5F5F5"/>
          </w:tcPr>
          <w:p>
            <w:r>
              <w:rPr>
                <w:sz w:val="20"/>
              </w:rPr>
              <w:t>7</w:t>
            </w:r>
          </w:p>
        </w:tc>
        <w:tc>
          <w:tcPr>
            <w:tcW w:type="dxa" w:w="4032"/>
            <w:shd w:val="clear" w:color="auto" w:fill="F5F5F5"/>
          </w:tcPr>
          <w:p>
            <w:r>
              <w:rPr>
                <w:sz w:val="20"/>
              </w:rPr>
              <w:t>Cookie Without SameSite Attribute</w:t>
            </w:r>
          </w:p>
        </w:tc>
        <w:tc>
          <w:tcPr>
            <w:tcW w:type="dxa" w:w="1728"/>
            <w:shd w:val="clear" w:color="auto" w:fill="F5F5F5"/>
          </w:tcPr>
          <w:p>
            <w:r>
              <w:rPr>
                <w:sz w:val="20"/>
              </w:rPr>
              <w:t>OWASP ZAP</w:t>
            </w:r>
          </w:p>
        </w:tc>
        <w:tc>
          <w:tcPr>
            <w:tcW w:type="dxa" w:w="1296"/>
            <w:shd w:val="clear" w:color="auto" w:fill="F5F5F5"/>
          </w:tcPr>
          <w:p>
            <w:r>
              <w:rPr>
                <w:sz w:val="20"/>
              </w:rPr>
              <w:t>3</w:t>
            </w:r>
          </w:p>
        </w:tc>
        <w:tc>
          <w:tcPr>
            <w:tcW w:type="dxa" w:w="1296"/>
            <w:shd w:val="clear" w:color="auto" w:fill="FEF9E7"/>
          </w:tcPr>
          <w:p>
            <w:r>
              <w:rPr>
                <w:b/>
                <w:color w:val="D68910"/>
                <w:sz w:val="20"/>
              </w:rPr>
              <w:t>MEDIUM</w:t>
            </w:r>
          </w:p>
        </w:tc>
      </w:tr>
      <w:tr>
        <w:tc>
          <w:tcPr>
            <w:tcW w:type="dxa" w:w="576"/>
            <w:shd w:val="clear" w:color="auto" w:fill="FAFAFA"/>
          </w:tcPr>
          <w:p>
            <w:r>
              <w:rPr>
                <w:sz w:val="20"/>
              </w:rPr>
              <w:t>8</w:t>
            </w:r>
          </w:p>
        </w:tc>
        <w:tc>
          <w:tcPr>
            <w:tcW w:type="dxa" w:w="4032"/>
            <w:shd w:val="clear" w:color="auto" w:fill="FAFAFA"/>
          </w:tcPr>
          <w:p>
            <w:r>
              <w:rPr>
                <w:sz w:val="20"/>
              </w:rPr>
              <w:t>Sub Resource Integrity Missing</w:t>
            </w:r>
          </w:p>
        </w:tc>
        <w:tc>
          <w:tcPr>
            <w:tcW w:type="dxa" w:w="1728"/>
            <w:shd w:val="clear" w:color="auto" w:fill="FAFAFA"/>
          </w:tcPr>
          <w:p>
            <w:r>
              <w:rPr>
                <w:sz w:val="20"/>
              </w:rPr>
              <w:t>OWASP ZAP</w:t>
            </w:r>
          </w:p>
        </w:tc>
        <w:tc>
          <w:tcPr>
            <w:tcW w:type="dxa" w:w="1296"/>
            <w:shd w:val="clear" w:color="auto" w:fill="FAFAFA"/>
          </w:tcPr>
          <w:p>
            <w:r>
              <w:rPr>
                <w:sz w:val="20"/>
              </w:rPr>
              <w:t>1</w:t>
            </w:r>
          </w:p>
        </w:tc>
        <w:tc>
          <w:tcPr>
            <w:tcW w:type="dxa" w:w="1296"/>
            <w:shd w:val="clear" w:color="auto" w:fill="FEF9E7"/>
          </w:tcPr>
          <w:p>
            <w:r>
              <w:rPr>
                <w:b/>
                <w:color w:val="D68910"/>
                <w:sz w:val="20"/>
              </w:rPr>
              <w:t>MEDIUM</w:t>
            </w:r>
          </w:p>
        </w:tc>
      </w:tr>
      <w:tr>
        <w:tc>
          <w:tcPr>
            <w:tcW w:type="dxa" w:w="576"/>
            <w:shd w:val="clear" w:color="auto" w:fill="F5F5F5"/>
          </w:tcPr>
          <w:p>
            <w:r>
              <w:rPr>
                <w:sz w:val="20"/>
              </w:rPr>
              <w:t>9</w:t>
            </w:r>
          </w:p>
        </w:tc>
        <w:tc>
          <w:tcPr>
            <w:tcW w:type="dxa" w:w="4032"/>
            <w:shd w:val="clear" w:color="auto" w:fill="F5F5F5"/>
          </w:tcPr>
          <w:p>
            <w:r>
              <w:rPr>
                <w:sz w:val="20"/>
              </w:rPr>
              <w:t>Cross-Domain JavaScript Inclusion</w:t>
            </w:r>
          </w:p>
        </w:tc>
        <w:tc>
          <w:tcPr>
            <w:tcW w:type="dxa" w:w="1728"/>
            <w:shd w:val="clear" w:color="auto" w:fill="F5F5F5"/>
          </w:tcPr>
          <w:p>
            <w:r>
              <w:rPr>
                <w:sz w:val="20"/>
              </w:rPr>
              <w:t>OWASP ZAP</w:t>
            </w:r>
          </w:p>
        </w:tc>
        <w:tc>
          <w:tcPr>
            <w:tcW w:type="dxa" w:w="1296"/>
            <w:shd w:val="clear" w:color="auto" w:fill="F5F5F5"/>
          </w:tcPr>
          <w:p>
            <w:r>
              <w:rPr>
                <w:sz w:val="20"/>
              </w:rPr>
              <w:t>1</w:t>
            </w:r>
          </w:p>
        </w:tc>
        <w:tc>
          <w:tcPr>
            <w:tcW w:type="dxa" w:w="1296"/>
            <w:shd w:val="clear" w:color="auto" w:fill="FEF9E7"/>
          </w:tcPr>
          <w:p>
            <w:r>
              <w:rPr>
                <w:b/>
                <w:color w:val="D68910"/>
                <w:sz w:val="20"/>
              </w:rPr>
              <w:t>MEDIUM</w:t>
            </w:r>
          </w:p>
        </w:tc>
      </w:tr>
      <w:tr>
        <w:tc>
          <w:tcPr>
            <w:tcW w:type="dxa" w:w="576"/>
            <w:shd w:val="clear" w:color="auto" w:fill="FAFAFA"/>
          </w:tcPr>
          <w:p>
            <w:r>
              <w:rPr>
                <w:sz w:val="20"/>
              </w:rPr>
              <w:t>10</w:t>
            </w:r>
          </w:p>
        </w:tc>
        <w:tc>
          <w:tcPr>
            <w:tcW w:type="dxa" w:w="4032"/>
            <w:shd w:val="clear" w:color="auto" w:fill="FAFAFA"/>
          </w:tcPr>
          <w:p>
            <w:r>
              <w:rPr>
                <w:sz w:val="20"/>
              </w:rPr>
              <w:t>Outdated Server Software (Tomcat 1.1)</w:t>
            </w:r>
          </w:p>
        </w:tc>
        <w:tc>
          <w:tcPr>
            <w:tcW w:type="dxa" w:w="1728"/>
            <w:shd w:val="clear" w:color="auto" w:fill="FAFAFA"/>
          </w:tcPr>
          <w:p>
            <w:r>
              <w:rPr>
                <w:sz w:val="20"/>
              </w:rPr>
              <w:t>Nmap</w:t>
            </w:r>
          </w:p>
        </w:tc>
        <w:tc>
          <w:tcPr>
            <w:tcW w:type="dxa" w:w="1296"/>
            <w:shd w:val="clear" w:color="auto" w:fill="FAFAFA"/>
          </w:tcPr>
          <w:p>
            <w:r>
              <w:rPr>
                <w:sz w:val="20"/>
              </w:rPr>
              <w:t>1</w:t>
            </w:r>
          </w:p>
        </w:tc>
        <w:tc>
          <w:tcPr>
            <w:tcW w:type="dxa" w:w="1296"/>
            <w:shd w:val="clear" w:color="auto" w:fill="EAFAF1"/>
          </w:tcPr>
          <w:p>
            <w:r>
              <w:rPr>
                <w:b/>
                <w:color w:val="27AE60"/>
                <w:sz w:val="20"/>
              </w:rPr>
              <w:t>LOW</w:t>
            </w:r>
          </w:p>
        </w:tc>
      </w:tr>
      <w:tr>
        <w:tc>
          <w:tcPr>
            <w:tcW w:type="dxa" w:w="576"/>
            <w:shd w:val="clear" w:color="auto" w:fill="F5F5F5"/>
          </w:tcPr>
          <w:p>
            <w:r>
              <w:rPr>
                <w:sz w:val="20"/>
              </w:rPr>
              <w:t>11</w:t>
            </w:r>
          </w:p>
        </w:tc>
        <w:tc>
          <w:tcPr>
            <w:tcW w:type="dxa" w:w="4032"/>
            <w:shd w:val="clear" w:color="auto" w:fill="F5F5F5"/>
          </w:tcPr>
          <w:p>
            <w:r>
              <w:rPr>
                <w:sz w:val="20"/>
              </w:rPr>
              <w:t>Server Version Information Leaked</w:t>
            </w:r>
          </w:p>
        </w:tc>
        <w:tc>
          <w:tcPr>
            <w:tcW w:type="dxa" w:w="1728"/>
            <w:shd w:val="clear" w:color="auto" w:fill="F5F5F5"/>
          </w:tcPr>
          <w:p>
            <w:r>
              <w:rPr>
                <w:sz w:val="20"/>
              </w:rPr>
              <w:t>DevTools</w:t>
            </w:r>
          </w:p>
        </w:tc>
        <w:tc>
          <w:tcPr>
            <w:tcW w:type="dxa" w:w="1296"/>
            <w:shd w:val="clear" w:color="auto" w:fill="F5F5F5"/>
          </w:tcPr>
          <w:p>
            <w:r>
              <w:rPr>
                <w:sz w:val="20"/>
              </w:rPr>
              <w:t>1</w:t>
            </w:r>
          </w:p>
        </w:tc>
        <w:tc>
          <w:tcPr>
            <w:tcW w:type="dxa" w:w="1296"/>
            <w:shd w:val="clear" w:color="auto" w:fill="EAFAF1"/>
          </w:tcPr>
          <w:p>
            <w:r>
              <w:rPr>
                <w:b/>
                <w:color w:val="27AE60"/>
                <w:sz w:val="20"/>
              </w:rPr>
              <w:t>LOW</w:t>
            </w:r>
          </w:p>
        </w:tc>
      </w:tr>
      <w:tr>
        <w:tc>
          <w:tcPr>
            <w:tcW w:type="dxa" w:w="576"/>
            <w:shd w:val="clear" w:color="auto" w:fill="FAFAFA"/>
          </w:tcPr>
          <w:p>
            <w:r>
              <w:rPr>
                <w:sz w:val="20"/>
              </w:rPr>
              <w:t>12</w:t>
            </w:r>
          </w:p>
        </w:tc>
        <w:tc>
          <w:tcPr>
            <w:tcW w:type="dxa" w:w="4032"/>
            <w:shd w:val="clear" w:color="auto" w:fill="FAFAFA"/>
          </w:tcPr>
          <w:p>
            <w:r>
              <w:rPr>
                <w:sz w:val="20"/>
              </w:rPr>
              <w:t>X-Content-Type-Options Missing</w:t>
            </w:r>
          </w:p>
        </w:tc>
        <w:tc>
          <w:tcPr>
            <w:tcW w:type="dxa" w:w="1728"/>
            <w:shd w:val="clear" w:color="auto" w:fill="FAFAFA"/>
          </w:tcPr>
          <w:p>
            <w:r>
              <w:rPr>
                <w:sz w:val="20"/>
              </w:rPr>
              <w:t>OWASP ZAP</w:t>
            </w:r>
          </w:p>
        </w:tc>
        <w:tc>
          <w:tcPr>
            <w:tcW w:type="dxa" w:w="1296"/>
            <w:shd w:val="clear" w:color="auto" w:fill="FAFAFA"/>
          </w:tcPr>
          <w:p>
            <w:r>
              <w:rPr>
                <w:sz w:val="20"/>
              </w:rPr>
              <w:t>1</w:t>
            </w:r>
          </w:p>
        </w:tc>
        <w:tc>
          <w:tcPr>
            <w:tcW w:type="dxa" w:w="1296"/>
            <w:shd w:val="clear" w:color="auto" w:fill="EAFAF1"/>
          </w:tcPr>
          <w:p>
            <w:r>
              <w:rPr>
                <w:b/>
                <w:color w:val="27AE60"/>
                <w:sz w:val="20"/>
              </w:rPr>
              <w:t>LOW</w:t>
            </w:r>
          </w:p>
        </w:tc>
      </w:tr>
      <w:tr>
        <w:tc>
          <w:tcPr>
            <w:tcW w:type="dxa" w:w="576"/>
            <w:shd w:val="clear" w:color="auto" w:fill="F5F5F5"/>
          </w:tcPr>
          <w:p>
            <w:r>
              <w:rPr>
                <w:sz w:val="20"/>
              </w:rPr>
              <w:t>13</w:t>
            </w:r>
          </w:p>
        </w:tc>
        <w:tc>
          <w:tcPr>
            <w:tcW w:type="dxa" w:w="4032"/>
            <w:shd w:val="clear" w:color="auto" w:fill="F5F5F5"/>
          </w:tcPr>
          <w:p>
            <w:r>
              <w:rPr>
                <w:sz w:val="20"/>
              </w:rPr>
              <w:t>Port 8080 Publicly Exposed</w:t>
            </w:r>
          </w:p>
        </w:tc>
        <w:tc>
          <w:tcPr>
            <w:tcW w:type="dxa" w:w="1728"/>
            <w:shd w:val="clear" w:color="auto" w:fill="F5F5F5"/>
          </w:tcPr>
          <w:p>
            <w:r>
              <w:rPr>
                <w:sz w:val="20"/>
              </w:rPr>
              <w:t>Nmap</w:t>
            </w:r>
          </w:p>
        </w:tc>
        <w:tc>
          <w:tcPr>
            <w:tcW w:type="dxa" w:w="1296"/>
            <w:shd w:val="clear" w:color="auto" w:fill="F5F5F5"/>
          </w:tcPr>
          <w:p>
            <w:r>
              <w:rPr>
                <w:sz w:val="20"/>
              </w:rPr>
              <w:t>1</w:t>
            </w:r>
          </w:p>
        </w:tc>
        <w:tc>
          <w:tcPr>
            <w:tcW w:type="dxa" w:w="1296"/>
            <w:shd w:val="clear" w:color="auto" w:fill="EBF5FB"/>
          </w:tcPr>
          <w:p>
            <w:r>
              <w:rPr>
                <w:b/>
                <w:color w:val="2E86C1"/>
                <w:sz w:val="20"/>
              </w:rPr>
              <w:t>INFO</w:t>
            </w:r>
          </w:p>
        </w:tc>
      </w:tr>
      <w:tr>
        <w:tc>
          <w:tcPr>
            <w:tcW w:type="dxa" w:w="576"/>
            <w:shd w:val="clear" w:color="auto" w:fill="FAFAFA"/>
          </w:tcPr>
          <w:p>
            <w:r>
              <w:rPr>
                <w:sz w:val="20"/>
              </w:rPr>
              <w:t>14</w:t>
            </w:r>
          </w:p>
        </w:tc>
        <w:tc>
          <w:tcPr>
            <w:tcW w:type="dxa" w:w="4032"/>
            <w:shd w:val="clear" w:color="auto" w:fill="FAFAFA"/>
          </w:tcPr>
          <w:p>
            <w:r>
              <w:rPr>
                <w:sz w:val="20"/>
              </w:rPr>
              <w:t>Information Disclosure in Comments</w:t>
            </w:r>
          </w:p>
        </w:tc>
        <w:tc>
          <w:tcPr>
            <w:tcW w:type="dxa" w:w="1728"/>
            <w:shd w:val="clear" w:color="auto" w:fill="FAFAFA"/>
          </w:tcPr>
          <w:p>
            <w:r>
              <w:rPr>
                <w:sz w:val="20"/>
              </w:rPr>
              <w:t>OWASP ZAP</w:t>
            </w:r>
          </w:p>
        </w:tc>
        <w:tc>
          <w:tcPr>
            <w:tcW w:type="dxa" w:w="1296"/>
            <w:shd w:val="clear" w:color="auto" w:fill="FAFAFA"/>
          </w:tcPr>
          <w:p>
            <w:r>
              <w:rPr>
                <w:sz w:val="20"/>
              </w:rPr>
              <w:t>6</w:t>
            </w:r>
          </w:p>
        </w:tc>
        <w:tc>
          <w:tcPr>
            <w:tcW w:type="dxa" w:w="1296"/>
            <w:shd w:val="clear" w:color="auto" w:fill="EBF5FB"/>
          </w:tcPr>
          <w:p>
            <w:r>
              <w:rPr>
                <w:b/>
                <w:color w:val="2E86C1"/>
                <w:sz w:val="20"/>
              </w:rPr>
              <w:t>INFO</w:t>
            </w:r>
          </w:p>
        </w:tc>
      </w:tr>
    </w:tbl>
    <w:p>
      <w:r>
        <w:br w:type="page"/>
      </w:r>
    </w:p>
    <w:p>
      <w:pPr>
        <w:spacing w:before="280" w:after="120"/>
      </w:pPr>
      <w:r>
        <w:rPr>
          <w:b/>
          <w:color w:val="1A3A5C"/>
          <w:sz w:val="32"/>
        </w:rPr>
        <w:t>4. Detailed Findings</w:t>
      </w:r>
    </w:p>
    <w:p>
      <w:pPr>
        <w:pBdr>
          <w:bottom w:val="single" w:sz="12" w:space="1" w:color="1a3a5c"/>
        </w:pBdr>
        <w:spacing w:before="0" w:after="120"/>
      </w:pPr>
    </w:p>
    <w:p>
      <w:pPr>
        <w:shd w:val="clear" w:color="auto" w:fill="C0392B"/>
        <w:spacing w:before="240" w:after="0"/>
      </w:pPr>
      <w:r>
        <w:rPr>
          <w:b/>
          <w:color w:val="FFFFFF"/>
          <w:sz w:val="22"/>
        </w:rPr>
        <w:t xml:space="preserve">  Finding 1: SQL Injection  </w:t>
      </w:r>
    </w:p>
    <w:tbl>
      <w:tblPr>
        <w:tblStyle w:val="TableGrid"/>
        <w:tblW w:type="auto" w:w="0"/>
        <w:tblLook w:firstColumn="1" w:firstRow="1" w:lastColumn="0" w:lastRow="0" w:noHBand="0" w:noVBand="1" w:val="04A0"/>
      </w:tblPr>
      <w:tblGrid>
        <w:gridCol w:w="4392"/>
        <w:gridCol w:w="4392"/>
      </w:tblGrid>
      <w:tr>
        <w:tc>
          <w:tcPr>
            <w:tcW w:type="dxa" w:w="2304"/>
            <w:shd w:val="clear" w:color="auto" w:fill="EAF2FF"/>
          </w:tcPr>
          <w:p>
            <w:r>
              <w:rPr>
                <w:b/>
                <w:color w:val="1A3A5C"/>
                <w:sz w:val="20"/>
              </w:rPr>
              <w:t>Risk Level</w:t>
            </w:r>
          </w:p>
        </w:tc>
        <w:tc>
          <w:tcPr>
            <w:tcW w:type="dxa" w:w="6624"/>
            <w:shd w:val="clear" w:color="auto" w:fill="FAFAFA"/>
          </w:tcPr>
          <w:p>
            <w:r>
              <w:rPr>
                <w:b/>
                <w:color w:val="C0392B"/>
                <w:sz w:val="20"/>
              </w:rPr>
              <w:t>HIGH</w:t>
            </w:r>
          </w:p>
        </w:tc>
      </w:tr>
      <w:tr>
        <w:tc>
          <w:tcPr>
            <w:tcW w:type="dxa" w:w="2304"/>
            <w:shd w:val="clear" w:color="auto" w:fill="EAF2FF"/>
          </w:tcPr>
          <w:p>
            <w:r>
              <w:rPr>
                <w:b/>
                <w:color w:val="1A3A5C"/>
                <w:sz w:val="20"/>
              </w:rPr>
              <w:t>Tool Used</w:t>
            </w:r>
          </w:p>
        </w:tc>
        <w:tc>
          <w:tcPr>
            <w:tcW w:type="dxa" w:w="6624"/>
            <w:shd w:val="clear" w:color="auto" w:fill="FFFFFF"/>
          </w:tcPr>
          <w:p>
            <w:r>
              <w:rPr>
                <w:sz w:val="20"/>
              </w:rPr>
              <w:t>OWASP ZAP</w:t>
            </w:r>
          </w:p>
        </w:tc>
      </w:tr>
      <w:tr>
        <w:tc>
          <w:tcPr>
            <w:tcW w:type="dxa" w:w="2304"/>
            <w:shd w:val="clear" w:color="auto" w:fill="EAF2FF"/>
          </w:tcPr>
          <w:p>
            <w:r>
              <w:rPr>
                <w:b/>
                <w:color w:val="1A3A5C"/>
                <w:sz w:val="20"/>
              </w:rPr>
              <w:t>URL / Location</w:t>
            </w:r>
          </w:p>
        </w:tc>
        <w:tc>
          <w:tcPr>
            <w:tcW w:type="dxa" w:w="6624"/>
            <w:shd w:val="clear" w:color="auto" w:fill="FAFAFA"/>
          </w:tcPr>
          <w:p>
            <w:r>
              <w:rPr>
                <w:sz w:val="20"/>
              </w:rPr>
              <w:t>http://demo.testfire.net/search.aspx, /login.aspx (5 instances)</w:t>
            </w:r>
          </w:p>
        </w:tc>
      </w:tr>
      <w:tr>
        <w:tc>
          <w:tcPr>
            <w:tcW w:type="dxa" w:w="2304"/>
            <w:shd w:val="clear" w:color="auto" w:fill="EAF2FF"/>
          </w:tcPr>
          <w:p>
            <w:r>
              <w:rPr>
                <w:b/>
                <w:color w:val="1A3A5C"/>
                <w:sz w:val="20"/>
              </w:rPr>
              <w:t>Description</w:t>
            </w:r>
          </w:p>
        </w:tc>
        <w:tc>
          <w:tcPr>
            <w:tcW w:type="dxa" w:w="6624"/>
            <w:shd w:val="clear" w:color="auto" w:fill="FFFFFF"/>
          </w:tcPr>
          <w:p>
            <w:r>
              <w:rPr>
                <w:sz w:val="20"/>
              </w:rPr>
              <w:t>ZAP detected SQL Injection vulnerabilities in multiple form fields. An attacker can inject malicious SQL commands through user input fields (search box, login form) to manipulate the backend database.</w:t>
            </w:r>
          </w:p>
        </w:tc>
      </w:tr>
      <w:tr>
        <w:tc>
          <w:tcPr>
            <w:tcW w:type="dxa" w:w="2304"/>
            <w:shd w:val="clear" w:color="auto" w:fill="EAF2FF"/>
          </w:tcPr>
          <w:p>
            <w:r>
              <w:rPr>
                <w:b/>
                <w:color w:val="1A3A5C"/>
                <w:sz w:val="20"/>
              </w:rPr>
              <w:t>Business Impact</w:t>
            </w:r>
          </w:p>
        </w:tc>
        <w:tc>
          <w:tcPr>
            <w:tcW w:type="dxa" w:w="6624"/>
            <w:shd w:val="clear" w:color="auto" w:fill="FAFAFA"/>
          </w:tcPr>
          <w:p>
            <w:r>
              <w:rPr>
                <w:sz w:val="20"/>
              </w:rPr>
              <w:t>An attacker can bypass authentication to log in as any user including admin, extract the entire database containing customer account numbers, passwords and personal information, and in worst cases delete or modify banking records.</w:t>
            </w:r>
          </w:p>
        </w:tc>
      </w:tr>
      <w:tr>
        <w:tc>
          <w:tcPr>
            <w:tcW w:type="dxa" w:w="2304"/>
            <w:shd w:val="clear" w:color="auto" w:fill="EAF2FF"/>
          </w:tcPr>
          <w:p>
            <w:r>
              <w:rPr>
                <w:b/>
                <w:color w:val="1A3A5C"/>
                <w:sz w:val="20"/>
              </w:rPr>
              <w:t>Remediation</w:t>
            </w:r>
          </w:p>
        </w:tc>
        <w:tc>
          <w:tcPr>
            <w:tcW w:type="dxa" w:w="6624"/>
            <w:shd w:val="clear" w:color="auto" w:fill="FFFFFF"/>
          </w:tcPr>
          <w:p>
            <w:r>
              <w:rPr>
                <w:sz w:val="20"/>
              </w:rPr>
              <w:t>Use parameterised queries (prepared statements) for all database interactions. Implement input validation and sanitisation. Deploy a Web Application Firewall (WAF). Example fix: use "SELECT * FROM users WHERE id = ?" with bound parameters instead of string concatenation.</w:t>
            </w:r>
          </w:p>
        </w:tc>
      </w:tr>
    </w:tbl>
    <w:p>
      <w:pPr>
        <w:spacing w:after="80"/>
      </w:pPr>
    </w:p>
    <w:p>
      <w:pPr>
        <w:shd w:val="clear" w:color="auto" w:fill="C0392B"/>
        <w:spacing w:before="240" w:after="0"/>
      </w:pPr>
      <w:r>
        <w:rPr>
          <w:b/>
          <w:color w:val="FFFFFF"/>
          <w:sz w:val="22"/>
        </w:rPr>
        <w:t xml:space="preserve">  Finding 2: Cross-Site Scripting (XSS) — Reflected  </w:t>
      </w:r>
    </w:p>
    <w:tbl>
      <w:tblPr>
        <w:tblStyle w:val="TableGrid"/>
        <w:tblW w:type="auto" w:w="0"/>
        <w:tblLook w:firstColumn="1" w:firstRow="1" w:lastColumn="0" w:lastRow="0" w:noHBand="0" w:noVBand="1" w:val="04A0"/>
      </w:tblPr>
      <w:tblGrid>
        <w:gridCol w:w="4392"/>
        <w:gridCol w:w="4392"/>
      </w:tblGrid>
      <w:tr>
        <w:tc>
          <w:tcPr>
            <w:tcW w:type="dxa" w:w="2304"/>
            <w:shd w:val="clear" w:color="auto" w:fill="EAF2FF"/>
          </w:tcPr>
          <w:p>
            <w:r>
              <w:rPr>
                <w:b/>
                <w:color w:val="1A3A5C"/>
                <w:sz w:val="20"/>
              </w:rPr>
              <w:t>Risk Level</w:t>
            </w:r>
          </w:p>
        </w:tc>
        <w:tc>
          <w:tcPr>
            <w:tcW w:type="dxa" w:w="6624"/>
            <w:shd w:val="clear" w:color="auto" w:fill="FAFAFA"/>
          </w:tcPr>
          <w:p>
            <w:r>
              <w:rPr>
                <w:b/>
                <w:color w:val="C0392B"/>
                <w:sz w:val="20"/>
              </w:rPr>
              <w:t>HIGH</w:t>
            </w:r>
          </w:p>
        </w:tc>
      </w:tr>
      <w:tr>
        <w:tc>
          <w:tcPr>
            <w:tcW w:type="dxa" w:w="2304"/>
            <w:shd w:val="clear" w:color="auto" w:fill="EAF2FF"/>
          </w:tcPr>
          <w:p>
            <w:r>
              <w:rPr>
                <w:b/>
                <w:color w:val="1A3A5C"/>
                <w:sz w:val="20"/>
              </w:rPr>
              <w:t>Tool Used</w:t>
            </w:r>
          </w:p>
        </w:tc>
        <w:tc>
          <w:tcPr>
            <w:tcW w:type="dxa" w:w="6624"/>
            <w:shd w:val="clear" w:color="auto" w:fill="FFFFFF"/>
          </w:tcPr>
          <w:p>
            <w:r>
              <w:rPr>
                <w:sz w:val="20"/>
              </w:rPr>
              <w:t>OWASP ZAP</w:t>
            </w:r>
          </w:p>
        </w:tc>
      </w:tr>
      <w:tr>
        <w:tc>
          <w:tcPr>
            <w:tcW w:type="dxa" w:w="2304"/>
            <w:shd w:val="clear" w:color="auto" w:fill="EAF2FF"/>
          </w:tcPr>
          <w:p>
            <w:r>
              <w:rPr>
                <w:b/>
                <w:color w:val="1A3A5C"/>
                <w:sz w:val="20"/>
              </w:rPr>
              <w:t>URL / Location</w:t>
            </w:r>
          </w:p>
        </w:tc>
        <w:tc>
          <w:tcPr>
            <w:tcW w:type="dxa" w:w="6624"/>
            <w:shd w:val="clear" w:color="auto" w:fill="FAFAFA"/>
          </w:tcPr>
          <w:p>
            <w:r>
              <w:rPr>
                <w:sz w:val="20"/>
              </w:rPr>
              <w:t>http://demo.testfire.net/search.aspx (2 instances)</w:t>
            </w:r>
          </w:p>
        </w:tc>
      </w:tr>
      <w:tr>
        <w:tc>
          <w:tcPr>
            <w:tcW w:type="dxa" w:w="2304"/>
            <w:shd w:val="clear" w:color="auto" w:fill="EAF2FF"/>
          </w:tcPr>
          <w:p>
            <w:r>
              <w:rPr>
                <w:b/>
                <w:color w:val="1A3A5C"/>
                <w:sz w:val="20"/>
              </w:rPr>
              <w:t>Description</w:t>
            </w:r>
          </w:p>
        </w:tc>
        <w:tc>
          <w:tcPr>
            <w:tcW w:type="dxa" w:w="6624"/>
            <w:shd w:val="clear" w:color="auto" w:fill="FFFFFF"/>
          </w:tcPr>
          <w:p>
            <w:r>
              <w:rPr>
                <w:sz w:val="20"/>
              </w:rPr>
              <w:t>Reflected XSS vulnerabilities were found in the search functionality. User-supplied input is returned in the page response without proper encoding, allowing injection of malicious scripts.</w:t>
            </w:r>
          </w:p>
        </w:tc>
      </w:tr>
      <w:tr>
        <w:tc>
          <w:tcPr>
            <w:tcW w:type="dxa" w:w="2304"/>
            <w:shd w:val="clear" w:color="auto" w:fill="EAF2FF"/>
          </w:tcPr>
          <w:p>
            <w:r>
              <w:rPr>
                <w:b/>
                <w:color w:val="1A3A5C"/>
                <w:sz w:val="20"/>
              </w:rPr>
              <w:t>Business Impact</w:t>
            </w:r>
          </w:p>
        </w:tc>
        <w:tc>
          <w:tcPr>
            <w:tcW w:type="dxa" w:w="6624"/>
            <w:shd w:val="clear" w:color="auto" w:fill="FAFAFA"/>
          </w:tcPr>
          <w:p>
            <w:r>
              <w:rPr>
                <w:sz w:val="20"/>
              </w:rPr>
              <w:t>Attackers can craft malicious URLs and trick users into clicking them. When a victim clicks, the script executes in their browser — stealing session cookies, redirecting to phishing pages, or performing actions on behalf of the victim.</w:t>
            </w:r>
          </w:p>
        </w:tc>
      </w:tr>
      <w:tr>
        <w:tc>
          <w:tcPr>
            <w:tcW w:type="dxa" w:w="2304"/>
            <w:shd w:val="clear" w:color="auto" w:fill="EAF2FF"/>
          </w:tcPr>
          <w:p>
            <w:r>
              <w:rPr>
                <w:b/>
                <w:color w:val="1A3A5C"/>
                <w:sz w:val="20"/>
              </w:rPr>
              <w:t>Remediation</w:t>
            </w:r>
          </w:p>
        </w:tc>
        <w:tc>
          <w:tcPr>
            <w:tcW w:type="dxa" w:w="6624"/>
            <w:shd w:val="clear" w:color="auto" w:fill="FFFFFF"/>
          </w:tcPr>
          <w:p>
            <w:r>
              <w:rPr>
                <w:sz w:val="20"/>
              </w:rPr>
              <w:t>Encode all user-supplied output using HTML entity encoding before displaying it on the page. Implement a strict Content-Security-Policy header. Use modern frameworks that auto-escape output by default.</w:t>
            </w:r>
          </w:p>
        </w:tc>
      </w:tr>
    </w:tbl>
    <w:p>
      <w:pPr>
        <w:spacing w:after="80"/>
      </w:pPr>
    </w:p>
    <w:p>
      <w:pPr>
        <w:shd w:val="clear" w:color="auto" w:fill="C0392B"/>
        <w:spacing w:before="240" w:after="0"/>
      </w:pPr>
      <w:r>
        <w:rPr>
          <w:b/>
          <w:color w:val="FFFFFF"/>
          <w:sz w:val="22"/>
        </w:rPr>
        <w:t xml:space="preserve">  Finding 3: Missing HTTP Strict Transport Security (HSTS)  </w:t>
      </w:r>
    </w:p>
    <w:tbl>
      <w:tblPr>
        <w:tblStyle w:val="TableGrid"/>
        <w:tblW w:type="auto" w:w="0"/>
        <w:tblLook w:firstColumn="1" w:firstRow="1" w:lastColumn="0" w:lastRow="0" w:noHBand="0" w:noVBand="1" w:val="04A0"/>
      </w:tblPr>
      <w:tblGrid>
        <w:gridCol w:w="4392"/>
        <w:gridCol w:w="4392"/>
      </w:tblGrid>
      <w:tr>
        <w:tc>
          <w:tcPr>
            <w:tcW w:type="dxa" w:w="2304"/>
            <w:shd w:val="clear" w:color="auto" w:fill="EAF2FF"/>
          </w:tcPr>
          <w:p>
            <w:r>
              <w:rPr>
                <w:b/>
                <w:color w:val="1A3A5C"/>
                <w:sz w:val="20"/>
              </w:rPr>
              <w:t>Risk Level</w:t>
            </w:r>
          </w:p>
        </w:tc>
        <w:tc>
          <w:tcPr>
            <w:tcW w:type="dxa" w:w="6624"/>
            <w:shd w:val="clear" w:color="auto" w:fill="FAFAFA"/>
          </w:tcPr>
          <w:p>
            <w:r>
              <w:rPr>
                <w:b/>
                <w:color w:val="C0392B"/>
                <w:sz w:val="20"/>
              </w:rPr>
              <w:t>HIGH</w:t>
            </w:r>
          </w:p>
        </w:tc>
      </w:tr>
      <w:tr>
        <w:tc>
          <w:tcPr>
            <w:tcW w:type="dxa" w:w="2304"/>
            <w:shd w:val="clear" w:color="auto" w:fill="EAF2FF"/>
          </w:tcPr>
          <w:p>
            <w:r>
              <w:rPr>
                <w:b/>
                <w:color w:val="1A3A5C"/>
                <w:sz w:val="20"/>
              </w:rPr>
              <w:t>Tool Used</w:t>
            </w:r>
          </w:p>
        </w:tc>
        <w:tc>
          <w:tcPr>
            <w:tcW w:type="dxa" w:w="6624"/>
            <w:shd w:val="clear" w:color="auto" w:fill="FFFFFF"/>
          </w:tcPr>
          <w:p>
            <w:r>
              <w:rPr>
                <w:sz w:val="20"/>
              </w:rPr>
              <w:t>Browser DevTools</w:t>
            </w:r>
          </w:p>
        </w:tc>
      </w:tr>
      <w:tr>
        <w:tc>
          <w:tcPr>
            <w:tcW w:type="dxa" w:w="2304"/>
            <w:shd w:val="clear" w:color="auto" w:fill="EAF2FF"/>
          </w:tcPr>
          <w:p>
            <w:r>
              <w:rPr>
                <w:b/>
                <w:color w:val="1A3A5C"/>
                <w:sz w:val="20"/>
              </w:rPr>
              <w:t>URL / Location</w:t>
            </w:r>
          </w:p>
        </w:tc>
        <w:tc>
          <w:tcPr>
            <w:tcW w:type="dxa" w:w="6624"/>
            <w:shd w:val="clear" w:color="auto" w:fill="FAFAFA"/>
          </w:tcPr>
          <w:p>
            <w:r>
              <w:rPr>
                <w:sz w:val="20"/>
              </w:rPr>
              <w:t>http://demo.testfire.net/ — Response Headers</w:t>
            </w:r>
          </w:p>
        </w:tc>
      </w:tr>
      <w:tr>
        <w:tc>
          <w:tcPr>
            <w:tcW w:type="dxa" w:w="2304"/>
            <w:shd w:val="clear" w:color="auto" w:fill="EAF2FF"/>
          </w:tcPr>
          <w:p>
            <w:r>
              <w:rPr>
                <w:b/>
                <w:color w:val="1A3A5C"/>
                <w:sz w:val="20"/>
              </w:rPr>
              <w:t>Description</w:t>
            </w:r>
          </w:p>
        </w:tc>
        <w:tc>
          <w:tcPr>
            <w:tcW w:type="dxa" w:w="6624"/>
            <w:shd w:val="clear" w:color="auto" w:fill="FFFFFF"/>
          </w:tcPr>
          <w:p>
            <w:r>
              <w:rPr>
                <w:sz w:val="20"/>
              </w:rPr>
              <w:t>The Strict-Transport-Security header is absent from all server responses. This means the browser is never instructed to enforce HTTPS connections.</w:t>
            </w:r>
          </w:p>
        </w:tc>
      </w:tr>
      <w:tr>
        <w:tc>
          <w:tcPr>
            <w:tcW w:type="dxa" w:w="2304"/>
            <w:shd w:val="clear" w:color="auto" w:fill="EAF2FF"/>
          </w:tcPr>
          <w:p>
            <w:r>
              <w:rPr>
                <w:b/>
                <w:color w:val="1A3A5C"/>
                <w:sz w:val="20"/>
              </w:rPr>
              <w:t>Business Impact</w:t>
            </w:r>
          </w:p>
        </w:tc>
        <w:tc>
          <w:tcPr>
            <w:tcW w:type="dxa" w:w="6624"/>
            <w:shd w:val="clear" w:color="auto" w:fill="FAFAFA"/>
          </w:tcPr>
          <w:p>
            <w:r>
              <w:rPr>
                <w:sz w:val="20"/>
              </w:rPr>
              <w:t>Without HSTS, users connecting over insecure networks (public Wi-Fi) are vulnerable to Man-in-the-Middle (MitM) attacks. An attacker can intercept and modify traffic between the user and the banking site — stealing login credentials and financial data.</w:t>
            </w:r>
          </w:p>
        </w:tc>
      </w:tr>
      <w:tr>
        <w:tc>
          <w:tcPr>
            <w:tcW w:type="dxa" w:w="2304"/>
            <w:shd w:val="clear" w:color="auto" w:fill="EAF2FF"/>
          </w:tcPr>
          <w:p>
            <w:r>
              <w:rPr>
                <w:b/>
                <w:color w:val="1A3A5C"/>
                <w:sz w:val="20"/>
              </w:rPr>
              <w:t>Remediation</w:t>
            </w:r>
          </w:p>
        </w:tc>
        <w:tc>
          <w:tcPr>
            <w:tcW w:type="dxa" w:w="6624"/>
            <w:shd w:val="clear" w:color="auto" w:fill="FFFFFF"/>
          </w:tcPr>
          <w:p>
            <w:r>
              <w:rPr>
                <w:sz w:val="20"/>
              </w:rPr>
              <w:t>Add the following response header on the server: Strict-Transport-Security: max-age=31536000; includeSubDomains; preload — This instructs all browsers to only use HTTPS for the next year.</w:t>
            </w:r>
          </w:p>
        </w:tc>
      </w:tr>
    </w:tbl>
    <w:p>
      <w:pPr>
        <w:spacing w:after="80"/>
      </w:pPr>
    </w:p>
    <w:p>
      <w:pPr>
        <w:shd w:val="clear" w:color="auto" w:fill="D68910"/>
        <w:spacing w:before="240" w:after="0"/>
      </w:pPr>
      <w:r>
        <w:rPr>
          <w:b/>
          <w:color w:val="FFFFFF"/>
          <w:sz w:val="22"/>
        </w:rPr>
        <w:t xml:space="preserve">  Finding 4: Absence of Anti-CSRF Tokens  </w:t>
      </w:r>
    </w:p>
    <w:tbl>
      <w:tblPr>
        <w:tblStyle w:val="TableGrid"/>
        <w:tblW w:type="auto" w:w="0"/>
        <w:tblLook w:firstColumn="1" w:firstRow="1" w:lastColumn="0" w:lastRow="0" w:noHBand="0" w:noVBand="1" w:val="04A0"/>
      </w:tblPr>
      <w:tblGrid>
        <w:gridCol w:w="4392"/>
        <w:gridCol w:w="4392"/>
      </w:tblGrid>
      <w:tr>
        <w:tc>
          <w:tcPr>
            <w:tcW w:type="dxa" w:w="2304"/>
            <w:shd w:val="clear" w:color="auto" w:fill="EAF2FF"/>
          </w:tcPr>
          <w:p>
            <w:r>
              <w:rPr>
                <w:b/>
                <w:color w:val="1A3A5C"/>
                <w:sz w:val="20"/>
              </w:rPr>
              <w:t>Risk Level</w:t>
            </w:r>
          </w:p>
        </w:tc>
        <w:tc>
          <w:tcPr>
            <w:tcW w:type="dxa" w:w="6624"/>
            <w:shd w:val="clear" w:color="auto" w:fill="FAFAFA"/>
          </w:tcPr>
          <w:p>
            <w:r>
              <w:rPr>
                <w:b/>
                <w:color w:val="D68910"/>
                <w:sz w:val="20"/>
              </w:rPr>
              <w:t>MEDIUM</w:t>
            </w:r>
          </w:p>
        </w:tc>
      </w:tr>
      <w:tr>
        <w:tc>
          <w:tcPr>
            <w:tcW w:type="dxa" w:w="2304"/>
            <w:shd w:val="clear" w:color="auto" w:fill="EAF2FF"/>
          </w:tcPr>
          <w:p>
            <w:r>
              <w:rPr>
                <w:b/>
                <w:color w:val="1A3A5C"/>
                <w:sz w:val="20"/>
              </w:rPr>
              <w:t>Tool Used</w:t>
            </w:r>
          </w:p>
        </w:tc>
        <w:tc>
          <w:tcPr>
            <w:tcW w:type="dxa" w:w="6624"/>
            <w:shd w:val="clear" w:color="auto" w:fill="FFFFFF"/>
          </w:tcPr>
          <w:p>
            <w:r>
              <w:rPr>
                <w:sz w:val="20"/>
              </w:rPr>
              <w:t>OWASP ZAP</w:t>
            </w:r>
          </w:p>
        </w:tc>
      </w:tr>
      <w:tr>
        <w:tc>
          <w:tcPr>
            <w:tcW w:type="dxa" w:w="2304"/>
            <w:shd w:val="clear" w:color="auto" w:fill="EAF2FF"/>
          </w:tcPr>
          <w:p>
            <w:r>
              <w:rPr>
                <w:b/>
                <w:color w:val="1A3A5C"/>
                <w:sz w:val="20"/>
              </w:rPr>
              <w:t>URL / Location</w:t>
            </w:r>
          </w:p>
        </w:tc>
        <w:tc>
          <w:tcPr>
            <w:tcW w:type="dxa" w:w="6624"/>
            <w:shd w:val="clear" w:color="auto" w:fill="FAFAFA"/>
          </w:tcPr>
          <w:p>
            <w:r>
              <w:rPr>
                <w:sz w:val="20"/>
              </w:rPr>
              <w:t>http://demo.testfire.net/transfer.aspx, /feedback.aspx (3 instances)</w:t>
            </w:r>
          </w:p>
        </w:tc>
      </w:tr>
      <w:tr>
        <w:tc>
          <w:tcPr>
            <w:tcW w:type="dxa" w:w="2304"/>
            <w:shd w:val="clear" w:color="auto" w:fill="EAF2FF"/>
          </w:tcPr>
          <w:p>
            <w:r>
              <w:rPr>
                <w:b/>
                <w:color w:val="1A3A5C"/>
                <w:sz w:val="20"/>
              </w:rPr>
              <w:t>Description</w:t>
            </w:r>
          </w:p>
        </w:tc>
        <w:tc>
          <w:tcPr>
            <w:tcW w:type="dxa" w:w="6624"/>
            <w:shd w:val="clear" w:color="auto" w:fill="FFFFFF"/>
          </w:tcPr>
          <w:p>
            <w:r>
              <w:rPr>
                <w:sz w:val="20"/>
              </w:rPr>
              <w:t>Forms on the application do not include CSRF tokens. This makes the application vulnerable to Cross-Site Request Forgery attacks where malicious websites can submit forms on behalf of authenticated users.</w:t>
            </w:r>
          </w:p>
        </w:tc>
      </w:tr>
      <w:tr>
        <w:tc>
          <w:tcPr>
            <w:tcW w:type="dxa" w:w="2304"/>
            <w:shd w:val="clear" w:color="auto" w:fill="EAF2FF"/>
          </w:tcPr>
          <w:p>
            <w:r>
              <w:rPr>
                <w:b/>
                <w:color w:val="1A3A5C"/>
                <w:sz w:val="20"/>
              </w:rPr>
              <w:t>Business Impact</w:t>
            </w:r>
          </w:p>
        </w:tc>
        <w:tc>
          <w:tcPr>
            <w:tcW w:type="dxa" w:w="6624"/>
            <w:shd w:val="clear" w:color="auto" w:fill="FAFAFA"/>
          </w:tcPr>
          <w:p>
            <w:r>
              <w:rPr>
                <w:sz w:val="20"/>
              </w:rPr>
              <w:t>An attacker can create a malicious website that silently submits a money transfer form when a logged-in banking customer visits it — transferring funds to the attacker's account without the user's knowledge or consent.</w:t>
            </w:r>
          </w:p>
        </w:tc>
      </w:tr>
      <w:tr>
        <w:tc>
          <w:tcPr>
            <w:tcW w:type="dxa" w:w="2304"/>
            <w:shd w:val="clear" w:color="auto" w:fill="EAF2FF"/>
          </w:tcPr>
          <w:p>
            <w:r>
              <w:rPr>
                <w:b/>
                <w:color w:val="1A3A5C"/>
                <w:sz w:val="20"/>
              </w:rPr>
              <w:t>Remediation</w:t>
            </w:r>
          </w:p>
        </w:tc>
        <w:tc>
          <w:tcPr>
            <w:tcW w:type="dxa" w:w="6624"/>
            <w:shd w:val="clear" w:color="auto" w:fill="FFFFFF"/>
          </w:tcPr>
          <w:p>
            <w:r>
              <w:rPr>
                <w:sz w:val="20"/>
              </w:rPr>
              <w:t>Generate and validate unique CSRF tokens for every form submission. Use the SameSite=Strict cookie attribute. Implement the Synchroniser Token Pattern in all state-changing operations.</w:t>
            </w:r>
          </w:p>
        </w:tc>
      </w:tr>
    </w:tbl>
    <w:p>
      <w:pPr>
        <w:spacing w:after="80"/>
      </w:pPr>
    </w:p>
    <w:p>
      <w:pPr>
        <w:shd w:val="clear" w:color="auto" w:fill="D68910"/>
        <w:spacing w:before="240" w:after="0"/>
      </w:pPr>
      <w:r>
        <w:rPr>
          <w:b/>
          <w:color w:val="FFFFFF"/>
          <w:sz w:val="22"/>
        </w:rPr>
        <w:t xml:space="preserve">  Finding 5: Content-Security-Policy (CSP) Header Not Set  </w:t>
      </w:r>
    </w:p>
    <w:tbl>
      <w:tblPr>
        <w:tblStyle w:val="TableGrid"/>
        <w:tblW w:type="auto" w:w="0"/>
        <w:tblLook w:firstColumn="1" w:firstRow="1" w:lastColumn="0" w:lastRow="0" w:noHBand="0" w:noVBand="1" w:val="04A0"/>
      </w:tblPr>
      <w:tblGrid>
        <w:gridCol w:w="4392"/>
        <w:gridCol w:w="4392"/>
      </w:tblGrid>
      <w:tr>
        <w:tc>
          <w:tcPr>
            <w:tcW w:type="dxa" w:w="2304"/>
            <w:shd w:val="clear" w:color="auto" w:fill="EAF2FF"/>
          </w:tcPr>
          <w:p>
            <w:r>
              <w:rPr>
                <w:b/>
                <w:color w:val="1A3A5C"/>
                <w:sz w:val="20"/>
              </w:rPr>
              <w:t>Risk Level</w:t>
            </w:r>
          </w:p>
        </w:tc>
        <w:tc>
          <w:tcPr>
            <w:tcW w:type="dxa" w:w="6624"/>
            <w:shd w:val="clear" w:color="auto" w:fill="FAFAFA"/>
          </w:tcPr>
          <w:p>
            <w:r>
              <w:rPr>
                <w:b/>
                <w:color w:val="D68910"/>
                <w:sz w:val="20"/>
              </w:rPr>
              <w:t>MEDIUM</w:t>
            </w:r>
          </w:p>
        </w:tc>
      </w:tr>
      <w:tr>
        <w:tc>
          <w:tcPr>
            <w:tcW w:type="dxa" w:w="2304"/>
            <w:shd w:val="clear" w:color="auto" w:fill="EAF2FF"/>
          </w:tcPr>
          <w:p>
            <w:r>
              <w:rPr>
                <w:b/>
                <w:color w:val="1A3A5C"/>
                <w:sz w:val="20"/>
              </w:rPr>
              <w:t>Tool Used</w:t>
            </w:r>
          </w:p>
        </w:tc>
        <w:tc>
          <w:tcPr>
            <w:tcW w:type="dxa" w:w="6624"/>
            <w:shd w:val="clear" w:color="auto" w:fill="FFFFFF"/>
          </w:tcPr>
          <w:p>
            <w:r>
              <w:rPr>
                <w:sz w:val="20"/>
              </w:rPr>
              <w:t>OWASP ZAP &amp; DevTools</w:t>
            </w:r>
          </w:p>
        </w:tc>
      </w:tr>
      <w:tr>
        <w:tc>
          <w:tcPr>
            <w:tcW w:type="dxa" w:w="2304"/>
            <w:shd w:val="clear" w:color="auto" w:fill="EAF2FF"/>
          </w:tcPr>
          <w:p>
            <w:r>
              <w:rPr>
                <w:b/>
                <w:color w:val="1A3A5C"/>
                <w:sz w:val="20"/>
              </w:rPr>
              <w:t>URL / Location</w:t>
            </w:r>
          </w:p>
        </w:tc>
        <w:tc>
          <w:tcPr>
            <w:tcW w:type="dxa" w:w="6624"/>
            <w:shd w:val="clear" w:color="auto" w:fill="FAFAFA"/>
          </w:tcPr>
          <w:p>
            <w:r>
              <w:rPr>
                <w:sz w:val="20"/>
              </w:rPr>
              <w:t>http://demo.testfire.net/ — All pages (systemic)</w:t>
            </w:r>
          </w:p>
        </w:tc>
      </w:tr>
      <w:tr>
        <w:tc>
          <w:tcPr>
            <w:tcW w:type="dxa" w:w="2304"/>
            <w:shd w:val="clear" w:color="auto" w:fill="EAF2FF"/>
          </w:tcPr>
          <w:p>
            <w:r>
              <w:rPr>
                <w:b/>
                <w:color w:val="1A3A5C"/>
                <w:sz w:val="20"/>
              </w:rPr>
              <w:t>Description</w:t>
            </w:r>
          </w:p>
        </w:tc>
        <w:tc>
          <w:tcPr>
            <w:tcW w:type="dxa" w:w="6624"/>
            <w:shd w:val="clear" w:color="auto" w:fill="FFFFFF"/>
          </w:tcPr>
          <w:p>
            <w:r>
              <w:rPr>
                <w:sz w:val="20"/>
              </w:rPr>
              <w:t>The Content-Security-Policy HTTP header is absent. CSP is a browser security feature that restricts which scripts, styles, and resources can be loaded and executed on a webpage.</w:t>
            </w:r>
          </w:p>
        </w:tc>
      </w:tr>
      <w:tr>
        <w:tc>
          <w:tcPr>
            <w:tcW w:type="dxa" w:w="2304"/>
            <w:shd w:val="clear" w:color="auto" w:fill="EAF2FF"/>
          </w:tcPr>
          <w:p>
            <w:r>
              <w:rPr>
                <w:b/>
                <w:color w:val="1A3A5C"/>
                <w:sz w:val="20"/>
              </w:rPr>
              <w:t>Business Impact</w:t>
            </w:r>
          </w:p>
        </w:tc>
        <w:tc>
          <w:tcPr>
            <w:tcW w:type="dxa" w:w="6624"/>
            <w:shd w:val="clear" w:color="auto" w:fill="FAFAFA"/>
          </w:tcPr>
          <w:p>
            <w:r>
              <w:rPr>
                <w:sz w:val="20"/>
              </w:rPr>
              <w:t>Without CSP, if an XSS vulnerability exists (Finding 2), attackers can load external malicious scripts freely. This greatly amplifies the impact of any script injection attack already present on the site.</w:t>
            </w:r>
          </w:p>
        </w:tc>
      </w:tr>
      <w:tr>
        <w:tc>
          <w:tcPr>
            <w:tcW w:type="dxa" w:w="2304"/>
            <w:shd w:val="clear" w:color="auto" w:fill="EAF2FF"/>
          </w:tcPr>
          <w:p>
            <w:r>
              <w:rPr>
                <w:b/>
                <w:color w:val="1A3A5C"/>
                <w:sz w:val="20"/>
              </w:rPr>
              <w:t>Remediation</w:t>
            </w:r>
          </w:p>
        </w:tc>
        <w:tc>
          <w:tcPr>
            <w:tcW w:type="dxa" w:w="6624"/>
            <w:shd w:val="clear" w:color="auto" w:fill="FFFFFF"/>
          </w:tcPr>
          <w:p>
            <w:r>
              <w:rPr>
                <w:sz w:val="20"/>
              </w:rPr>
              <w:t>Add the response header: Content-Security-Policy: default-src 'self'; script-src 'self'; style-src 'self' 'unsafe-inline' — Start with a report-only policy to identify issues before enforcing it.</w:t>
            </w:r>
          </w:p>
        </w:tc>
      </w:tr>
    </w:tbl>
    <w:p>
      <w:pPr>
        <w:spacing w:after="80"/>
      </w:pPr>
    </w:p>
    <w:p>
      <w:pPr>
        <w:shd w:val="clear" w:color="auto" w:fill="D68910"/>
        <w:spacing w:before="240" w:after="0"/>
      </w:pPr>
      <w:r>
        <w:rPr>
          <w:b/>
          <w:color w:val="FFFFFF"/>
          <w:sz w:val="22"/>
        </w:rPr>
        <w:t xml:space="preserve">  Finding 6: Missing Anti-Clickjacking Header  </w:t>
      </w:r>
    </w:p>
    <w:tbl>
      <w:tblPr>
        <w:tblStyle w:val="TableGrid"/>
        <w:tblW w:type="auto" w:w="0"/>
        <w:tblLook w:firstColumn="1" w:firstRow="1" w:lastColumn="0" w:lastRow="0" w:noHBand="0" w:noVBand="1" w:val="04A0"/>
      </w:tblPr>
      <w:tblGrid>
        <w:gridCol w:w="4392"/>
        <w:gridCol w:w="4392"/>
      </w:tblGrid>
      <w:tr>
        <w:tc>
          <w:tcPr>
            <w:tcW w:type="dxa" w:w="2304"/>
            <w:shd w:val="clear" w:color="auto" w:fill="EAF2FF"/>
          </w:tcPr>
          <w:p>
            <w:r>
              <w:rPr>
                <w:b/>
                <w:color w:val="1A3A5C"/>
                <w:sz w:val="20"/>
              </w:rPr>
              <w:t>Risk Level</w:t>
            </w:r>
          </w:p>
        </w:tc>
        <w:tc>
          <w:tcPr>
            <w:tcW w:type="dxa" w:w="6624"/>
            <w:shd w:val="clear" w:color="auto" w:fill="FAFAFA"/>
          </w:tcPr>
          <w:p>
            <w:r>
              <w:rPr>
                <w:b/>
                <w:color w:val="D68910"/>
                <w:sz w:val="20"/>
              </w:rPr>
              <w:t>MEDIUM</w:t>
            </w:r>
          </w:p>
        </w:tc>
      </w:tr>
      <w:tr>
        <w:tc>
          <w:tcPr>
            <w:tcW w:type="dxa" w:w="2304"/>
            <w:shd w:val="clear" w:color="auto" w:fill="EAF2FF"/>
          </w:tcPr>
          <w:p>
            <w:r>
              <w:rPr>
                <w:b/>
                <w:color w:val="1A3A5C"/>
                <w:sz w:val="20"/>
              </w:rPr>
              <w:t>Tool Used</w:t>
            </w:r>
          </w:p>
        </w:tc>
        <w:tc>
          <w:tcPr>
            <w:tcW w:type="dxa" w:w="6624"/>
            <w:shd w:val="clear" w:color="auto" w:fill="FFFFFF"/>
          </w:tcPr>
          <w:p>
            <w:r>
              <w:rPr>
                <w:sz w:val="20"/>
              </w:rPr>
              <w:t>OWASP ZAP</w:t>
            </w:r>
          </w:p>
        </w:tc>
      </w:tr>
      <w:tr>
        <w:tc>
          <w:tcPr>
            <w:tcW w:type="dxa" w:w="2304"/>
            <w:shd w:val="clear" w:color="auto" w:fill="EAF2FF"/>
          </w:tcPr>
          <w:p>
            <w:r>
              <w:rPr>
                <w:b/>
                <w:color w:val="1A3A5C"/>
                <w:sz w:val="20"/>
              </w:rPr>
              <w:t>URL / Location</w:t>
            </w:r>
          </w:p>
        </w:tc>
        <w:tc>
          <w:tcPr>
            <w:tcW w:type="dxa" w:w="6624"/>
            <w:shd w:val="clear" w:color="auto" w:fill="FAFAFA"/>
          </w:tcPr>
          <w:p>
            <w:r>
              <w:rPr>
                <w:sz w:val="20"/>
              </w:rPr>
              <w:t>http://demo.testfire.net/ — All pages (systemic)</w:t>
            </w:r>
          </w:p>
        </w:tc>
      </w:tr>
      <w:tr>
        <w:tc>
          <w:tcPr>
            <w:tcW w:type="dxa" w:w="2304"/>
            <w:shd w:val="clear" w:color="auto" w:fill="EAF2FF"/>
          </w:tcPr>
          <w:p>
            <w:r>
              <w:rPr>
                <w:b/>
                <w:color w:val="1A3A5C"/>
                <w:sz w:val="20"/>
              </w:rPr>
              <w:t>Description</w:t>
            </w:r>
          </w:p>
        </w:tc>
        <w:tc>
          <w:tcPr>
            <w:tcW w:type="dxa" w:w="6624"/>
            <w:shd w:val="clear" w:color="auto" w:fill="FFFFFF"/>
          </w:tcPr>
          <w:p>
            <w:r>
              <w:rPr>
                <w:sz w:val="20"/>
              </w:rPr>
              <w:t>The X-Frame-Options header is not set, meaning the website can be embedded inside an iframe on any external website.</w:t>
            </w:r>
          </w:p>
        </w:tc>
      </w:tr>
      <w:tr>
        <w:tc>
          <w:tcPr>
            <w:tcW w:type="dxa" w:w="2304"/>
            <w:shd w:val="clear" w:color="auto" w:fill="EAF2FF"/>
          </w:tcPr>
          <w:p>
            <w:r>
              <w:rPr>
                <w:b/>
                <w:color w:val="1A3A5C"/>
                <w:sz w:val="20"/>
              </w:rPr>
              <w:t>Business Impact</w:t>
            </w:r>
          </w:p>
        </w:tc>
        <w:tc>
          <w:tcPr>
            <w:tcW w:type="dxa" w:w="6624"/>
            <w:shd w:val="clear" w:color="auto" w:fill="FAFAFA"/>
          </w:tcPr>
          <w:p>
            <w:r>
              <w:rPr>
                <w:sz w:val="20"/>
              </w:rPr>
              <w:t>Attackers can create an invisible overlay of the banking site on top of an attractive page. Unsuspecting users click buttons on what appears to be legitimate content, but are actually clicking banking actions (e.g., confirm transfer) on the hidden banking site beneath.</w:t>
            </w:r>
          </w:p>
        </w:tc>
      </w:tr>
      <w:tr>
        <w:tc>
          <w:tcPr>
            <w:tcW w:type="dxa" w:w="2304"/>
            <w:shd w:val="clear" w:color="auto" w:fill="EAF2FF"/>
          </w:tcPr>
          <w:p>
            <w:r>
              <w:rPr>
                <w:b/>
                <w:color w:val="1A3A5C"/>
                <w:sz w:val="20"/>
              </w:rPr>
              <w:t>Remediation</w:t>
            </w:r>
          </w:p>
        </w:tc>
        <w:tc>
          <w:tcPr>
            <w:tcW w:type="dxa" w:w="6624"/>
            <w:shd w:val="clear" w:color="auto" w:fill="FFFFFF"/>
          </w:tcPr>
          <w:p>
            <w:r>
              <w:rPr>
                <w:sz w:val="20"/>
              </w:rPr>
              <w:t>Add the response header: X-Frame-Options: DENY — or alternatively use CSP: frame-ancestors 'none' — Both prevent the site from being embedded in iframes on other origins.</w:t>
            </w:r>
          </w:p>
        </w:tc>
      </w:tr>
    </w:tbl>
    <w:p>
      <w:pPr>
        <w:spacing w:after="80"/>
      </w:pPr>
    </w:p>
    <w:p>
      <w:pPr>
        <w:shd w:val="clear" w:color="auto" w:fill="D68910"/>
        <w:spacing w:before="240" w:after="0"/>
      </w:pPr>
      <w:r>
        <w:rPr>
          <w:b/>
          <w:color w:val="FFFFFF"/>
          <w:sz w:val="22"/>
        </w:rPr>
        <w:t xml:space="preserve">  Finding 7: Cookie Without SameSite Attribute  </w:t>
      </w:r>
    </w:p>
    <w:tbl>
      <w:tblPr>
        <w:tblStyle w:val="TableGrid"/>
        <w:tblW w:type="auto" w:w="0"/>
        <w:tblLook w:firstColumn="1" w:firstRow="1" w:lastColumn="0" w:lastRow="0" w:noHBand="0" w:noVBand="1" w:val="04A0"/>
      </w:tblPr>
      <w:tblGrid>
        <w:gridCol w:w="4392"/>
        <w:gridCol w:w="4392"/>
      </w:tblGrid>
      <w:tr>
        <w:tc>
          <w:tcPr>
            <w:tcW w:type="dxa" w:w="2304"/>
            <w:shd w:val="clear" w:color="auto" w:fill="EAF2FF"/>
          </w:tcPr>
          <w:p>
            <w:r>
              <w:rPr>
                <w:b/>
                <w:color w:val="1A3A5C"/>
                <w:sz w:val="20"/>
              </w:rPr>
              <w:t>Risk Level</w:t>
            </w:r>
          </w:p>
        </w:tc>
        <w:tc>
          <w:tcPr>
            <w:tcW w:type="dxa" w:w="6624"/>
            <w:shd w:val="clear" w:color="auto" w:fill="FAFAFA"/>
          </w:tcPr>
          <w:p>
            <w:r>
              <w:rPr>
                <w:b/>
                <w:color w:val="D68910"/>
                <w:sz w:val="20"/>
              </w:rPr>
              <w:t>MEDIUM</w:t>
            </w:r>
          </w:p>
        </w:tc>
      </w:tr>
      <w:tr>
        <w:tc>
          <w:tcPr>
            <w:tcW w:type="dxa" w:w="2304"/>
            <w:shd w:val="clear" w:color="auto" w:fill="EAF2FF"/>
          </w:tcPr>
          <w:p>
            <w:r>
              <w:rPr>
                <w:b/>
                <w:color w:val="1A3A5C"/>
                <w:sz w:val="20"/>
              </w:rPr>
              <w:t>Tool Used</w:t>
            </w:r>
          </w:p>
        </w:tc>
        <w:tc>
          <w:tcPr>
            <w:tcW w:type="dxa" w:w="6624"/>
            <w:shd w:val="clear" w:color="auto" w:fill="FFFFFF"/>
          </w:tcPr>
          <w:p>
            <w:r>
              <w:rPr>
                <w:sz w:val="20"/>
              </w:rPr>
              <w:t>OWASP ZAP</w:t>
            </w:r>
          </w:p>
        </w:tc>
      </w:tr>
      <w:tr>
        <w:tc>
          <w:tcPr>
            <w:tcW w:type="dxa" w:w="2304"/>
            <w:shd w:val="clear" w:color="auto" w:fill="EAF2FF"/>
          </w:tcPr>
          <w:p>
            <w:r>
              <w:rPr>
                <w:b/>
                <w:color w:val="1A3A5C"/>
                <w:sz w:val="20"/>
              </w:rPr>
              <w:t>URL / Location</w:t>
            </w:r>
          </w:p>
        </w:tc>
        <w:tc>
          <w:tcPr>
            <w:tcW w:type="dxa" w:w="6624"/>
            <w:shd w:val="clear" w:color="auto" w:fill="FAFAFA"/>
          </w:tcPr>
          <w:p>
            <w:r>
              <w:rPr>
                <w:sz w:val="20"/>
              </w:rPr>
              <w:t>http://demo.testfire.net/ — Session cookies (3 cookies affected)</w:t>
            </w:r>
          </w:p>
        </w:tc>
      </w:tr>
      <w:tr>
        <w:tc>
          <w:tcPr>
            <w:tcW w:type="dxa" w:w="2304"/>
            <w:shd w:val="clear" w:color="auto" w:fill="EAF2FF"/>
          </w:tcPr>
          <w:p>
            <w:r>
              <w:rPr>
                <w:b/>
                <w:color w:val="1A3A5C"/>
                <w:sz w:val="20"/>
              </w:rPr>
              <w:t>Description</w:t>
            </w:r>
          </w:p>
        </w:tc>
        <w:tc>
          <w:tcPr>
            <w:tcW w:type="dxa" w:w="6624"/>
            <w:shd w:val="clear" w:color="auto" w:fill="FFFFFF"/>
          </w:tcPr>
          <w:p>
            <w:r>
              <w:rPr>
                <w:sz w:val="20"/>
              </w:rPr>
              <w:t>Session cookies are set without the SameSite attribute. This means cookies are automatically sent with cross-site requests, enabling CSRF attacks.</w:t>
            </w:r>
          </w:p>
        </w:tc>
      </w:tr>
      <w:tr>
        <w:tc>
          <w:tcPr>
            <w:tcW w:type="dxa" w:w="2304"/>
            <w:shd w:val="clear" w:color="auto" w:fill="EAF2FF"/>
          </w:tcPr>
          <w:p>
            <w:r>
              <w:rPr>
                <w:b/>
                <w:color w:val="1A3A5C"/>
                <w:sz w:val="20"/>
              </w:rPr>
              <w:t>Business Impact</w:t>
            </w:r>
          </w:p>
        </w:tc>
        <w:tc>
          <w:tcPr>
            <w:tcW w:type="dxa" w:w="6624"/>
            <w:shd w:val="clear" w:color="auto" w:fill="FAFAFA"/>
          </w:tcPr>
          <w:p>
            <w:r>
              <w:rPr>
                <w:sz w:val="20"/>
              </w:rPr>
              <w:t>Cookies without SameSite can be sent automatically when a user visits a malicious third-party site, exposing their authenticated session to cross-site request attacks targeting the banking application.</w:t>
            </w:r>
          </w:p>
        </w:tc>
      </w:tr>
      <w:tr>
        <w:tc>
          <w:tcPr>
            <w:tcW w:type="dxa" w:w="2304"/>
            <w:shd w:val="clear" w:color="auto" w:fill="EAF2FF"/>
          </w:tcPr>
          <w:p>
            <w:r>
              <w:rPr>
                <w:b/>
                <w:color w:val="1A3A5C"/>
                <w:sz w:val="20"/>
              </w:rPr>
              <w:t>Remediation</w:t>
            </w:r>
          </w:p>
        </w:tc>
        <w:tc>
          <w:tcPr>
            <w:tcW w:type="dxa" w:w="6624"/>
            <w:shd w:val="clear" w:color="auto" w:fill="FFFFFF"/>
          </w:tcPr>
          <w:p>
            <w:r>
              <w:rPr>
                <w:sz w:val="20"/>
              </w:rPr>
              <w:t>Set the SameSite attribute on all cookies: Set-Cookie: JSESSIONID=...; SameSite=Strict; HttpOnly; Secure — Use "Strict" for session cookies and "Lax" for non-sensitive cookies.</w:t>
            </w:r>
          </w:p>
        </w:tc>
      </w:tr>
    </w:tbl>
    <w:p>
      <w:pPr>
        <w:spacing w:after="80"/>
      </w:pPr>
    </w:p>
    <w:p>
      <w:pPr>
        <w:shd w:val="clear" w:color="auto" w:fill="D68910"/>
        <w:spacing w:before="240" w:after="0"/>
      </w:pPr>
      <w:r>
        <w:rPr>
          <w:b/>
          <w:color w:val="FFFFFF"/>
          <w:sz w:val="22"/>
        </w:rPr>
        <w:t xml:space="preserve">  Finding 8: Sub Resource Integrity (SRI) Attribute Missing  </w:t>
      </w:r>
    </w:p>
    <w:tbl>
      <w:tblPr>
        <w:tblStyle w:val="TableGrid"/>
        <w:tblW w:type="auto" w:w="0"/>
        <w:tblLook w:firstColumn="1" w:firstRow="1" w:lastColumn="0" w:lastRow="0" w:noHBand="0" w:noVBand="1" w:val="04A0"/>
      </w:tblPr>
      <w:tblGrid>
        <w:gridCol w:w="4392"/>
        <w:gridCol w:w="4392"/>
      </w:tblGrid>
      <w:tr>
        <w:tc>
          <w:tcPr>
            <w:tcW w:type="dxa" w:w="2304"/>
            <w:shd w:val="clear" w:color="auto" w:fill="EAF2FF"/>
          </w:tcPr>
          <w:p>
            <w:r>
              <w:rPr>
                <w:b/>
                <w:color w:val="1A3A5C"/>
                <w:sz w:val="20"/>
              </w:rPr>
              <w:t>Risk Level</w:t>
            </w:r>
          </w:p>
        </w:tc>
        <w:tc>
          <w:tcPr>
            <w:tcW w:type="dxa" w:w="6624"/>
            <w:shd w:val="clear" w:color="auto" w:fill="FAFAFA"/>
          </w:tcPr>
          <w:p>
            <w:r>
              <w:rPr>
                <w:b/>
                <w:color w:val="D68910"/>
                <w:sz w:val="20"/>
              </w:rPr>
              <w:t>MEDIUM</w:t>
            </w:r>
          </w:p>
        </w:tc>
      </w:tr>
      <w:tr>
        <w:tc>
          <w:tcPr>
            <w:tcW w:type="dxa" w:w="2304"/>
            <w:shd w:val="clear" w:color="auto" w:fill="EAF2FF"/>
          </w:tcPr>
          <w:p>
            <w:r>
              <w:rPr>
                <w:b/>
                <w:color w:val="1A3A5C"/>
                <w:sz w:val="20"/>
              </w:rPr>
              <w:t>Tool Used</w:t>
            </w:r>
          </w:p>
        </w:tc>
        <w:tc>
          <w:tcPr>
            <w:tcW w:type="dxa" w:w="6624"/>
            <w:shd w:val="clear" w:color="auto" w:fill="FFFFFF"/>
          </w:tcPr>
          <w:p>
            <w:r>
              <w:rPr>
                <w:sz w:val="20"/>
              </w:rPr>
              <w:t>OWASP ZAP</w:t>
            </w:r>
          </w:p>
        </w:tc>
      </w:tr>
      <w:tr>
        <w:tc>
          <w:tcPr>
            <w:tcW w:type="dxa" w:w="2304"/>
            <w:shd w:val="clear" w:color="auto" w:fill="EAF2FF"/>
          </w:tcPr>
          <w:p>
            <w:r>
              <w:rPr>
                <w:b/>
                <w:color w:val="1A3A5C"/>
                <w:sz w:val="20"/>
              </w:rPr>
              <w:t>URL / Location</w:t>
            </w:r>
          </w:p>
        </w:tc>
        <w:tc>
          <w:tcPr>
            <w:tcW w:type="dxa" w:w="6624"/>
            <w:shd w:val="clear" w:color="auto" w:fill="FAFAFA"/>
          </w:tcPr>
          <w:p>
            <w:r>
              <w:rPr>
                <w:sz w:val="20"/>
              </w:rPr>
              <w:t>http://demo.testfire.net/ — External JS/CSS includes</w:t>
            </w:r>
          </w:p>
        </w:tc>
      </w:tr>
      <w:tr>
        <w:tc>
          <w:tcPr>
            <w:tcW w:type="dxa" w:w="2304"/>
            <w:shd w:val="clear" w:color="auto" w:fill="EAF2FF"/>
          </w:tcPr>
          <w:p>
            <w:r>
              <w:rPr>
                <w:b/>
                <w:color w:val="1A3A5C"/>
                <w:sz w:val="20"/>
              </w:rPr>
              <w:t>Description</w:t>
            </w:r>
          </w:p>
        </w:tc>
        <w:tc>
          <w:tcPr>
            <w:tcW w:type="dxa" w:w="6624"/>
            <w:shd w:val="clear" w:color="auto" w:fill="FFFFFF"/>
          </w:tcPr>
          <w:p>
            <w:r>
              <w:rPr>
                <w:sz w:val="20"/>
              </w:rPr>
              <w:t>External JavaScript and CSS files are included without SRI integrity hash attributes. SRI allows the browser to verify that the files from external CDNs have not been tampered with.</w:t>
            </w:r>
          </w:p>
        </w:tc>
      </w:tr>
      <w:tr>
        <w:tc>
          <w:tcPr>
            <w:tcW w:type="dxa" w:w="2304"/>
            <w:shd w:val="clear" w:color="auto" w:fill="EAF2FF"/>
          </w:tcPr>
          <w:p>
            <w:r>
              <w:rPr>
                <w:b/>
                <w:color w:val="1A3A5C"/>
                <w:sz w:val="20"/>
              </w:rPr>
              <w:t>Business Impact</w:t>
            </w:r>
          </w:p>
        </w:tc>
        <w:tc>
          <w:tcPr>
            <w:tcW w:type="dxa" w:w="6624"/>
            <w:shd w:val="clear" w:color="auto" w:fill="FAFAFA"/>
          </w:tcPr>
          <w:p>
            <w:r>
              <w:rPr>
                <w:sz w:val="20"/>
              </w:rPr>
              <w:t>If an external CDN or library host is compromised, attackers can replace legitimate script files with malicious versions. Without SRI, the browser will load and execute the malicious script without any warning.</w:t>
            </w:r>
          </w:p>
        </w:tc>
      </w:tr>
      <w:tr>
        <w:tc>
          <w:tcPr>
            <w:tcW w:type="dxa" w:w="2304"/>
            <w:shd w:val="clear" w:color="auto" w:fill="EAF2FF"/>
          </w:tcPr>
          <w:p>
            <w:r>
              <w:rPr>
                <w:b/>
                <w:color w:val="1A3A5C"/>
                <w:sz w:val="20"/>
              </w:rPr>
              <w:t>Remediation</w:t>
            </w:r>
          </w:p>
        </w:tc>
        <w:tc>
          <w:tcPr>
            <w:tcW w:type="dxa" w:w="6624"/>
            <w:shd w:val="clear" w:color="auto" w:fill="FFFFFF"/>
          </w:tcPr>
          <w:p>
            <w:r>
              <w:rPr>
                <w:sz w:val="20"/>
              </w:rPr>
              <w:t>For every external resource, generate an integrity hash and add it: &lt;script src="external.js" integrity="sha384-..." crossorigin="anonymous"&gt; — Use the SRI Hash Generator at srihash.org to generate hashes.</w:t>
            </w:r>
          </w:p>
        </w:tc>
      </w:tr>
    </w:tbl>
    <w:p>
      <w:pPr>
        <w:spacing w:after="80"/>
      </w:pPr>
    </w:p>
    <w:p>
      <w:pPr>
        <w:shd w:val="clear" w:color="auto" w:fill="D68910"/>
        <w:spacing w:before="240" w:after="0"/>
      </w:pPr>
      <w:r>
        <w:rPr>
          <w:b/>
          <w:color w:val="FFFFFF"/>
          <w:sz w:val="22"/>
        </w:rPr>
        <w:t xml:space="preserve">  Finding 9: Cross-Domain JavaScript Source File Inclusion  </w:t>
      </w:r>
    </w:p>
    <w:tbl>
      <w:tblPr>
        <w:tblStyle w:val="TableGrid"/>
        <w:tblW w:type="auto" w:w="0"/>
        <w:tblLook w:firstColumn="1" w:firstRow="1" w:lastColumn="0" w:lastRow="0" w:noHBand="0" w:noVBand="1" w:val="04A0"/>
      </w:tblPr>
      <w:tblGrid>
        <w:gridCol w:w="4392"/>
        <w:gridCol w:w="4392"/>
      </w:tblGrid>
      <w:tr>
        <w:tc>
          <w:tcPr>
            <w:tcW w:type="dxa" w:w="2304"/>
            <w:shd w:val="clear" w:color="auto" w:fill="EAF2FF"/>
          </w:tcPr>
          <w:p>
            <w:r>
              <w:rPr>
                <w:b/>
                <w:color w:val="1A3A5C"/>
                <w:sz w:val="20"/>
              </w:rPr>
              <w:t>Risk Level</w:t>
            </w:r>
          </w:p>
        </w:tc>
        <w:tc>
          <w:tcPr>
            <w:tcW w:type="dxa" w:w="6624"/>
            <w:shd w:val="clear" w:color="auto" w:fill="FAFAFA"/>
          </w:tcPr>
          <w:p>
            <w:r>
              <w:rPr>
                <w:b/>
                <w:color w:val="D68910"/>
                <w:sz w:val="20"/>
              </w:rPr>
              <w:t>MEDIUM</w:t>
            </w:r>
          </w:p>
        </w:tc>
      </w:tr>
      <w:tr>
        <w:tc>
          <w:tcPr>
            <w:tcW w:type="dxa" w:w="2304"/>
            <w:shd w:val="clear" w:color="auto" w:fill="EAF2FF"/>
          </w:tcPr>
          <w:p>
            <w:r>
              <w:rPr>
                <w:b/>
                <w:color w:val="1A3A5C"/>
                <w:sz w:val="20"/>
              </w:rPr>
              <w:t>Tool Used</w:t>
            </w:r>
          </w:p>
        </w:tc>
        <w:tc>
          <w:tcPr>
            <w:tcW w:type="dxa" w:w="6624"/>
            <w:shd w:val="clear" w:color="auto" w:fill="FFFFFF"/>
          </w:tcPr>
          <w:p>
            <w:r>
              <w:rPr>
                <w:sz w:val="20"/>
              </w:rPr>
              <w:t>OWASP ZAP</w:t>
            </w:r>
          </w:p>
        </w:tc>
      </w:tr>
      <w:tr>
        <w:tc>
          <w:tcPr>
            <w:tcW w:type="dxa" w:w="2304"/>
            <w:shd w:val="clear" w:color="auto" w:fill="EAF2FF"/>
          </w:tcPr>
          <w:p>
            <w:r>
              <w:rPr>
                <w:b/>
                <w:color w:val="1A3A5C"/>
                <w:sz w:val="20"/>
              </w:rPr>
              <w:t>URL / Location</w:t>
            </w:r>
          </w:p>
        </w:tc>
        <w:tc>
          <w:tcPr>
            <w:tcW w:type="dxa" w:w="6624"/>
            <w:shd w:val="clear" w:color="auto" w:fill="FAFAFA"/>
          </w:tcPr>
          <w:p>
            <w:r>
              <w:rPr>
                <w:sz w:val="20"/>
              </w:rPr>
              <w:t>http://demo.testfire.net/ — External domain script tags</w:t>
            </w:r>
          </w:p>
        </w:tc>
      </w:tr>
      <w:tr>
        <w:tc>
          <w:tcPr>
            <w:tcW w:type="dxa" w:w="2304"/>
            <w:shd w:val="clear" w:color="auto" w:fill="EAF2FF"/>
          </w:tcPr>
          <w:p>
            <w:r>
              <w:rPr>
                <w:b/>
                <w:color w:val="1A3A5C"/>
                <w:sz w:val="20"/>
              </w:rPr>
              <w:t>Description</w:t>
            </w:r>
          </w:p>
        </w:tc>
        <w:tc>
          <w:tcPr>
            <w:tcW w:type="dxa" w:w="6624"/>
            <w:shd w:val="clear" w:color="auto" w:fill="FFFFFF"/>
          </w:tcPr>
          <w:p>
            <w:r>
              <w:rPr>
                <w:sz w:val="20"/>
              </w:rPr>
              <w:t>The application loads JavaScript files from external domains without integrity validation. These third-party dependencies expand the application's attack surface.</w:t>
            </w:r>
          </w:p>
        </w:tc>
      </w:tr>
      <w:tr>
        <w:tc>
          <w:tcPr>
            <w:tcW w:type="dxa" w:w="2304"/>
            <w:shd w:val="clear" w:color="auto" w:fill="EAF2FF"/>
          </w:tcPr>
          <w:p>
            <w:r>
              <w:rPr>
                <w:b/>
                <w:color w:val="1A3A5C"/>
                <w:sz w:val="20"/>
              </w:rPr>
              <w:t>Business Impact</w:t>
            </w:r>
          </w:p>
        </w:tc>
        <w:tc>
          <w:tcPr>
            <w:tcW w:type="dxa" w:w="6624"/>
            <w:shd w:val="clear" w:color="auto" w:fill="FAFAFA"/>
          </w:tcPr>
          <w:p>
            <w:r>
              <w:rPr>
                <w:sz w:val="20"/>
              </w:rPr>
              <w:t>Any compromise of the external domain hosting these scripts would result in malicious code being automatically executed in all users' browsers, potentially leading to mass credential theft or session hijacking.</w:t>
            </w:r>
          </w:p>
        </w:tc>
      </w:tr>
      <w:tr>
        <w:tc>
          <w:tcPr>
            <w:tcW w:type="dxa" w:w="2304"/>
            <w:shd w:val="clear" w:color="auto" w:fill="EAF2FF"/>
          </w:tcPr>
          <w:p>
            <w:r>
              <w:rPr>
                <w:b/>
                <w:color w:val="1A3A5C"/>
                <w:sz w:val="20"/>
              </w:rPr>
              <w:t>Remediation</w:t>
            </w:r>
          </w:p>
        </w:tc>
        <w:tc>
          <w:tcPr>
            <w:tcW w:type="dxa" w:w="6624"/>
            <w:shd w:val="clear" w:color="auto" w:fill="FFFFFF"/>
          </w:tcPr>
          <w:p>
            <w:r>
              <w:rPr>
                <w:sz w:val="20"/>
              </w:rPr>
              <w:t>Audit all third-party JavaScript dependencies. Remove unnecessary external scripts. For required scripts, add SRI integrity attributes (see Finding 8). Consider self-hosting critical dependencies.</w:t>
            </w:r>
          </w:p>
        </w:tc>
      </w:tr>
    </w:tbl>
    <w:p>
      <w:pPr>
        <w:spacing w:after="80"/>
      </w:pPr>
    </w:p>
    <w:p>
      <w:pPr>
        <w:shd w:val="clear" w:color="auto" w:fill="27AE60"/>
        <w:spacing w:before="240" w:after="0"/>
      </w:pPr>
      <w:r>
        <w:rPr>
          <w:b/>
          <w:color w:val="FFFFFF"/>
          <w:sz w:val="22"/>
        </w:rPr>
        <w:t xml:space="preserve">  Finding 10: Outdated Server Software — Apache Tomcat/Coyote 1.1  </w:t>
      </w:r>
    </w:p>
    <w:tbl>
      <w:tblPr>
        <w:tblStyle w:val="TableGrid"/>
        <w:tblW w:type="auto" w:w="0"/>
        <w:tblLook w:firstColumn="1" w:firstRow="1" w:lastColumn="0" w:lastRow="0" w:noHBand="0" w:noVBand="1" w:val="04A0"/>
      </w:tblPr>
      <w:tblGrid>
        <w:gridCol w:w="4392"/>
        <w:gridCol w:w="4392"/>
      </w:tblGrid>
      <w:tr>
        <w:tc>
          <w:tcPr>
            <w:tcW w:type="dxa" w:w="2304"/>
            <w:shd w:val="clear" w:color="auto" w:fill="EAF2FF"/>
          </w:tcPr>
          <w:p>
            <w:r>
              <w:rPr>
                <w:b/>
                <w:color w:val="1A3A5C"/>
                <w:sz w:val="20"/>
              </w:rPr>
              <w:t>Risk Level</w:t>
            </w:r>
          </w:p>
        </w:tc>
        <w:tc>
          <w:tcPr>
            <w:tcW w:type="dxa" w:w="6624"/>
            <w:shd w:val="clear" w:color="auto" w:fill="FAFAFA"/>
          </w:tcPr>
          <w:p>
            <w:r>
              <w:rPr>
                <w:b/>
                <w:color w:val="27AE60"/>
                <w:sz w:val="20"/>
              </w:rPr>
              <w:t>LOW</w:t>
            </w:r>
          </w:p>
        </w:tc>
      </w:tr>
      <w:tr>
        <w:tc>
          <w:tcPr>
            <w:tcW w:type="dxa" w:w="2304"/>
            <w:shd w:val="clear" w:color="auto" w:fill="EAF2FF"/>
          </w:tcPr>
          <w:p>
            <w:r>
              <w:rPr>
                <w:b/>
                <w:color w:val="1A3A5C"/>
                <w:sz w:val="20"/>
              </w:rPr>
              <w:t>Tool Used</w:t>
            </w:r>
          </w:p>
        </w:tc>
        <w:tc>
          <w:tcPr>
            <w:tcW w:type="dxa" w:w="6624"/>
            <w:shd w:val="clear" w:color="auto" w:fill="FFFFFF"/>
          </w:tcPr>
          <w:p>
            <w:r>
              <w:rPr>
                <w:sz w:val="20"/>
              </w:rPr>
              <w:t>Nmap</w:t>
            </w:r>
          </w:p>
        </w:tc>
      </w:tr>
      <w:tr>
        <w:tc>
          <w:tcPr>
            <w:tcW w:type="dxa" w:w="2304"/>
            <w:shd w:val="clear" w:color="auto" w:fill="EAF2FF"/>
          </w:tcPr>
          <w:p>
            <w:r>
              <w:rPr>
                <w:b/>
                <w:color w:val="1A3A5C"/>
                <w:sz w:val="20"/>
              </w:rPr>
              <w:t>URL / Location</w:t>
            </w:r>
          </w:p>
        </w:tc>
        <w:tc>
          <w:tcPr>
            <w:tcW w:type="dxa" w:w="6624"/>
            <w:shd w:val="clear" w:color="auto" w:fill="FAFAFA"/>
          </w:tcPr>
          <w:p>
            <w:r>
              <w:rPr>
                <w:sz w:val="20"/>
              </w:rPr>
              <w:t>demo.testfire.net — Ports 80, 443, 8080 (service banner)</w:t>
            </w:r>
          </w:p>
        </w:tc>
      </w:tr>
      <w:tr>
        <w:tc>
          <w:tcPr>
            <w:tcW w:type="dxa" w:w="2304"/>
            <w:shd w:val="clear" w:color="auto" w:fill="EAF2FF"/>
          </w:tcPr>
          <w:p>
            <w:r>
              <w:rPr>
                <w:b/>
                <w:color w:val="1A3A5C"/>
                <w:sz w:val="20"/>
              </w:rPr>
              <w:t>Description</w:t>
            </w:r>
          </w:p>
        </w:tc>
        <w:tc>
          <w:tcPr>
            <w:tcW w:type="dxa" w:w="6624"/>
            <w:shd w:val="clear" w:color="auto" w:fill="FFFFFF"/>
          </w:tcPr>
          <w:p>
            <w:r>
              <w:rPr>
                <w:sz w:val="20"/>
              </w:rPr>
              <w:t>Nmap detected Apache Tomcat with Coyote JSP engine version 1.1 running on the server. This is a significantly outdated version of the software.</w:t>
            </w:r>
          </w:p>
        </w:tc>
      </w:tr>
      <w:tr>
        <w:tc>
          <w:tcPr>
            <w:tcW w:type="dxa" w:w="2304"/>
            <w:shd w:val="clear" w:color="auto" w:fill="EAF2FF"/>
          </w:tcPr>
          <w:p>
            <w:r>
              <w:rPr>
                <w:b/>
                <w:color w:val="1A3A5C"/>
                <w:sz w:val="20"/>
              </w:rPr>
              <w:t>Business Impact</w:t>
            </w:r>
          </w:p>
        </w:tc>
        <w:tc>
          <w:tcPr>
            <w:tcW w:type="dxa" w:w="6624"/>
            <w:shd w:val="clear" w:color="auto" w:fill="FAFAFA"/>
          </w:tcPr>
          <w:p>
            <w:r>
              <w:rPr>
                <w:sz w:val="20"/>
              </w:rPr>
              <w:t>Outdated software versions often contain publicly documented vulnerabilities (CVEs) that attackers can look up and exploit using freely available tools. This lowers the skill barrier required to attack the server.</w:t>
            </w:r>
          </w:p>
        </w:tc>
      </w:tr>
      <w:tr>
        <w:tc>
          <w:tcPr>
            <w:tcW w:type="dxa" w:w="2304"/>
            <w:shd w:val="clear" w:color="auto" w:fill="EAF2FF"/>
          </w:tcPr>
          <w:p>
            <w:r>
              <w:rPr>
                <w:b/>
                <w:color w:val="1A3A5C"/>
                <w:sz w:val="20"/>
              </w:rPr>
              <w:t>Remediation</w:t>
            </w:r>
          </w:p>
        </w:tc>
        <w:tc>
          <w:tcPr>
            <w:tcW w:type="dxa" w:w="6624"/>
            <w:shd w:val="clear" w:color="auto" w:fill="FFFFFF"/>
          </w:tcPr>
          <w:p>
            <w:r>
              <w:rPr>
                <w:sz w:val="20"/>
              </w:rPr>
              <w:t>Update Apache Tomcat to the latest stable version (check tomcat.apache.org). Establish a regular patch management schedule. After updating, verify the Server header no longer reveals the version number.</w:t>
            </w:r>
          </w:p>
        </w:tc>
      </w:tr>
    </w:tbl>
    <w:p>
      <w:pPr>
        <w:spacing w:after="80"/>
      </w:pPr>
    </w:p>
    <w:p>
      <w:pPr>
        <w:shd w:val="clear" w:color="auto" w:fill="27AE60"/>
        <w:spacing w:before="240" w:after="0"/>
      </w:pPr>
      <w:r>
        <w:rPr>
          <w:b/>
          <w:color w:val="FFFFFF"/>
          <w:sz w:val="22"/>
        </w:rPr>
        <w:t xml:space="preserve">  Finding 11: Server Version Information Disclosed  </w:t>
      </w:r>
    </w:p>
    <w:tbl>
      <w:tblPr>
        <w:tblStyle w:val="TableGrid"/>
        <w:tblW w:type="auto" w:w="0"/>
        <w:tblLook w:firstColumn="1" w:firstRow="1" w:lastColumn="0" w:lastRow="0" w:noHBand="0" w:noVBand="1" w:val="04A0"/>
      </w:tblPr>
      <w:tblGrid>
        <w:gridCol w:w="4392"/>
        <w:gridCol w:w="4392"/>
      </w:tblGrid>
      <w:tr>
        <w:tc>
          <w:tcPr>
            <w:tcW w:type="dxa" w:w="2304"/>
            <w:shd w:val="clear" w:color="auto" w:fill="EAF2FF"/>
          </w:tcPr>
          <w:p>
            <w:r>
              <w:rPr>
                <w:b/>
                <w:color w:val="1A3A5C"/>
                <w:sz w:val="20"/>
              </w:rPr>
              <w:t>Risk Level</w:t>
            </w:r>
          </w:p>
        </w:tc>
        <w:tc>
          <w:tcPr>
            <w:tcW w:type="dxa" w:w="6624"/>
            <w:shd w:val="clear" w:color="auto" w:fill="FAFAFA"/>
          </w:tcPr>
          <w:p>
            <w:r>
              <w:rPr>
                <w:b/>
                <w:color w:val="27AE60"/>
                <w:sz w:val="20"/>
              </w:rPr>
              <w:t>LOW</w:t>
            </w:r>
          </w:p>
        </w:tc>
      </w:tr>
      <w:tr>
        <w:tc>
          <w:tcPr>
            <w:tcW w:type="dxa" w:w="2304"/>
            <w:shd w:val="clear" w:color="auto" w:fill="EAF2FF"/>
          </w:tcPr>
          <w:p>
            <w:r>
              <w:rPr>
                <w:b/>
                <w:color w:val="1A3A5C"/>
                <w:sz w:val="20"/>
              </w:rPr>
              <w:t>Tool Used</w:t>
            </w:r>
          </w:p>
        </w:tc>
        <w:tc>
          <w:tcPr>
            <w:tcW w:type="dxa" w:w="6624"/>
            <w:shd w:val="clear" w:color="auto" w:fill="FFFFFF"/>
          </w:tcPr>
          <w:p>
            <w:r>
              <w:rPr>
                <w:sz w:val="20"/>
              </w:rPr>
              <w:t>Browser DevTools</w:t>
            </w:r>
          </w:p>
        </w:tc>
      </w:tr>
      <w:tr>
        <w:tc>
          <w:tcPr>
            <w:tcW w:type="dxa" w:w="2304"/>
            <w:shd w:val="clear" w:color="auto" w:fill="EAF2FF"/>
          </w:tcPr>
          <w:p>
            <w:r>
              <w:rPr>
                <w:b/>
                <w:color w:val="1A3A5C"/>
                <w:sz w:val="20"/>
              </w:rPr>
              <w:t>URL / Location</w:t>
            </w:r>
          </w:p>
        </w:tc>
        <w:tc>
          <w:tcPr>
            <w:tcW w:type="dxa" w:w="6624"/>
            <w:shd w:val="clear" w:color="auto" w:fill="FAFAFA"/>
          </w:tcPr>
          <w:p>
            <w:r>
              <w:rPr>
                <w:sz w:val="20"/>
              </w:rPr>
              <w:t>http://demo.testfire.net/ — Response header: Server: Apache-Coyote/1.1</w:t>
            </w:r>
          </w:p>
        </w:tc>
      </w:tr>
      <w:tr>
        <w:tc>
          <w:tcPr>
            <w:tcW w:type="dxa" w:w="2304"/>
            <w:shd w:val="clear" w:color="auto" w:fill="EAF2FF"/>
          </w:tcPr>
          <w:p>
            <w:r>
              <w:rPr>
                <w:b/>
                <w:color w:val="1A3A5C"/>
                <w:sz w:val="20"/>
              </w:rPr>
              <w:t>Description</w:t>
            </w:r>
          </w:p>
        </w:tc>
        <w:tc>
          <w:tcPr>
            <w:tcW w:type="dxa" w:w="6624"/>
            <w:shd w:val="clear" w:color="auto" w:fill="FFFFFF"/>
          </w:tcPr>
          <w:p>
            <w:r>
              <w:rPr>
                <w:sz w:val="20"/>
              </w:rPr>
              <w:t>The HTTP response header "Server: Apache-Coyote/1.1" explicitly reveals the exact server software name and version to anyone who inspects the response headers.</w:t>
            </w:r>
          </w:p>
        </w:tc>
      </w:tr>
      <w:tr>
        <w:tc>
          <w:tcPr>
            <w:tcW w:type="dxa" w:w="2304"/>
            <w:shd w:val="clear" w:color="auto" w:fill="EAF2FF"/>
          </w:tcPr>
          <w:p>
            <w:r>
              <w:rPr>
                <w:b/>
                <w:color w:val="1A3A5C"/>
                <w:sz w:val="20"/>
              </w:rPr>
              <w:t>Business Impact</w:t>
            </w:r>
          </w:p>
        </w:tc>
        <w:tc>
          <w:tcPr>
            <w:tcW w:type="dxa" w:w="6624"/>
            <w:shd w:val="clear" w:color="auto" w:fill="FAFAFA"/>
          </w:tcPr>
          <w:p>
            <w:r>
              <w:rPr>
                <w:sz w:val="20"/>
              </w:rPr>
              <w:t>This is a reconnaissance aid for attackers — knowing the exact software version allows them to immediately search for known exploits (CVEs) specific to that version, reducing their effort to compromise the server.</w:t>
            </w:r>
          </w:p>
        </w:tc>
      </w:tr>
      <w:tr>
        <w:tc>
          <w:tcPr>
            <w:tcW w:type="dxa" w:w="2304"/>
            <w:shd w:val="clear" w:color="auto" w:fill="EAF2FF"/>
          </w:tcPr>
          <w:p>
            <w:r>
              <w:rPr>
                <w:b/>
                <w:color w:val="1A3A5C"/>
                <w:sz w:val="20"/>
              </w:rPr>
              <w:t>Remediation</w:t>
            </w:r>
          </w:p>
        </w:tc>
        <w:tc>
          <w:tcPr>
            <w:tcW w:type="dxa" w:w="6624"/>
            <w:shd w:val="clear" w:color="auto" w:fill="FFFFFF"/>
          </w:tcPr>
          <w:p>
            <w:r>
              <w:rPr>
                <w:sz w:val="20"/>
              </w:rPr>
              <w:t>Configure the server to suppress or obscure the Server header. In Apache Tomcat: set server.ServerInfo in server.xml to a generic value, or use a security filter to remove/replace the header entirely.</w:t>
            </w:r>
          </w:p>
        </w:tc>
      </w:tr>
    </w:tbl>
    <w:p>
      <w:pPr>
        <w:spacing w:after="80"/>
      </w:pPr>
    </w:p>
    <w:p>
      <w:pPr>
        <w:shd w:val="clear" w:color="auto" w:fill="27AE60"/>
        <w:spacing w:before="240" w:after="0"/>
      </w:pPr>
      <w:r>
        <w:rPr>
          <w:b/>
          <w:color w:val="FFFFFF"/>
          <w:sz w:val="22"/>
        </w:rPr>
        <w:t xml:space="preserve">  Finding 12: X-Content-Type-Options Header Missing  </w:t>
      </w:r>
    </w:p>
    <w:tbl>
      <w:tblPr>
        <w:tblStyle w:val="TableGrid"/>
        <w:tblW w:type="auto" w:w="0"/>
        <w:tblLook w:firstColumn="1" w:firstRow="1" w:lastColumn="0" w:lastRow="0" w:noHBand="0" w:noVBand="1" w:val="04A0"/>
      </w:tblPr>
      <w:tblGrid>
        <w:gridCol w:w="4392"/>
        <w:gridCol w:w="4392"/>
      </w:tblGrid>
      <w:tr>
        <w:tc>
          <w:tcPr>
            <w:tcW w:type="dxa" w:w="2304"/>
            <w:shd w:val="clear" w:color="auto" w:fill="EAF2FF"/>
          </w:tcPr>
          <w:p>
            <w:r>
              <w:rPr>
                <w:b/>
                <w:color w:val="1A3A5C"/>
                <w:sz w:val="20"/>
              </w:rPr>
              <w:t>Risk Level</w:t>
            </w:r>
          </w:p>
        </w:tc>
        <w:tc>
          <w:tcPr>
            <w:tcW w:type="dxa" w:w="6624"/>
            <w:shd w:val="clear" w:color="auto" w:fill="FAFAFA"/>
          </w:tcPr>
          <w:p>
            <w:r>
              <w:rPr>
                <w:b/>
                <w:color w:val="27AE60"/>
                <w:sz w:val="20"/>
              </w:rPr>
              <w:t>LOW</w:t>
            </w:r>
          </w:p>
        </w:tc>
      </w:tr>
      <w:tr>
        <w:tc>
          <w:tcPr>
            <w:tcW w:type="dxa" w:w="2304"/>
            <w:shd w:val="clear" w:color="auto" w:fill="EAF2FF"/>
          </w:tcPr>
          <w:p>
            <w:r>
              <w:rPr>
                <w:b/>
                <w:color w:val="1A3A5C"/>
                <w:sz w:val="20"/>
              </w:rPr>
              <w:t>Tool Used</w:t>
            </w:r>
          </w:p>
        </w:tc>
        <w:tc>
          <w:tcPr>
            <w:tcW w:type="dxa" w:w="6624"/>
            <w:shd w:val="clear" w:color="auto" w:fill="FFFFFF"/>
          </w:tcPr>
          <w:p>
            <w:r>
              <w:rPr>
                <w:sz w:val="20"/>
              </w:rPr>
              <w:t>OWASP ZAP</w:t>
            </w:r>
          </w:p>
        </w:tc>
      </w:tr>
      <w:tr>
        <w:tc>
          <w:tcPr>
            <w:tcW w:type="dxa" w:w="2304"/>
            <w:shd w:val="clear" w:color="auto" w:fill="EAF2FF"/>
          </w:tcPr>
          <w:p>
            <w:r>
              <w:rPr>
                <w:b/>
                <w:color w:val="1A3A5C"/>
                <w:sz w:val="20"/>
              </w:rPr>
              <w:t>URL / Location</w:t>
            </w:r>
          </w:p>
        </w:tc>
        <w:tc>
          <w:tcPr>
            <w:tcW w:type="dxa" w:w="6624"/>
            <w:shd w:val="clear" w:color="auto" w:fill="FAFAFA"/>
          </w:tcPr>
          <w:p>
            <w:r>
              <w:rPr>
                <w:sz w:val="20"/>
              </w:rPr>
              <w:t>http://demo.testfire.net/ — All pages (systemic)</w:t>
            </w:r>
          </w:p>
        </w:tc>
      </w:tr>
      <w:tr>
        <w:tc>
          <w:tcPr>
            <w:tcW w:type="dxa" w:w="2304"/>
            <w:shd w:val="clear" w:color="auto" w:fill="EAF2FF"/>
          </w:tcPr>
          <w:p>
            <w:r>
              <w:rPr>
                <w:b/>
                <w:color w:val="1A3A5C"/>
                <w:sz w:val="20"/>
              </w:rPr>
              <w:t>Description</w:t>
            </w:r>
          </w:p>
        </w:tc>
        <w:tc>
          <w:tcPr>
            <w:tcW w:type="dxa" w:w="6624"/>
            <w:shd w:val="clear" w:color="auto" w:fill="FFFFFF"/>
          </w:tcPr>
          <w:p>
            <w:r>
              <w:rPr>
                <w:sz w:val="20"/>
              </w:rPr>
              <w:t>The X-Content-Type-Options: nosniff header is not present. Without this header, browsers may attempt to automatically detect (sniff) the content type of responses.</w:t>
            </w:r>
          </w:p>
        </w:tc>
      </w:tr>
      <w:tr>
        <w:tc>
          <w:tcPr>
            <w:tcW w:type="dxa" w:w="2304"/>
            <w:shd w:val="clear" w:color="auto" w:fill="EAF2FF"/>
          </w:tcPr>
          <w:p>
            <w:r>
              <w:rPr>
                <w:b/>
                <w:color w:val="1A3A5C"/>
                <w:sz w:val="20"/>
              </w:rPr>
              <w:t>Business Impact</w:t>
            </w:r>
          </w:p>
        </w:tc>
        <w:tc>
          <w:tcPr>
            <w:tcW w:type="dxa" w:w="6624"/>
            <w:shd w:val="clear" w:color="auto" w:fill="FAFAFA"/>
          </w:tcPr>
          <w:p>
            <w:r>
              <w:rPr>
                <w:sz w:val="20"/>
              </w:rPr>
              <w:t>If an attacker can upload a file containing HTML or JavaScript with an incorrect MIME type, the browser may still execute it as a script. This can be used to bypass certain content filters and deliver XSS payloads.</w:t>
            </w:r>
          </w:p>
        </w:tc>
      </w:tr>
      <w:tr>
        <w:tc>
          <w:tcPr>
            <w:tcW w:type="dxa" w:w="2304"/>
            <w:shd w:val="clear" w:color="auto" w:fill="EAF2FF"/>
          </w:tcPr>
          <w:p>
            <w:r>
              <w:rPr>
                <w:b/>
                <w:color w:val="1A3A5C"/>
                <w:sz w:val="20"/>
              </w:rPr>
              <w:t>Remediation</w:t>
            </w:r>
          </w:p>
        </w:tc>
        <w:tc>
          <w:tcPr>
            <w:tcW w:type="dxa" w:w="6624"/>
            <w:shd w:val="clear" w:color="auto" w:fill="FFFFFF"/>
          </w:tcPr>
          <w:p>
            <w:r>
              <w:rPr>
                <w:sz w:val="20"/>
              </w:rPr>
              <w:t>Add the response header: X-Content-Type-Options: nosniff — This is a one-line server configuration change that eliminates MIME-sniffing as an attack vector.</w:t>
            </w:r>
          </w:p>
        </w:tc>
      </w:tr>
    </w:tbl>
    <w:p>
      <w:pPr>
        <w:spacing w:after="80"/>
      </w:pPr>
    </w:p>
    <w:p>
      <w:pPr>
        <w:shd w:val="clear" w:color="auto" w:fill="2E86C1"/>
        <w:spacing w:before="240" w:after="0"/>
      </w:pPr>
      <w:r>
        <w:rPr>
          <w:b/>
          <w:color w:val="FFFFFF"/>
          <w:sz w:val="22"/>
        </w:rPr>
        <w:t xml:space="preserve">  Finding 13: Port 8080 Publicly Exposed  </w:t>
      </w:r>
    </w:p>
    <w:tbl>
      <w:tblPr>
        <w:tblStyle w:val="TableGrid"/>
        <w:tblW w:type="auto" w:w="0"/>
        <w:tblLook w:firstColumn="1" w:firstRow="1" w:lastColumn="0" w:lastRow="0" w:noHBand="0" w:noVBand="1" w:val="04A0"/>
      </w:tblPr>
      <w:tblGrid>
        <w:gridCol w:w="4392"/>
        <w:gridCol w:w="4392"/>
      </w:tblGrid>
      <w:tr>
        <w:tc>
          <w:tcPr>
            <w:tcW w:type="dxa" w:w="2304"/>
            <w:shd w:val="clear" w:color="auto" w:fill="EAF2FF"/>
          </w:tcPr>
          <w:p>
            <w:r>
              <w:rPr>
                <w:b/>
                <w:color w:val="1A3A5C"/>
                <w:sz w:val="20"/>
              </w:rPr>
              <w:t>Risk Level</w:t>
            </w:r>
          </w:p>
        </w:tc>
        <w:tc>
          <w:tcPr>
            <w:tcW w:type="dxa" w:w="6624"/>
            <w:shd w:val="clear" w:color="auto" w:fill="FAFAFA"/>
          </w:tcPr>
          <w:p>
            <w:r>
              <w:rPr>
                <w:b/>
                <w:color w:val="2E86C1"/>
                <w:sz w:val="20"/>
              </w:rPr>
              <w:t>INFO</w:t>
            </w:r>
          </w:p>
        </w:tc>
      </w:tr>
      <w:tr>
        <w:tc>
          <w:tcPr>
            <w:tcW w:type="dxa" w:w="2304"/>
            <w:shd w:val="clear" w:color="auto" w:fill="EAF2FF"/>
          </w:tcPr>
          <w:p>
            <w:r>
              <w:rPr>
                <w:b/>
                <w:color w:val="1A3A5C"/>
                <w:sz w:val="20"/>
              </w:rPr>
              <w:t>Tool Used</w:t>
            </w:r>
          </w:p>
        </w:tc>
        <w:tc>
          <w:tcPr>
            <w:tcW w:type="dxa" w:w="6624"/>
            <w:shd w:val="clear" w:color="auto" w:fill="FFFFFF"/>
          </w:tcPr>
          <w:p>
            <w:r>
              <w:rPr>
                <w:sz w:val="20"/>
              </w:rPr>
              <w:t>Nmap</w:t>
            </w:r>
          </w:p>
        </w:tc>
      </w:tr>
      <w:tr>
        <w:tc>
          <w:tcPr>
            <w:tcW w:type="dxa" w:w="2304"/>
            <w:shd w:val="clear" w:color="auto" w:fill="EAF2FF"/>
          </w:tcPr>
          <w:p>
            <w:r>
              <w:rPr>
                <w:b/>
                <w:color w:val="1A3A5C"/>
                <w:sz w:val="20"/>
              </w:rPr>
              <w:t>URL / Location</w:t>
            </w:r>
          </w:p>
        </w:tc>
        <w:tc>
          <w:tcPr>
            <w:tcW w:type="dxa" w:w="6624"/>
            <w:shd w:val="clear" w:color="auto" w:fill="FAFAFA"/>
          </w:tcPr>
          <w:p>
            <w:r>
              <w:rPr>
                <w:sz w:val="20"/>
              </w:rPr>
              <w:t>demo.testfire.net:8080 — Open TCP port</w:t>
            </w:r>
          </w:p>
        </w:tc>
      </w:tr>
      <w:tr>
        <w:tc>
          <w:tcPr>
            <w:tcW w:type="dxa" w:w="2304"/>
            <w:shd w:val="clear" w:color="auto" w:fill="EAF2FF"/>
          </w:tcPr>
          <w:p>
            <w:r>
              <w:rPr>
                <w:b/>
                <w:color w:val="1A3A5C"/>
                <w:sz w:val="20"/>
              </w:rPr>
              <w:t>Description</w:t>
            </w:r>
          </w:p>
        </w:tc>
        <w:tc>
          <w:tcPr>
            <w:tcW w:type="dxa" w:w="6624"/>
            <w:shd w:val="clear" w:color="auto" w:fill="FFFFFF"/>
          </w:tcPr>
          <w:p>
            <w:r>
              <w:rPr>
                <w:sz w:val="20"/>
              </w:rPr>
              <w:t>Nmap identified port 8080 as open and running an HTTP service (Apache Tomcat). Port 8080 is a non-standard web port commonly used for development servers or admin interfaces.</w:t>
            </w:r>
          </w:p>
        </w:tc>
      </w:tr>
      <w:tr>
        <w:tc>
          <w:tcPr>
            <w:tcW w:type="dxa" w:w="2304"/>
            <w:shd w:val="clear" w:color="auto" w:fill="EAF2FF"/>
          </w:tcPr>
          <w:p>
            <w:r>
              <w:rPr>
                <w:b/>
                <w:color w:val="1A3A5C"/>
                <w:sz w:val="20"/>
              </w:rPr>
              <w:t>Business Impact</w:t>
            </w:r>
          </w:p>
        </w:tc>
        <w:tc>
          <w:tcPr>
            <w:tcW w:type="dxa" w:w="6624"/>
            <w:shd w:val="clear" w:color="auto" w:fill="FAFAFA"/>
          </w:tcPr>
          <w:p>
            <w:r>
              <w:rPr>
                <w:sz w:val="20"/>
              </w:rPr>
              <w:t>Publicly accessible development or admin ports may expose application management interfaces, debug pages, or server status pages that should only be available to system administrators.</w:t>
            </w:r>
          </w:p>
        </w:tc>
      </w:tr>
      <w:tr>
        <w:tc>
          <w:tcPr>
            <w:tcW w:type="dxa" w:w="2304"/>
            <w:shd w:val="clear" w:color="auto" w:fill="EAF2FF"/>
          </w:tcPr>
          <w:p>
            <w:r>
              <w:rPr>
                <w:b/>
                <w:color w:val="1A3A5C"/>
                <w:sz w:val="20"/>
              </w:rPr>
              <w:t>Remediation</w:t>
            </w:r>
          </w:p>
        </w:tc>
        <w:tc>
          <w:tcPr>
            <w:tcW w:type="dxa" w:w="6624"/>
            <w:shd w:val="clear" w:color="auto" w:fill="FFFFFF"/>
          </w:tcPr>
          <w:p>
            <w:r>
              <w:rPr>
                <w:sz w:val="20"/>
              </w:rPr>
              <w:t>If port 8080 is not required for public access, close it at the firewall/network level. If needed internally, restrict access to authorised IP addresses only using firewall rules or network access control lists.</w:t>
            </w:r>
          </w:p>
        </w:tc>
      </w:tr>
    </w:tbl>
    <w:p>
      <w:pPr>
        <w:spacing w:after="80"/>
      </w:pPr>
    </w:p>
    <w:p>
      <w:pPr>
        <w:shd w:val="clear" w:color="auto" w:fill="2E86C1"/>
        <w:spacing w:before="240" w:after="0"/>
      </w:pPr>
      <w:r>
        <w:rPr>
          <w:b/>
          <w:color w:val="FFFFFF"/>
          <w:sz w:val="22"/>
        </w:rPr>
        <w:t xml:space="preserve">  Finding 14: Information Disclosure via HTML Comments  </w:t>
      </w:r>
    </w:p>
    <w:tbl>
      <w:tblPr>
        <w:tblStyle w:val="TableGrid"/>
        <w:tblW w:type="auto" w:w="0"/>
        <w:tblLook w:firstColumn="1" w:firstRow="1" w:lastColumn="0" w:lastRow="0" w:noHBand="0" w:noVBand="1" w:val="04A0"/>
      </w:tblPr>
      <w:tblGrid>
        <w:gridCol w:w="4392"/>
        <w:gridCol w:w="4392"/>
      </w:tblGrid>
      <w:tr>
        <w:tc>
          <w:tcPr>
            <w:tcW w:type="dxa" w:w="2304"/>
            <w:shd w:val="clear" w:color="auto" w:fill="EAF2FF"/>
          </w:tcPr>
          <w:p>
            <w:r>
              <w:rPr>
                <w:b/>
                <w:color w:val="1A3A5C"/>
                <w:sz w:val="20"/>
              </w:rPr>
              <w:t>Risk Level</w:t>
            </w:r>
          </w:p>
        </w:tc>
        <w:tc>
          <w:tcPr>
            <w:tcW w:type="dxa" w:w="6624"/>
            <w:shd w:val="clear" w:color="auto" w:fill="FAFAFA"/>
          </w:tcPr>
          <w:p>
            <w:r>
              <w:rPr>
                <w:b/>
                <w:color w:val="2E86C1"/>
                <w:sz w:val="20"/>
              </w:rPr>
              <w:t>INFO</w:t>
            </w:r>
          </w:p>
        </w:tc>
      </w:tr>
      <w:tr>
        <w:tc>
          <w:tcPr>
            <w:tcW w:type="dxa" w:w="2304"/>
            <w:shd w:val="clear" w:color="auto" w:fill="EAF2FF"/>
          </w:tcPr>
          <w:p>
            <w:r>
              <w:rPr>
                <w:b/>
                <w:color w:val="1A3A5C"/>
                <w:sz w:val="20"/>
              </w:rPr>
              <w:t>Tool Used</w:t>
            </w:r>
          </w:p>
        </w:tc>
        <w:tc>
          <w:tcPr>
            <w:tcW w:type="dxa" w:w="6624"/>
            <w:shd w:val="clear" w:color="auto" w:fill="FFFFFF"/>
          </w:tcPr>
          <w:p>
            <w:r>
              <w:rPr>
                <w:sz w:val="20"/>
              </w:rPr>
              <w:t>OWASP ZAP</w:t>
            </w:r>
          </w:p>
        </w:tc>
      </w:tr>
      <w:tr>
        <w:tc>
          <w:tcPr>
            <w:tcW w:type="dxa" w:w="2304"/>
            <w:shd w:val="clear" w:color="auto" w:fill="EAF2FF"/>
          </w:tcPr>
          <w:p>
            <w:r>
              <w:rPr>
                <w:b/>
                <w:color w:val="1A3A5C"/>
                <w:sz w:val="20"/>
              </w:rPr>
              <w:t>URL / Location</w:t>
            </w:r>
          </w:p>
        </w:tc>
        <w:tc>
          <w:tcPr>
            <w:tcW w:type="dxa" w:w="6624"/>
            <w:shd w:val="clear" w:color="auto" w:fill="FAFAFA"/>
          </w:tcPr>
          <w:p>
            <w:r>
              <w:rPr>
                <w:sz w:val="20"/>
              </w:rPr>
              <w:t>Multiple pages — HTML source code (6 instances)</w:t>
            </w:r>
          </w:p>
        </w:tc>
      </w:tr>
      <w:tr>
        <w:tc>
          <w:tcPr>
            <w:tcW w:type="dxa" w:w="2304"/>
            <w:shd w:val="clear" w:color="auto" w:fill="EAF2FF"/>
          </w:tcPr>
          <w:p>
            <w:r>
              <w:rPr>
                <w:b/>
                <w:color w:val="1A3A5C"/>
                <w:sz w:val="20"/>
              </w:rPr>
              <w:t>Description</w:t>
            </w:r>
          </w:p>
        </w:tc>
        <w:tc>
          <w:tcPr>
            <w:tcW w:type="dxa" w:w="6624"/>
            <w:shd w:val="clear" w:color="auto" w:fill="FFFFFF"/>
          </w:tcPr>
          <w:p>
            <w:r>
              <w:rPr>
                <w:sz w:val="20"/>
              </w:rPr>
              <w:t>OWASP ZAP identified suspicious developer comments left in the HTML source code. These may include internal notes, debug information, disabled code, or references to internal systems.</w:t>
            </w:r>
          </w:p>
        </w:tc>
      </w:tr>
      <w:tr>
        <w:tc>
          <w:tcPr>
            <w:tcW w:type="dxa" w:w="2304"/>
            <w:shd w:val="clear" w:color="auto" w:fill="EAF2FF"/>
          </w:tcPr>
          <w:p>
            <w:r>
              <w:rPr>
                <w:b/>
                <w:color w:val="1A3A5C"/>
                <w:sz w:val="20"/>
              </w:rPr>
              <w:t>Business Impact</w:t>
            </w:r>
          </w:p>
        </w:tc>
        <w:tc>
          <w:tcPr>
            <w:tcW w:type="dxa" w:w="6624"/>
            <w:shd w:val="clear" w:color="auto" w:fill="FAFAFA"/>
          </w:tcPr>
          <w:p>
            <w:r>
              <w:rPr>
                <w:sz w:val="20"/>
              </w:rPr>
              <w:t>Developer comments can reveal internal application logic, hidden functionality, database table names, internal IP addresses, or credentials that developers left during testing — all valuable for an attacker mapping the system.</w:t>
            </w:r>
          </w:p>
        </w:tc>
      </w:tr>
      <w:tr>
        <w:tc>
          <w:tcPr>
            <w:tcW w:type="dxa" w:w="2304"/>
            <w:shd w:val="clear" w:color="auto" w:fill="EAF2FF"/>
          </w:tcPr>
          <w:p>
            <w:r>
              <w:rPr>
                <w:b/>
                <w:color w:val="1A3A5C"/>
                <w:sz w:val="20"/>
              </w:rPr>
              <w:t>Remediation</w:t>
            </w:r>
          </w:p>
        </w:tc>
        <w:tc>
          <w:tcPr>
            <w:tcW w:type="dxa" w:w="6624"/>
            <w:shd w:val="clear" w:color="auto" w:fill="FFFFFF"/>
          </w:tcPr>
          <w:p>
            <w:r>
              <w:rPr>
                <w:sz w:val="20"/>
              </w:rPr>
              <w:t>Before deploying to production, remove all HTML comments using a build process or code review checklist. Use automated scanning in your CI/CD pipeline to catch comments containing sensitive keywords.</w:t>
            </w:r>
          </w:p>
        </w:tc>
      </w:tr>
    </w:tbl>
    <w:p>
      <w:pPr>
        <w:spacing w:after="80"/>
      </w:pPr>
    </w:p>
    <w:p>
      <w:r>
        <w:br w:type="page"/>
      </w:r>
    </w:p>
    <w:p>
      <w:pPr>
        <w:spacing w:before="280" w:after="120"/>
      </w:pPr>
      <w:r>
        <w:rPr>
          <w:b/>
          <w:color w:val="1A3A5C"/>
          <w:sz w:val="32"/>
        </w:rPr>
        <w:t>5. Remediation Priority Plan</w:t>
      </w:r>
    </w:p>
    <w:p>
      <w:pPr>
        <w:pBdr>
          <w:bottom w:val="single" w:sz="12" w:space="1" w:color="1a3a5c"/>
        </w:pBdr>
        <w:spacing w:before="0" w:after="120"/>
      </w:pPr>
    </w:p>
    <w:p>
      <w:pPr>
        <w:spacing w:after="80" w:before="0"/>
      </w:pPr>
      <w:r>
        <w:rPr>
          <w:sz w:val="22"/>
        </w:rPr>
        <w:t>The following prioritised remediation plan is recommended based on severity and ease of implementation:</w:t>
      </w:r>
    </w:p>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a3a5c"/>
          </w:tcPr>
          <w:p>
            <w:r>
              <w:rPr>
                <w:b/>
                <w:color w:val="FFFFFF"/>
                <w:sz w:val="20"/>
              </w:rPr>
              <w:t>Priority</w:t>
            </w:r>
          </w:p>
        </w:tc>
        <w:tc>
          <w:tcPr>
            <w:tcW w:type="dxa" w:w="2196"/>
            <w:shd w:val="clear" w:color="auto" w:fill="1a3a5c"/>
          </w:tcPr>
          <w:p>
            <w:r>
              <w:rPr>
                <w:b/>
                <w:color w:val="FFFFFF"/>
                <w:sz w:val="20"/>
              </w:rPr>
              <w:t>Action</w:t>
            </w:r>
          </w:p>
        </w:tc>
        <w:tc>
          <w:tcPr>
            <w:tcW w:type="dxa" w:w="2196"/>
            <w:shd w:val="clear" w:color="auto" w:fill="1a3a5c"/>
          </w:tcPr>
          <w:p>
            <w:r>
              <w:rPr>
                <w:b/>
                <w:color w:val="FFFFFF"/>
                <w:sz w:val="20"/>
              </w:rPr>
              <w:t>Findings</w:t>
            </w:r>
          </w:p>
        </w:tc>
        <w:tc>
          <w:tcPr>
            <w:tcW w:type="dxa" w:w="2196"/>
            <w:shd w:val="clear" w:color="auto" w:fill="1a3a5c"/>
          </w:tcPr>
          <w:p>
            <w:r>
              <w:rPr>
                <w:b/>
                <w:color w:val="FFFFFF"/>
                <w:sz w:val="20"/>
              </w:rPr>
              <w:t>Effort</w:t>
            </w:r>
          </w:p>
        </w:tc>
      </w:tr>
      <w:tr>
        <w:tc>
          <w:tcPr>
            <w:tcW w:type="dxa" w:w="2196"/>
            <w:shd w:val="clear" w:color="auto" w:fill="FDECEA"/>
          </w:tcPr>
          <w:p>
            <w:r>
              <w:rPr>
                <w:sz w:val="20"/>
              </w:rPr>
              <w:t>P1 — Immediate</w:t>
            </w:r>
          </w:p>
        </w:tc>
        <w:tc>
          <w:tcPr>
            <w:tcW w:type="dxa" w:w="2196"/>
            <w:shd w:val="clear" w:color="auto" w:fill="FDECEA"/>
          </w:tcPr>
          <w:p>
            <w:r>
              <w:rPr>
                <w:sz w:val="20"/>
              </w:rPr>
              <w:t>Fix SQL Injection &amp; XSS vulnerabilities in source code</w:t>
            </w:r>
          </w:p>
        </w:tc>
        <w:tc>
          <w:tcPr>
            <w:tcW w:type="dxa" w:w="2196"/>
            <w:shd w:val="clear" w:color="auto" w:fill="FDECEA"/>
          </w:tcPr>
          <w:p>
            <w:r>
              <w:rPr>
                <w:sz w:val="20"/>
              </w:rPr>
              <w:t>1, 2</w:t>
            </w:r>
          </w:p>
        </w:tc>
        <w:tc>
          <w:tcPr>
            <w:tcW w:type="dxa" w:w="2196"/>
            <w:shd w:val="clear" w:color="auto" w:fill="FDECEA"/>
          </w:tcPr>
          <w:p>
            <w:r>
              <w:rPr>
                <w:sz w:val="20"/>
              </w:rPr>
              <w:t>High — code changes required</w:t>
            </w:r>
          </w:p>
        </w:tc>
      </w:tr>
      <w:tr>
        <w:tc>
          <w:tcPr>
            <w:tcW w:type="dxa" w:w="2196"/>
            <w:shd w:val="clear" w:color="auto" w:fill="FEF9E7"/>
          </w:tcPr>
          <w:p>
            <w:r>
              <w:rPr>
                <w:sz w:val="20"/>
              </w:rPr>
              <w:t>P2 — This Week</w:t>
            </w:r>
          </w:p>
        </w:tc>
        <w:tc>
          <w:tcPr>
            <w:tcW w:type="dxa" w:w="2196"/>
            <w:shd w:val="clear" w:color="auto" w:fill="FEF9E7"/>
          </w:tcPr>
          <w:p>
            <w:r>
              <w:rPr>
                <w:sz w:val="20"/>
              </w:rPr>
              <w:t>Add HSTS, CSP, X-Frame-Options, X-Content-Type-Options headers</w:t>
            </w:r>
          </w:p>
        </w:tc>
        <w:tc>
          <w:tcPr>
            <w:tcW w:type="dxa" w:w="2196"/>
            <w:shd w:val="clear" w:color="auto" w:fill="FEF9E7"/>
          </w:tcPr>
          <w:p>
            <w:r>
              <w:rPr>
                <w:sz w:val="20"/>
              </w:rPr>
              <w:t>3, 5, 6, 12</w:t>
            </w:r>
          </w:p>
        </w:tc>
        <w:tc>
          <w:tcPr>
            <w:tcW w:type="dxa" w:w="2196"/>
            <w:shd w:val="clear" w:color="auto" w:fill="FEF9E7"/>
          </w:tcPr>
          <w:p>
            <w:r>
              <w:rPr>
                <w:sz w:val="20"/>
              </w:rPr>
              <w:t>Low — server config change</w:t>
            </w:r>
          </w:p>
        </w:tc>
      </w:tr>
      <w:tr>
        <w:tc>
          <w:tcPr>
            <w:tcW w:type="dxa" w:w="2196"/>
            <w:shd w:val="clear" w:color="auto" w:fill="FEF9E7"/>
          </w:tcPr>
          <w:p>
            <w:r>
              <w:rPr>
                <w:sz w:val="20"/>
              </w:rPr>
              <w:t>P3 — This Week</w:t>
            </w:r>
          </w:p>
        </w:tc>
        <w:tc>
          <w:tcPr>
            <w:tcW w:type="dxa" w:w="2196"/>
            <w:shd w:val="clear" w:color="auto" w:fill="FEF9E7"/>
          </w:tcPr>
          <w:p>
            <w:r>
              <w:rPr>
                <w:sz w:val="20"/>
              </w:rPr>
              <w:t>Add CSRF tokens, fix SameSite cookie attributes</w:t>
            </w:r>
          </w:p>
        </w:tc>
        <w:tc>
          <w:tcPr>
            <w:tcW w:type="dxa" w:w="2196"/>
            <w:shd w:val="clear" w:color="auto" w:fill="FEF9E7"/>
          </w:tcPr>
          <w:p>
            <w:r>
              <w:rPr>
                <w:sz w:val="20"/>
              </w:rPr>
              <w:t>4, 7</w:t>
            </w:r>
          </w:p>
        </w:tc>
        <w:tc>
          <w:tcPr>
            <w:tcW w:type="dxa" w:w="2196"/>
            <w:shd w:val="clear" w:color="auto" w:fill="FEF9E7"/>
          </w:tcPr>
          <w:p>
            <w:r>
              <w:rPr>
                <w:sz w:val="20"/>
              </w:rPr>
              <w:t>Medium — code &amp; config</w:t>
            </w:r>
          </w:p>
        </w:tc>
      </w:tr>
      <w:tr>
        <w:tc>
          <w:tcPr>
            <w:tcW w:type="dxa" w:w="2196"/>
            <w:shd w:val="clear" w:color="auto" w:fill="EAFAF1"/>
          </w:tcPr>
          <w:p>
            <w:r>
              <w:rPr>
                <w:sz w:val="20"/>
              </w:rPr>
              <w:t>P4 — This Month</w:t>
            </w:r>
          </w:p>
        </w:tc>
        <w:tc>
          <w:tcPr>
            <w:tcW w:type="dxa" w:w="2196"/>
            <w:shd w:val="clear" w:color="auto" w:fill="EAFAF1"/>
          </w:tcPr>
          <w:p>
            <w:r>
              <w:rPr>
                <w:sz w:val="20"/>
              </w:rPr>
              <w:t>Update Tomcat, remove server version, clean HTML comments</w:t>
            </w:r>
          </w:p>
        </w:tc>
        <w:tc>
          <w:tcPr>
            <w:tcW w:type="dxa" w:w="2196"/>
            <w:shd w:val="clear" w:color="auto" w:fill="EAFAF1"/>
          </w:tcPr>
          <w:p>
            <w:r>
              <w:rPr>
                <w:sz w:val="20"/>
              </w:rPr>
              <w:t>10, 11, 14</w:t>
            </w:r>
          </w:p>
        </w:tc>
        <w:tc>
          <w:tcPr>
            <w:tcW w:type="dxa" w:w="2196"/>
            <w:shd w:val="clear" w:color="auto" w:fill="EAFAF1"/>
          </w:tcPr>
          <w:p>
            <w:r>
              <w:rPr>
                <w:sz w:val="20"/>
              </w:rPr>
              <w:t>Low — config &amp; maintenance</w:t>
            </w:r>
          </w:p>
        </w:tc>
      </w:tr>
    </w:tbl>
    <w:p/>
    <w:p>
      <w:pPr>
        <w:spacing w:before="280" w:after="120"/>
      </w:pPr>
      <w:r>
        <w:rPr>
          <w:b/>
          <w:color w:val="1A3A5C"/>
          <w:sz w:val="32"/>
        </w:rPr>
        <w:t>6. Conclusion</w:t>
      </w:r>
    </w:p>
    <w:p>
      <w:pPr>
        <w:pBdr>
          <w:bottom w:val="single" w:sz="12" w:space="1" w:color="1a3a5c"/>
        </w:pBdr>
        <w:spacing w:before="0" w:after="120"/>
      </w:pPr>
    </w:p>
    <w:p>
      <w:pPr>
        <w:spacing w:after="80" w:before="0"/>
      </w:pPr>
      <w:r>
        <w:rPr>
          <w:sz w:val="22"/>
        </w:rPr>
        <w:t>The vulnerability assessment of demo.testfire.net revealed a total of 14 security issues ranging from critical injection vulnerabilities to missing security headers. The most concerning findings are the SQL Injection and Cross-Site Scripting vulnerabilities, which could directly lead to a full database compromise or session hijacking of banking customers.</w:t>
      </w:r>
    </w:p>
    <w:p>
      <w:pPr>
        <w:spacing w:after="80" w:before="0"/>
      </w:pPr>
      <w:r>
        <w:rPr>
          <w:sz w:val="22"/>
        </w:rPr>
        <w:t>The positive observation is that several of the identified issues — particularly the missing security headers — can be resolved with relatively simple server configuration changes that require no code modifications. These quick wins should be implemented immediately as they significantly reduce the attack surface with minimal effort.</w:t>
      </w:r>
    </w:p>
    <w:p>
      <w:pPr>
        <w:spacing w:after="80" w:before="0"/>
      </w:pPr>
      <w:r>
        <w:rPr>
          <w:sz w:val="22"/>
        </w:rPr>
        <w:t>It is strongly recommended that the development team implement the remediation steps outlined in this report, beginning with the P1 (Immediate) priority items. A follow-up assessment should be conducted after remediation to verify that all identified vulnerabilities have been successfully resolved.</w:t>
      </w:r>
    </w:p>
    <w:p/>
    <w:p>
      <w:pPr>
        <w:pBdr>
          <w:bottom w:val="single" w:sz="8" w:space="1" w:color="1a3a5c"/>
        </w:pBdr>
        <w:spacing w:before="0" w:after="120"/>
      </w:pPr>
    </w:p>
    <w:p>
      <w:pPr>
        <w:jc w:val="right"/>
      </w:pPr>
      <w:r>
        <w:rPr>
          <w:i/>
          <w:color w:val="555555"/>
          <w:sz w:val="20"/>
        </w:rPr>
        <w:t>Prepared by: MADHUPRIYA  |  CIN: FIT/JUN26/CS9330</w:t>
        <w:br/>
        <w:t>Future Interns Cyber Security Internship  |  June 2026</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