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rPr>
          <w:b/>
          <w:color w:val="007E8C"/>
          <w:sz w:val="20"/>
        </w:rPr>
        <w:t>INTERNAL MINI-PROJECT</w:t>
      </w:r>
    </w:p>
    <w:p>
      <w:pPr>
        <w:pStyle w:val="Title"/>
      </w:pPr>
      <w:r>
        <w:t>Portfolio Analytics &amp;</w:t>
        <w:br/>
        <w:t>Credit Risk Monitoring</w:t>
      </w:r>
    </w:p>
    <w:p>
      <w:r>
        <w:rPr>
          <w:color w:val="4B5A64"/>
          <w:sz w:val="26"/>
        </w:rPr>
        <w:t>A data analytics solution developed within the company using a synthetic/sample banking dataset</w:t>
      </w:r>
    </w:p>
    <w:p/>
    <w:tbl>
      <w:tblPr>
        <w:tblW w:type="auto" w:w="0"/>
        <w:jc w:val="center"/>
        <w:tblLook w:firstColumn="1" w:firstRow="1" w:lastColumn="0" w:lastRow="0" w:noHBand="0" w:noVBand="1" w:val="04A0"/>
      </w:tblPr>
      <w:tblGrid>
        <w:gridCol w:w="3360"/>
        <w:gridCol w:w="3360"/>
        <w:gridCol w:w="3360"/>
      </w:tblGrid>
      <w:tr>
        <w:trPr>
          <w:cantSplit/>
        </w:trPr>
        <w:tc>
          <w:tcPr>
            <w:tcW w:type="dxa" w:w="3360"/>
            <w:shd w:fill="EAF1F5"/>
          </w:tcPr>
          <w:p>
            <w:pPr>
              <w:spacing w:after="40"/>
            </w:pPr>
            <w:r/>
            <w:r>
              <w:rPr>
                <w:b/>
                <w:color w:val="006E7D"/>
                <w:sz w:val="16"/>
              </w:rPr>
              <w:t>BUSINESS FOCUS</w:t>
              <w:br/>
            </w:r>
            <w:r>
              <w:rPr>
                <w:b/>
                <w:sz w:val="18"/>
              </w:rPr>
              <w:t>Portfolio visibility</w:t>
            </w:r>
          </w:p>
        </w:tc>
        <w:tc>
          <w:tcPr>
            <w:tcW w:type="dxa" w:w="3360"/>
            <w:shd w:fill="DCECEF"/>
          </w:tcPr>
          <w:p>
            <w:pPr>
              <w:spacing w:after="40"/>
            </w:pPr>
            <w:r/>
            <w:r>
              <w:rPr>
                <w:b/>
                <w:color w:val="006E7D"/>
                <w:sz w:val="16"/>
              </w:rPr>
              <w:t>TECHNOLOGY</w:t>
              <w:br/>
            </w:r>
            <w:r>
              <w:rPr>
                <w:b/>
                <w:sz w:val="18"/>
              </w:rPr>
              <w:t>Python • SQL Server • SSIS • Power BI</w:t>
            </w:r>
          </w:p>
        </w:tc>
        <w:tc>
          <w:tcPr>
            <w:tcW w:type="dxa" w:w="3360"/>
            <w:shd w:fill="EAF1F5"/>
          </w:tcPr>
          <w:p>
            <w:pPr>
              <w:spacing w:after="40"/>
            </w:pPr>
            <w:r/>
            <w:r>
              <w:rPr>
                <w:b/>
                <w:color w:val="006E7D"/>
                <w:sz w:val="16"/>
              </w:rPr>
              <w:t>DATA CONTEXT</w:t>
              <w:br/>
            </w:r>
            <w:r>
              <w:rPr>
                <w:b/>
                <w:sz w:val="18"/>
              </w:rPr>
              <w:t>Synthetic/sample data</w:t>
            </w:r>
          </w:p>
        </w:tc>
      </w:tr>
    </w:tbl>
    <w:p>
      <w:pPr>
        <w:pStyle w:val="Heading1"/>
      </w:pPr>
      <w:r>
        <w:t>Executive summary</w:t>
      </w:r>
    </w:p>
    <w:p>
      <w:r>
        <w:t>This internal mini-project explored how a bank-style portfolio analytics solution could bring customer, facility, loan, payment, collateral, covenant and data-quality information into a consistent reporting workflow. Using a synthetic/sample dataset, the solution combines Python/Pandas for data preparation, SQL Server and SSIS for structured storage and loading, and Power BI for business-facing analysis.</w:t>
      </w:r>
    </w:p>
    <w:p>
      <w:r>
        <w:t>The report supports portfolio monitoring and investigation. It does not represent a production banking system or real customer portfolio. Numerical examples are snapshots from the reviewed sample dataset and should be interpreted within the eligibility rules described below.</w:t>
      </w:r>
    </w:p>
    <w:p>
      <w:pPr>
        <w:pStyle w:val="Heading1"/>
      </w:pPr>
      <w:r>
        <w:t>Business problem and objectives</w:t>
      </w:r>
    </w:p>
    <w:p>
      <w:r>
        <w:t>Portfolio information is easier to analyse when customer and facility attributes can be considered alongside loan exposure, payment behaviour, collateral and data-quality exceptions. This mini-project demonstrates an end-to-end approach for preparing these data, applying transparent eligibility rules, validating analytical outputs, and presenting results through Power BI.</w:t>
      </w:r>
    </w:p>
    <w:p>
      <w:pPr>
        <w:pStyle w:val="ListBullet"/>
        <w:spacing w:after="30"/>
      </w:pPr>
      <w:r>
        <w:t>Create a structured analytical view of customers, facilities, loans and payments.</w:t>
      </w:r>
    </w:p>
    <w:p>
      <w:pPr>
        <w:pStyle w:val="ListBullet"/>
        <w:spacing w:after="30"/>
      </w:pPr>
      <w:r>
        <w:t>Identify payment and credit-risk indicators that warrant further review.</w:t>
      </w:r>
    </w:p>
    <w:p>
      <w:pPr>
        <w:pStyle w:val="ListBullet"/>
        <w:spacing w:after="30"/>
      </w:pPr>
      <w:r>
        <w:t>Measure collateral coverage using a documented portfolio-level calculation.</w:t>
      </w:r>
    </w:p>
    <w:p>
      <w:pPr>
        <w:pStyle w:val="ListBullet"/>
        <w:spacing w:after="30"/>
      </w:pPr>
      <w:r>
        <w:t>Retain and report data-quality exceptions instead of silently discarding them.</w:t>
      </w:r>
    </w:p>
    <w:p>
      <w:pPr>
        <w:pStyle w:val="ListBullet"/>
        <w:spacing w:after="30"/>
      </w:pPr>
      <w:r>
        <w:t>Compare SQL outputs with Power BI measures to improve confidence in reported metrics.</w:t>
      </w:r>
    </w:p>
    <w:p>
      <w:pPr>
        <w:pStyle w:val="Heading1"/>
      </w:pPr>
      <w:r>
        <w:t>Solution architecture</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shd w:fill="EAF1F5"/>
          </w:tcPr>
          <w:p>
            <w:pPr>
              <w:jc w:val="center"/>
            </w:pPr>
            <w:r/>
            <w:r>
              <w:rPr>
                <w:b/>
                <w:color w:val="006478"/>
                <w:sz w:val="18"/>
              </w:rPr>
              <w:t>1. Prepare</w:t>
              <w:br/>
            </w:r>
            <w:r>
              <w:rPr>
                <w:sz w:val="16"/>
              </w:rPr>
              <w:t>Python / Pandas</w:t>
              <w:br/>
              <w:t>Clean, flag, reconcile</w:t>
            </w:r>
          </w:p>
        </w:tc>
        <w:tc>
          <w:tcPr>
            <w:tcW w:type="dxa" w:w="2520"/>
            <w:shd w:fill="DCECEF"/>
          </w:tcPr>
          <w:p>
            <w:pPr>
              <w:jc w:val="center"/>
            </w:pPr>
            <w:r/>
            <w:r>
              <w:rPr>
                <w:b/>
                <w:color w:val="006478"/>
                <w:sz w:val="18"/>
              </w:rPr>
              <w:t>2. Load</w:t>
              <w:br/>
            </w:r>
            <w:r>
              <w:rPr>
                <w:sz w:val="16"/>
              </w:rPr>
              <w:t>SSIS</w:t>
              <w:br/>
              <w:t>Route valid and invalid rows</w:t>
            </w:r>
          </w:p>
        </w:tc>
        <w:tc>
          <w:tcPr>
            <w:tcW w:type="dxa" w:w="2520"/>
            <w:shd w:fill="EAF1F5"/>
          </w:tcPr>
          <w:p>
            <w:pPr>
              <w:jc w:val="center"/>
            </w:pPr>
            <w:r/>
            <w:r>
              <w:rPr>
                <w:b/>
                <w:color w:val="006478"/>
                <w:sz w:val="18"/>
              </w:rPr>
              <w:t>3. Model</w:t>
              <w:br/>
            </w:r>
            <w:r>
              <w:rPr>
                <w:sz w:val="16"/>
              </w:rPr>
              <w:t>SQL Server</w:t>
              <w:br/>
              <w:t>Tables, views and rules</w:t>
            </w:r>
          </w:p>
        </w:tc>
        <w:tc>
          <w:tcPr>
            <w:tcW w:type="dxa" w:w="2520"/>
            <w:shd w:fill="DCECEF"/>
          </w:tcPr>
          <w:p>
            <w:pPr>
              <w:jc w:val="center"/>
            </w:pPr>
            <w:r/>
            <w:r>
              <w:rPr>
                <w:b/>
                <w:color w:val="006478"/>
                <w:sz w:val="18"/>
              </w:rPr>
              <w:t>4. Analyse</w:t>
              <w:br/>
            </w:r>
            <w:r>
              <w:rPr>
                <w:sz w:val="16"/>
              </w:rPr>
              <w:t>Power BI</w:t>
              <w:br/>
              <w:t>KPIs, risk and quality</w:t>
            </w:r>
          </w:p>
        </w:tc>
      </w:tr>
    </w:tbl>
    <w:p>
      <w:r>
        <w:t>Python/Pandas prepares source files and creates validation flags. SSIS loads cleaned records into main SQL tables and routes selected exceptions to invalid-record tables. SQL views apply metric-specific eligibility rules and aggregate facts at appropriate grains. Power BI presents results across four pages.</w:t>
      </w:r>
    </w:p>
    <w:p>
      <w:pPr>
        <w:pStyle w:val="Heading1"/>
      </w:pPr>
      <w:r>
        <w:t>Data preparation and quality approach</w:t>
      </w:r>
    </w:p>
    <w:p>
      <w:pPr>
        <w:pStyle w:val="ListBullet"/>
        <w:spacing w:after="30"/>
      </w:pPr>
      <w:r>
        <w:t>Duplicate handling uses project-specific rules, including protected IDs. These choices are specific to the synthetic dataset and are not universal banking policy.</w:t>
      </w:r>
    </w:p>
    <w:p>
      <w:pPr>
        <w:pStyle w:val="ListBullet"/>
        <w:spacing w:after="30"/>
      </w:pPr>
      <w:r>
        <w:t>Missing values, invalid dates, negative amounts and invalid facility references are represented using quality flags where applicable.</w:t>
      </w:r>
    </w:p>
    <w:p>
      <w:pPr>
        <w:pStyle w:val="ListBullet"/>
        <w:spacing w:after="30"/>
      </w:pPr>
      <w:r>
        <w:t>Invalid records are retained in dedicated tables for review rather than treated as valid analytical records.</w:t>
      </w:r>
    </w:p>
    <w:p>
      <w:pPr>
        <w:pStyle w:val="ListBullet"/>
        <w:spacing w:after="30"/>
      </w:pPr>
      <w:r>
        <w:t>The cleaning workflow reconciles retained and rejected records where applicable. Using the absolute value for negative approved amounts is documented as a synthetic-data assumption.</w:t>
      </w:r>
    </w:p>
    <w:p>
      <w:pPr>
        <w:pStyle w:val="Heading1"/>
      </w:pPr>
      <w:r>
        <w:t>Analytical model and KPI definitions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C4E60"/>
          </w:tcPr>
          <w:p>
            <w:pPr>
              <w:spacing w:after="20"/>
            </w:pPr>
            <w:r/>
            <w:r>
              <w:rPr>
                <w:b/>
                <w:color w:val="FFFFFF"/>
                <w:sz w:val="17"/>
              </w:rPr>
              <w:t>Business area</w:t>
            </w:r>
          </w:p>
        </w:tc>
        <w:tc>
          <w:tcPr>
            <w:tcW w:type="dxa" w:w="3360"/>
            <w:vAlign w:val="center"/>
            <w:shd w:fill="1C4E60"/>
          </w:tcPr>
          <w:p>
            <w:pPr>
              <w:spacing w:after="20"/>
            </w:pPr>
            <w:r/>
            <w:r>
              <w:rPr>
                <w:b/>
                <w:color w:val="FFFFFF"/>
                <w:sz w:val="17"/>
              </w:rPr>
              <w:t>Metric / approach</w:t>
            </w:r>
          </w:p>
        </w:tc>
        <w:tc>
          <w:tcPr>
            <w:tcW w:type="dxa" w:w="3360"/>
            <w:vAlign w:val="center"/>
            <w:shd w:fill="1C4E60"/>
          </w:tcPr>
          <w:p>
            <w:pPr>
              <w:spacing w:after="20"/>
            </w:pPr>
            <w:r/>
            <w:r>
              <w:rPr>
                <w:b/>
                <w:color w:val="FFFFFF"/>
                <w:sz w:val="17"/>
              </w:rPr>
              <w:t>Interpretation rule</w:t>
            </w:r>
          </w:p>
        </w:tc>
      </w:tr>
      <w:tr>
        <w:trPr>
          <w:cantSplit/>
        </w:trPr>
        <w:tc>
          <w:tcPr>
            <w:tcW w:type="dxa" w:w="3360"/>
            <w:vAlign w:val="center"/>
          </w:tcPr>
          <w:p>
            <w:pPr>
              <w:spacing w:after="20"/>
            </w:pPr>
            <w:r/>
            <w:r>
              <w:rPr>
                <w:b w:val="0"/>
                <w:sz w:val="17"/>
              </w:rPr>
              <w:t>Portfolio</w:t>
            </w:r>
          </w:p>
        </w:tc>
        <w:tc>
          <w:tcPr>
            <w:tcW w:type="dxa" w:w="3360"/>
            <w:vAlign w:val="center"/>
          </w:tcPr>
          <w:p>
            <w:pPr>
              <w:spacing w:after="20"/>
            </w:pPr>
            <w:r/>
            <w:r>
              <w:rPr>
                <w:b w:val="0"/>
                <w:sz w:val="17"/>
              </w:rPr>
              <w:t>Customer and facility counts; approved amount</w:t>
            </w:r>
          </w:p>
        </w:tc>
        <w:tc>
          <w:tcPr>
            <w:tcW w:type="dxa" w:w="3360"/>
            <w:vAlign w:val="center"/>
          </w:tcPr>
          <w:p>
            <w:pPr>
              <w:spacing w:after="20"/>
            </w:pPr>
            <w:r/>
            <w:r>
              <w:rPr>
                <w:b w:val="0"/>
                <w:sz w:val="17"/>
              </w:rPr>
              <w:t>Facility summary excludes records with null FacilityType for the approved-amount snapshot.</w:t>
            </w:r>
          </w:p>
        </w:tc>
      </w:tr>
      <w:tr>
        <w:trPr>
          <w:cantSplit/>
        </w:trPr>
        <w:tc>
          <w:tcPr>
            <w:tcW w:type="dxa" w:w="3360"/>
            <w:vAlign w:val="center"/>
          </w:tcPr>
          <w:p>
            <w:pPr>
              <w:spacing w:after="20"/>
            </w:pPr>
            <w:r/>
            <w:r>
              <w:rPr>
                <w:b w:val="0"/>
                <w:sz w:val="17"/>
              </w:rPr>
              <w:t>Loan exposure</w:t>
            </w:r>
          </w:p>
        </w:tc>
        <w:tc>
          <w:tcPr>
            <w:tcW w:type="dxa" w:w="3360"/>
            <w:vAlign w:val="center"/>
          </w:tcPr>
          <w:p>
            <w:pPr>
              <w:spacing w:after="20"/>
            </w:pPr>
            <w:r/>
            <w:r>
              <w:rPr>
                <w:b w:val="0"/>
                <w:sz w:val="17"/>
              </w:rPr>
              <w:t>Disbursed amount for Active loans</w:t>
            </w:r>
          </w:p>
        </w:tc>
        <w:tc>
          <w:tcPr>
            <w:tcW w:type="dxa" w:w="3360"/>
            <w:vAlign w:val="center"/>
          </w:tcPr>
          <w:p>
            <w:pPr>
              <w:spacing w:after="20"/>
            </w:pPr>
            <w:r/>
            <w:r>
              <w:rPr>
                <w:b w:val="0"/>
                <w:sz w:val="17"/>
              </w:rPr>
              <w:t>Calculated from the loan-level view to avoid multiplying amounts across payment rows.</w:t>
            </w:r>
          </w:p>
        </w:tc>
      </w:tr>
      <w:tr>
        <w:trPr>
          <w:cantSplit/>
        </w:trPr>
        <w:tc>
          <w:tcPr>
            <w:tcW w:type="dxa" w:w="3360"/>
            <w:vAlign w:val="center"/>
          </w:tcPr>
          <w:p>
            <w:pPr>
              <w:spacing w:after="20"/>
            </w:pPr>
            <w:r/>
            <w:r>
              <w:rPr>
                <w:b w:val="0"/>
                <w:sz w:val="17"/>
              </w:rPr>
              <w:t>Payment performance</w:t>
            </w:r>
          </w:p>
        </w:tc>
        <w:tc>
          <w:tcPr>
            <w:tcW w:type="dxa" w:w="3360"/>
            <w:vAlign w:val="center"/>
          </w:tcPr>
          <w:p>
            <w:pPr>
              <w:spacing w:after="20"/>
            </w:pPr>
            <w:r/>
            <w:r>
              <w:rPr>
                <w:b w:val="0"/>
                <w:sz w:val="17"/>
              </w:rPr>
              <w:t>Counts by status; positive, negative and net amounts</w:t>
            </w:r>
          </w:p>
        </w:tc>
        <w:tc>
          <w:tcPr>
            <w:tcW w:type="dxa" w:w="3360"/>
            <w:vAlign w:val="center"/>
          </w:tcPr>
          <w:p>
            <w:pPr>
              <w:spacing w:after="20"/>
            </w:pPr>
            <w:r/>
            <w:r>
              <w:rPr>
                <w:b w:val="0"/>
                <w:sz w:val="17"/>
              </w:rPr>
              <w:t>The payment summary applies the exact filters in the validation query. The date-validity filter is intentionally not applied in the version used for the reported snapshot.</w:t>
            </w:r>
          </w:p>
        </w:tc>
      </w:tr>
      <w:tr>
        <w:trPr>
          <w:cantSplit/>
        </w:trPr>
        <w:tc>
          <w:tcPr>
            <w:tcW w:type="dxa" w:w="3360"/>
            <w:vAlign w:val="center"/>
          </w:tcPr>
          <w:p>
            <w:pPr>
              <w:spacing w:after="20"/>
            </w:pPr>
            <w:r/>
            <w:r>
              <w:rPr>
                <w:b w:val="0"/>
                <w:sz w:val="17"/>
              </w:rPr>
              <w:t>Risk monitoring</w:t>
            </w:r>
          </w:p>
        </w:tc>
        <w:tc>
          <w:tcPr>
            <w:tcW w:type="dxa" w:w="3360"/>
            <w:vAlign w:val="center"/>
          </w:tcPr>
          <w:p>
            <w:pPr>
              <w:spacing w:after="20"/>
            </w:pPr>
            <w:r/>
            <w:r>
              <w:rPr>
                <w:b w:val="0"/>
                <w:sz w:val="17"/>
              </w:rPr>
              <w:t>Missed / partial payment counts; active exposure</w:t>
            </w:r>
          </w:p>
        </w:tc>
        <w:tc>
          <w:tcPr>
            <w:tcW w:type="dxa" w:w="3360"/>
            <w:vAlign w:val="center"/>
          </w:tcPr>
          <w:p>
            <w:pPr>
              <w:spacing w:after="20"/>
            </w:pPr>
            <w:r/>
            <w:r>
              <w:rPr>
                <w:b w:val="0"/>
                <w:sz w:val="17"/>
              </w:rPr>
              <w:t>The risk view applies stricter payment eligibility rules than the general payment-performance query; these counts describe different populations.</w:t>
            </w:r>
          </w:p>
        </w:tc>
      </w:tr>
      <w:tr>
        <w:trPr>
          <w:cantSplit/>
        </w:trPr>
        <w:tc>
          <w:tcPr>
            <w:tcW w:type="dxa" w:w="3360"/>
            <w:vAlign w:val="center"/>
          </w:tcPr>
          <w:p>
            <w:pPr>
              <w:spacing w:after="20"/>
            </w:pPr>
            <w:r/>
            <w:r>
              <w:rPr>
                <w:b w:val="0"/>
                <w:sz w:val="17"/>
              </w:rPr>
              <w:t>Collateral</w:t>
            </w:r>
          </w:p>
        </w:tc>
        <w:tc>
          <w:tcPr>
            <w:tcW w:type="dxa" w:w="3360"/>
            <w:vAlign w:val="center"/>
          </w:tcPr>
          <w:p>
            <w:pPr>
              <w:spacing w:after="20"/>
            </w:pPr>
            <w:r/>
            <w:r>
              <w:rPr>
                <w:b w:val="0"/>
                <w:sz w:val="17"/>
              </w:rPr>
              <w:t>Overall portfolio collateral coverage</w:t>
            </w:r>
          </w:p>
        </w:tc>
        <w:tc>
          <w:tcPr>
            <w:tcW w:type="dxa" w:w="3360"/>
            <w:vAlign w:val="center"/>
          </w:tcPr>
          <w:p>
            <w:pPr>
              <w:spacing w:after="20"/>
            </w:pPr>
            <w:r/>
            <w:r>
              <w:rPr>
                <w:b w:val="0"/>
                <w:sz w:val="17"/>
              </w:rPr>
              <w:t>Eligible collateral total divided by eligible approved amount, capped at 100%; only positive approved amounts are included.</w:t>
            </w:r>
          </w:p>
        </w:tc>
      </w:tr>
      <w:tr>
        <w:trPr>
          <w:cantSplit/>
        </w:trPr>
        <w:tc>
          <w:tcPr>
            <w:tcW w:type="dxa" w:w="3360"/>
            <w:vAlign w:val="center"/>
          </w:tcPr>
          <w:p>
            <w:pPr>
              <w:spacing w:after="20"/>
            </w:pPr>
            <w:r/>
            <w:r>
              <w:rPr>
                <w:b w:val="0"/>
                <w:sz w:val="17"/>
              </w:rPr>
              <w:t>Data quality</w:t>
            </w:r>
          </w:p>
        </w:tc>
        <w:tc>
          <w:tcPr>
            <w:tcW w:type="dxa" w:w="3360"/>
            <w:vAlign w:val="center"/>
          </w:tcPr>
          <w:p>
            <w:pPr>
              <w:spacing w:after="20"/>
            </w:pPr>
            <w:r/>
            <w:r>
              <w:rPr>
                <w:b w:val="0"/>
                <w:sz w:val="17"/>
              </w:rPr>
              <w:t>Duplicate IDs, invalid references, missing fields and negative values</w:t>
            </w:r>
          </w:p>
        </w:tc>
        <w:tc>
          <w:tcPr>
            <w:tcW w:type="dxa" w:w="3360"/>
            <w:vAlign w:val="center"/>
          </w:tcPr>
          <w:p>
            <w:pPr>
              <w:spacing w:after="20"/>
            </w:pPr>
            <w:r/>
            <w:r>
              <w:rPr>
                <w:b w:val="0"/>
                <w:sz w:val="17"/>
              </w:rPr>
              <w:t>Cards use DAX and quality/invalid columns; counts were checked against SQL validation queries.</w:t>
            </w:r>
          </w:p>
        </w:tc>
      </w:tr>
    </w:tbl>
    <w:p>
      <w:r>
        <w:t>The model uses separate analytical views for customer, facility, loan, payment and facility-risk analysis. A combined loan/payment detail view can return multiple rows per loan when a facility has multiple payments; it is suitable for detail exploration, not for summing loan or payment financial totals.</w:t>
      </w:r>
    </w:p>
    <w:p>
      <w:pPr>
        <w:pStyle w:val="Heading1"/>
      </w:pPr>
      <w:r>
        <w:t>Dashboard walkthrough</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vAlign w:val="center"/>
            <w:shd w:fill="1C4E60"/>
          </w:tcPr>
          <w:p>
            <w:pPr>
              <w:spacing w:after="20"/>
            </w:pPr>
            <w:r/>
            <w:r>
              <w:rPr>
                <w:b/>
                <w:color w:val="FFFFFF"/>
                <w:sz w:val="17"/>
              </w:rPr>
              <w:t>Power BI page</w:t>
            </w:r>
          </w:p>
        </w:tc>
        <w:tc>
          <w:tcPr>
            <w:tcW w:type="dxa" w:w="5040"/>
            <w:vAlign w:val="center"/>
            <w:shd w:fill="1C4E60"/>
          </w:tcPr>
          <w:p>
            <w:pPr>
              <w:spacing w:after="20"/>
            </w:pPr>
            <w:r/>
            <w:r>
              <w:rPr>
                <w:b/>
                <w:color w:val="FFFFFF"/>
                <w:sz w:val="17"/>
              </w:rPr>
              <w:t>Business questions supported</w:t>
            </w:r>
          </w:p>
        </w:tc>
      </w:tr>
      <w:tr>
        <w:trPr>
          <w:cantSplit/>
        </w:trPr>
        <w:tc>
          <w:tcPr>
            <w:tcW w:type="dxa" w:w="5040"/>
            <w:vAlign w:val="center"/>
          </w:tcPr>
          <w:p>
            <w:pPr>
              <w:spacing w:after="20"/>
            </w:pPr>
            <w:r/>
            <w:r>
              <w:rPr>
                <w:b/>
                <w:sz w:val="17"/>
              </w:rPr>
              <w:t>Portfolio Overview</w:t>
            </w:r>
          </w:p>
        </w:tc>
        <w:tc>
          <w:tcPr>
            <w:tcW w:type="dxa" w:w="5040"/>
            <w:vAlign w:val="center"/>
          </w:tcPr>
          <w:p>
            <w:pPr>
              <w:spacing w:after="20"/>
            </w:pPr>
            <w:r/>
            <w:r>
              <w:rPr>
                <w:b w:val="0"/>
                <w:sz w:val="17"/>
              </w:rPr>
              <w:t>How is the portfolio distributed across customers and facilities? What are the approved and disbursed amounts?</w:t>
            </w:r>
          </w:p>
        </w:tc>
      </w:tr>
      <w:tr>
        <w:trPr>
          <w:cantSplit/>
        </w:trPr>
        <w:tc>
          <w:tcPr>
            <w:tcW w:type="dxa" w:w="5040"/>
            <w:vAlign w:val="center"/>
          </w:tcPr>
          <w:p>
            <w:pPr>
              <w:spacing w:after="20"/>
            </w:pPr>
            <w:r/>
            <w:r>
              <w:rPr>
                <w:b/>
                <w:sz w:val="17"/>
              </w:rPr>
              <w:t>Loan and Payment Performance</w:t>
            </w:r>
          </w:p>
        </w:tc>
        <w:tc>
          <w:tcPr>
            <w:tcW w:type="dxa" w:w="5040"/>
            <w:vAlign w:val="center"/>
          </w:tcPr>
          <w:p>
            <w:pPr>
              <w:spacing w:after="20"/>
            </w:pPr>
            <w:r/>
            <w:r>
              <w:rPr>
                <w:b w:val="0"/>
                <w:sz w:val="17"/>
              </w:rPr>
              <w:t>What are loan statuses and payment outcomes? How do positive and net payment amounts differ?</w:t>
            </w:r>
          </w:p>
        </w:tc>
      </w:tr>
      <w:tr>
        <w:trPr>
          <w:cantSplit/>
        </w:trPr>
        <w:tc>
          <w:tcPr>
            <w:tcW w:type="dxa" w:w="5040"/>
            <w:vAlign w:val="center"/>
          </w:tcPr>
          <w:p>
            <w:pPr>
              <w:spacing w:after="20"/>
            </w:pPr>
            <w:r/>
            <w:r>
              <w:rPr>
                <w:b/>
                <w:sz w:val="17"/>
              </w:rPr>
              <w:t>Risk</w:t>
            </w:r>
          </w:p>
        </w:tc>
        <w:tc>
          <w:tcPr>
            <w:tcW w:type="dxa" w:w="5040"/>
            <w:vAlign w:val="center"/>
          </w:tcPr>
          <w:p>
            <w:pPr>
              <w:spacing w:after="20"/>
            </w:pPr>
            <w:r/>
            <w:r>
              <w:rPr>
                <w:b w:val="0"/>
                <w:sz w:val="17"/>
              </w:rPr>
              <w:t>What is active exposure? Which facilities have missed payments? How does collateral compare with approved amounts?</w:t>
            </w:r>
          </w:p>
        </w:tc>
      </w:tr>
      <w:tr>
        <w:trPr>
          <w:cantSplit/>
        </w:trPr>
        <w:tc>
          <w:tcPr>
            <w:tcW w:type="dxa" w:w="5040"/>
            <w:vAlign w:val="center"/>
          </w:tcPr>
          <w:p>
            <w:pPr>
              <w:spacing w:after="20"/>
            </w:pPr>
            <w:r/>
            <w:r>
              <w:rPr>
                <w:b/>
                <w:sz w:val="17"/>
              </w:rPr>
              <w:t>Data Quality</w:t>
            </w:r>
          </w:p>
        </w:tc>
        <w:tc>
          <w:tcPr>
            <w:tcW w:type="dxa" w:w="5040"/>
            <w:vAlign w:val="center"/>
          </w:tcPr>
          <w:p>
            <w:pPr>
              <w:spacing w:after="20"/>
            </w:pPr>
            <w:r/>
            <w:r>
              <w:rPr>
                <w:b w:val="0"/>
                <w:sz w:val="17"/>
              </w:rPr>
              <w:t>Where do duplicate identifiers, invalid references, missing payment fields and negative values occur?</w:t>
            </w:r>
          </w:p>
        </w:tc>
      </w:tr>
    </w:tbl>
    <w:p>
      <w:pPr>
        <w:pStyle w:val="Heading1"/>
      </w:pPr>
      <w:r>
        <w:t>Validated sample-dataset snapshot</w:t>
      </w:r>
    </w:p>
    <w:p>
      <w:r>
        <w:t>The figures below reflect SQL results supplied during the project review. They are snapshots of the current synthetic/sample dataset, not live business KPIs.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vAlign w:val="center"/>
            <w:shd w:fill="1C4E60"/>
          </w:tcPr>
          <w:p>
            <w:pPr>
              <w:spacing w:after="20"/>
            </w:pPr>
            <w:r/>
            <w:r>
              <w:rPr>
                <w:b/>
                <w:color w:val="FFFFFF"/>
                <w:sz w:val="17"/>
              </w:rPr>
              <w:t>Metric</w:t>
            </w:r>
          </w:p>
        </w:tc>
        <w:tc>
          <w:tcPr>
            <w:tcW w:type="dxa" w:w="5040"/>
            <w:vAlign w:val="center"/>
            <w:shd w:fill="1C4E60"/>
          </w:tcPr>
          <w:p>
            <w:pPr>
              <w:spacing w:after="20"/>
            </w:pPr>
            <w:r/>
            <w:r>
              <w:rPr>
                <w:b/>
                <w:color w:val="FFFFFF"/>
                <w:sz w:val="17"/>
              </w:rPr>
              <w:t>Current validated snapshot</w:t>
            </w:r>
          </w:p>
        </w:tc>
      </w:tr>
      <w:tr>
        <w:trPr>
          <w:cantSplit/>
        </w:trPr>
        <w:tc>
          <w:tcPr>
            <w:tcW w:type="dxa" w:w="5040"/>
            <w:vAlign w:val="center"/>
          </w:tcPr>
          <w:p>
            <w:pPr>
              <w:spacing w:after="20"/>
            </w:pPr>
            <w:r/>
            <w:r>
              <w:rPr>
                <w:b/>
                <w:sz w:val="17"/>
              </w:rPr>
              <w:t>Customers represented in portfolio view</w:t>
            </w:r>
          </w:p>
        </w:tc>
        <w:tc>
          <w:tcPr>
            <w:tcW w:type="dxa" w:w="5040"/>
            <w:vAlign w:val="center"/>
          </w:tcPr>
          <w:p>
            <w:pPr>
              <w:spacing w:after="20"/>
            </w:pPr>
            <w:r/>
            <w:r>
              <w:rPr>
                <w:b w:val="0"/>
                <w:sz w:val="17"/>
              </w:rPr>
              <w:t>66</w:t>
            </w:r>
          </w:p>
        </w:tc>
      </w:tr>
      <w:tr>
        <w:trPr>
          <w:cantSplit/>
        </w:trPr>
        <w:tc>
          <w:tcPr>
            <w:tcW w:type="dxa" w:w="5040"/>
            <w:vAlign w:val="center"/>
          </w:tcPr>
          <w:p>
            <w:pPr>
              <w:spacing w:after="20"/>
            </w:pPr>
            <w:r/>
            <w:r>
              <w:rPr>
                <w:b/>
                <w:sz w:val="17"/>
              </w:rPr>
              <w:t>Facilities with a populated facility type</w:t>
            </w:r>
          </w:p>
        </w:tc>
        <w:tc>
          <w:tcPr>
            <w:tcW w:type="dxa" w:w="5040"/>
            <w:vAlign w:val="center"/>
          </w:tcPr>
          <w:p>
            <w:pPr>
              <w:spacing w:after="20"/>
            </w:pPr>
            <w:r/>
            <w:r>
              <w:rPr>
                <w:b w:val="0"/>
                <w:sz w:val="17"/>
              </w:rPr>
              <w:t>21</w:t>
            </w:r>
          </w:p>
        </w:tc>
      </w:tr>
      <w:tr>
        <w:trPr>
          <w:cantSplit/>
        </w:trPr>
        <w:tc>
          <w:tcPr>
            <w:tcW w:type="dxa" w:w="5040"/>
            <w:vAlign w:val="center"/>
          </w:tcPr>
          <w:p>
            <w:pPr>
              <w:spacing w:after="20"/>
            </w:pPr>
            <w:r/>
            <w:r>
              <w:rPr>
                <w:b/>
                <w:sz w:val="17"/>
              </w:rPr>
              <w:t>Approved amount for those facilities</w:t>
            </w:r>
          </w:p>
        </w:tc>
        <w:tc>
          <w:tcPr>
            <w:tcW w:type="dxa" w:w="5040"/>
            <w:vAlign w:val="center"/>
          </w:tcPr>
          <w:p>
            <w:pPr>
              <w:spacing w:after="20"/>
            </w:pPr>
            <w:r/>
            <w:r>
              <w:rPr>
                <w:b w:val="0"/>
                <w:sz w:val="17"/>
              </w:rPr>
              <w:t>6,570,000</w:t>
            </w:r>
          </w:p>
        </w:tc>
      </w:tr>
      <w:tr>
        <w:trPr>
          <w:cantSplit/>
        </w:trPr>
        <w:tc>
          <w:tcPr>
            <w:tcW w:type="dxa" w:w="5040"/>
            <w:vAlign w:val="center"/>
          </w:tcPr>
          <w:p>
            <w:pPr>
              <w:spacing w:after="20"/>
            </w:pPr>
            <w:r/>
            <w:r>
              <w:rPr>
                <w:b/>
                <w:sz w:val="17"/>
              </w:rPr>
              <w:t>Active loan exposure</w:t>
            </w:r>
          </w:p>
        </w:tc>
        <w:tc>
          <w:tcPr>
            <w:tcW w:type="dxa" w:w="5040"/>
            <w:vAlign w:val="center"/>
          </w:tcPr>
          <w:p>
            <w:pPr>
              <w:spacing w:after="20"/>
            </w:pPr>
            <w:r/>
            <w:r>
              <w:rPr>
                <w:b w:val="0"/>
                <w:sz w:val="17"/>
              </w:rPr>
              <w:t>600,000</w:t>
            </w:r>
          </w:p>
        </w:tc>
      </w:tr>
      <w:tr>
        <w:trPr>
          <w:cantSplit/>
        </w:trPr>
        <w:tc>
          <w:tcPr>
            <w:tcW w:type="dxa" w:w="5040"/>
            <w:vAlign w:val="center"/>
          </w:tcPr>
          <w:p>
            <w:pPr>
              <w:spacing w:after="20"/>
            </w:pPr>
            <w:r/>
            <w:r>
              <w:rPr>
                <w:b/>
                <w:sz w:val="17"/>
              </w:rPr>
              <w:t>Positive payment amount under payment-query filters</w:t>
            </w:r>
          </w:p>
        </w:tc>
        <w:tc>
          <w:tcPr>
            <w:tcW w:type="dxa" w:w="5040"/>
            <w:vAlign w:val="center"/>
          </w:tcPr>
          <w:p>
            <w:pPr>
              <w:spacing w:after="20"/>
            </w:pPr>
            <w:r/>
            <w:r>
              <w:rPr>
                <w:b w:val="0"/>
                <w:sz w:val="17"/>
              </w:rPr>
              <w:t>65,000</w:t>
            </w:r>
          </w:p>
        </w:tc>
      </w:tr>
      <w:tr>
        <w:trPr>
          <w:cantSplit/>
        </w:trPr>
        <w:tc>
          <w:tcPr>
            <w:tcW w:type="dxa" w:w="5040"/>
            <w:vAlign w:val="center"/>
          </w:tcPr>
          <w:p>
            <w:pPr>
              <w:spacing w:after="20"/>
            </w:pPr>
            <w:r/>
            <w:r>
              <w:rPr>
                <w:b/>
                <w:sz w:val="17"/>
              </w:rPr>
              <w:t>Net payment amount under payment-query filters</w:t>
            </w:r>
          </w:p>
        </w:tc>
        <w:tc>
          <w:tcPr>
            <w:tcW w:type="dxa" w:w="5040"/>
            <w:vAlign w:val="center"/>
          </w:tcPr>
          <w:p>
            <w:pPr>
              <w:spacing w:after="20"/>
            </w:pPr>
            <w:r/>
            <w:r>
              <w:rPr>
                <w:b w:val="0"/>
                <w:sz w:val="17"/>
              </w:rPr>
              <w:t>64,600</w:t>
            </w:r>
          </w:p>
        </w:tc>
      </w:tr>
      <w:tr>
        <w:trPr>
          <w:cantSplit/>
        </w:trPr>
        <w:tc>
          <w:tcPr>
            <w:tcW w:type="dxa" w:w="5040"/>
            <w:vAlign w:val="center"/>
          </w:tcPr>
          <w:p>
            <w:pPr>
              <w:spacing w:after="20"/>
            </w:pPr>
            <w:r/>
            <w:r>
              <w:rPr>
                <w:b/>
                <w:sz w:val="17"/>
              </w:rPr>
              <w:t>Overall portfolio collateral coverage</w:t>
            </w:r>
          </w:p>
        </w:tc>
        <w:tc>
          <w:tcPr>
            <w:tcW w:type="dxa" w:w="5040"/>
            <w:vAlign w:val="center"/>
          </w:tcPr>
          <w:p>
            <w:pPr>
              <w:spacing w:after="20"/>
            </w:pPr>
            <w:r/>
            <w:r>
              <w:rPr>
                <w:b w:val="0"/>
                <w:sz w:val="17"/>
              </w:rPr>
              <w:t>23.81%</w:t>
            </w:r>
          </w:p>
        </w:tc>
      </w:tr>
    </w:tbl>
    <w:p>
      <w:r>
        <w:t>Payment-status counts from the general payment-performance query and the risk view are not interchangeable. The general payment query filters invalid facility references, missing amounts and missing statuses, but the date-validity condition is commented out. The risk view additionally excludes negative payments and records with missing or invalid dates, amounts or statuses. Results should be interpreted with their query's eligibility rules.</w:t>
      </w:r>
    </w:p>
    <w:p>
      <w:pPr>
        <w:pStyle w:val="Heading1"/>
      </w:pPr>
      <w:r>
        <w:t>Validation and implementation decisions</w:t>
      </w:r>
    </w:p>
    <w:p>
      <w:pPr>
        <w:pStyle w:val="ListBullet"/>
        <w:spacing w:after="30"/>
      </w:pPr>
      <w:r>
        <w:t>SQL query results were compared with corresponding Power BI visuals for the reviewed snapshot.</w:t>
      </w:r>
    </w:p>
    <w:p>
      <w:pPr>
        <w:pStyle w:val="ListBullet"/>
        <w:spacing w:after="30"/>
      </w:pPr>
      <w:r>
        <w:t>Collateral coverage is calculated at portfolio level from total eligible collateral and total eligible approved amounts, with the result capped at 100%.</w:t>
      </w:r>
    </w:p>
    <w:p>
      <w:pPr>
        <w:pStyle w:val="ListBullet"/>
        <w:spacing w:after="30"/>
      </w:pPr>
      <w:r>
        <w:t>Positive payment amount and net payment amount are separate metrics; negative transactions are excluded from the positive amount but included in the net amount.</w:t>
      </w:r>
    </w:p>
    <w:p>
      <w:pPr>
        <w:pStyle w:val="ListBullet"/>
        <w:spacing w:after="30"/>
      </w:pPr>
      <w:r>
        <w:t>High exposure is a threshold-based indicator; the threshold should be documented as a project rule rather than presented as bank policy.</w:t>
      </w:r>
    </w:p>
    <w:p>
      <w:pPr>
        <w:pStyle w:val="ListBullet"/>
        <w:spacing w:after="30"/>
      </w:pPr>
      <w:r>
        <w:t>The scatter chart was accepted as a limitation of the current sample data because there were too few usable facility-level points to make the visual informative.</w:t>
      </w:r>
    </w:p>
    <w:p>
      <w:pPr>
        <w:pStyle w:val="Heading1"/>
      </w:pPr>
      <w:r>
        <w:t>Business value and limitations</w:t>
      </w:r>
    </w:p>
    <w:p>
      <w:r>
        <w:t>The mini-project demonstrates a repeatable analytics workflow: prepare data, preserve exceptions, apply explicit business rules, aggregate at the correct grain, validate SQL results, and communicate findings in Power BI. It provides a foundation for portfolio review and risk investigation in a simulated banking context.</w:t>
      </w:r>
    </w:p>
    <w:p>
      <w:r>
        <w:t>Because the dataset is synthetic and limited in size, the results do not establish real-world credit risk, actual business performance, or production readiness. Potential improvements include expanding the dataset, formalising high-exposure thresholds with business stakeholders, adding automated reconciliation checks, and testing refresh and referential-integrity behaviour end to end.</w:t>
      </w:r>
    </w:p>
    <w:p>
      <w:pPr>
        <w:pStyle w:val="Heading1"/>
      </w:pPr>
      <w:r>
        <w:t>Conclusion</w:t>
      </w:r>
    </w:p>
    <w:p>
      <w:r>
        <w:t>This internal mini-project demonstrates practical use of Python/Pandas, SQL Server, SSIS and Power BI to build a compact banking portfolio analytics workflow. Its strengths are explicit data-quality handling, KPI definitions tied to business rules, attention to aggregation grain, and SQL-to-report validation. The solution is a demonstrator built on synthetic/sample data and is presented with that scope clearly stated.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Internal mini-project case study • Synthetic/sample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E78"/>
        <w:sz w:val="16"/>
      </w:rPr>
      <w:t>ABC BANK  |  PORTFOLIO ANALYTICS MINI-PROJECT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E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E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7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