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082"/>
          <w:sz w:val="34"/>
          <w:szCs w:val="34"/>
          <w:rtl w:val="0"/>
        </w:rPr>
        <w:t xml:space="preserve">Requirement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8b8b"/>
          <w:sz w:val="26"/>
          <w:szCs w:val="26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center"/>
        <w:tblLayout w:type="fixed"/>
        <w:tblLook w:val="0400"/>
      </w:tblPr>
      <w:tblGrid>
        <w:gridCol w:w="2049"/>
        <w:gridCol w:w="7446"/>
        <w:tblGridChange w:id="0">
          <w:tblGrid>
            <w:gridCol w:w="2049"/>
            <w:gridCol w:w="7446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 September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Banna Madhuri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Automated Network Request Management in ServiceNow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80" w:lineRule="auto"/>
        <w:rPr>
          <w:rFonts w:ascii="Calibri" w:cs="Calibri" w:eastAsia="Calibri" w:hAnsi="Calibri"/>
          <w:b w:val="1"/>
          <w:bCs w:val="1"/>
          <w:color w:val="15608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>
          <w:rFonts w:ascii="Calibri" w:cs="Calibri" w:eastAsia="Calibri" w:hAnsi="Calibri"/>
          <w:b w:val="1"/>
          <w:bCs w:val="1"/>
          <w:color w:val="156082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082"/>
          <w:sz w:val="26"/>
          <w:szCs w:val="26"/>
          <w:rtl w:val="0"/>
        </w:rPr>
        <w:t xml:space="preserve">Technical Architecture</w:t>
      </w:r>
    </w:p>
    <w:p w:rsidR="00000000" w:rsidDel="00000000" w:rsidP="00000000" w:rsidRDefault="00000000" w:rsidRPr="00000000" w14:paraId="0000000D">
      <w:pPr>
        <w:spacing w:after="120" w:before="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309360" cy="48371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7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solution is implemented within ServiceNow using the Service Portal, Service Catalog, catalog variables and variable sets, Flow Designer, a custom Network Database table, approval requests, UI Policies, catalog client scripts, and ACLs. No external API, machine-learning model, or separate cloud database is specified in the supplied project instructions.</w:t>
      </w:r>
    </w:p>
    <w:p w:rsidR="00000000" w:rsidDel="00000000" w:rsidP="00000000" w:rsidRDefault="00000000" w:rsidRPr="00000000" w14:paraId="00000010">
      <w:pPr>
        <w:spacing w:after="100" w:before="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Figure 1: ServiceNow technology stack and request-management architecture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>
          <w:rFonts w:ascii="Calibri" w:cs="Calibri" w:eastAsia="Calibri" w:hAnsi="Calibri"/>
          <w:b w:val="1"/>
          <w:bCs w:val="1"/>
          <w:color w:val="15608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082"/>
          <w:sz w:val="26"/>
          <w:szCs w:val="26"/>
          <w:rtl w:val="0"/>
        </w:rPr>
        <w:t xml:space="preserve">Table-1: Components &amp; Technologies</w:t>
      </w:r>
      <w:r w:rsidDel="00000000" w:rsidR="00000000" w:rsidRPr="00000000">
        <w:rPr>
          <w:rtl w:val="0"/>
        </w:rPr>
      </w:r>
    </w:p>
    <w:tbl>
      <w:tblPr>
        <w:tblStyle w:val="Table2"/>
        <w:tblW w:w="10552.0" w:type="dxa"/>
        <w:jc w:val="center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400"/>
      </w:tblPr>
      <w:tblGrid>
        <w:gridCol w:w="527"/>
        <w:gridCol w:w="1800"/>
        <w:gridCol w:w="4680"/>
        <w:gridCol w:w="3545"/>
        <w:tblGridChange w:id="0">
          <w:tblGrid>
            <w:gridCol w:w="527"/>
            <w:gridCol w:w="1800"/>
            <w:gridCol w:w="4680"/>
            <w:gridCol w:w="3545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 Portal through which end users search for Network Requests, fill required details, and submit requests.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Service Portal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Application Logic-1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Catalog request handling and variable configuration.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Service Catalog</w:t>
            </w:r>
          </w:p>
        </w:tc>
      </w:tr>
      <w:tr>
        <w:trPr>
          <w:cantSplit w:val="0"/>
          <w:trHeight w:val="9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Application Logic-2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End-to-end request lifecycle automation including Get Catalog Variables, Create Record, Send Email, Ask for Approval, If/Else, and Update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Flow Designer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Application Logic-3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Dynamic field visibility and dependent form behaviour.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Catalog UI Policies and Catalog Client Scripts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Stores network request records and fields including Database Number, Assignment To, Mobile Number, Total Amount, Mode of Payment, Type of Connection, Customer Address, Approval Status, and Requested For.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custom Network Database table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Approval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Stores/displays approval request information related to the Network Database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Approval Request / sysapprovals relationship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Email Notification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Communicates request progress from the automated 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Flow Designer Send Email action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External API-1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external API is specified in the project instructions.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specified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Machine Learning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machine-learning model is specified in the project instructions.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specified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Infrastructure (Server / Cloud)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Development and testing are performed in a ServiceNow Personal Developer Instance (PDI).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PDI</w:t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rPr>
          <w:rFonts w:ascii="Calibri" w:cs="Calibri" w:eastAsia="Calibri" w:hAnsi="Calibri"/>
          <w:b w:val="1"/>
          <w:bCs w:val="1"/>
          <w:color w:val="15608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082"/>
          <w:sz w:val="26"/>
          <w:szCs w:val="26"/>
          <w:rtl w:val="0"/>
        </w:rPr>
        <w:t xml:space="preserve">Table-2: Application Characteristics</w:t>
      </w:r>
      <w:r w:rsidDel="00000000" w:rsidR="00000000" w:rsidRPr="00000000">
        <w:rPr>
          <w:rtl w:val="0"/>
        </w:rPr>
      </w:r>
    </w:p>
    <w:tbl>
      <w:tblPr>
        <w:tblStyle w:val="Table3"/>
        <w:tblW w:w="10552.0" w:type="dxa"/>
        <w:jc w:val="center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400"/>
      </w:tblPr>
      <w:tblGrid>
        <w:gridCol w:w="527"/>
        <w:gridCol w:w="1800"/>
        <w:gridCol w:w="4680"/>
        <w:gridCol w:w="3545"/>
        <w:tblGridChange w:id="0">
          <w:tblGrid>
            <w:gridCol w:w="527"/>
            <w:gridCol w:w="1800"/>
            <w:gridCol w:w="4680"/>
            <w:gridCol w:w="3545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Open-Source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external open-source framework is specified.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specified</w:t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Security Implementations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Default ACLs on the custom table are used to restrict read/write access according to configured access controls.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ACLs</w:t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Scalable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solution uses a structured custom table and automated Flow Designer process; no specific microservices or scaling technology is specified.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solution runs within the ServiceNow platform/PDI; no separate availability infrastructure is specified.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9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objectives include reduced manual effort and faster request fulfilment; no requests-per-second, caching, or CDN metric is specified.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ServiceNow Flow Designer / Service Portal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