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CF03" w14:textId="76E0A1DE" w:rsidR="002341A0" w:rsidRDefault="00C149D2" w:rsidP="00C149D2">
      <w:pPr>
        <w:jc w:val="center"/>
        <w:rPr>
          <w:b/>
          <w:bCs/>
          <w:sz w:val="36"/>
          <w:szCs w:val="36"/>
          <w:u w:val="single"/>
        </w:rPr>
      </w:pPr>
      <w:r w:rsidRPr="00C149D2">
        <w:rPr>
          <w:b/>
          <w:bCs/>
          <w:sz w:val="36"/>
          <w:szCs w:val="36"/>
          <w:u w:val="single"/>
        </w:rPr>
        <w:t>Indian FinTech platform</w:t>
      </w:r>
    </w:p>
    <w:p w14:paraId="3343DA47" w14:textId="77777777" w:rsidR="00C149D2" w:rsidRPr="00C149D2" w:rsidRDefault="00C149D2" w:rsidP="00C149D2">
      <w:pPr>
        <w:rPr>
          <w:b/>
          <w:bCs/>
          <w:sz w:val="28"/>
          <w:szCs w:val="28"/>
          <w:u w:val="single"/>
        </w:rPr>
      </w:pPr>
      <w:r w:rsidRPr="00C149D2">
        <w:rPr>
          <w:b/>
          <w:bCs/>
          <w:sz w:val="28"/>
          <w:szCs w:val="28"/>
          <w:u w:val="single"/>
        </w:rPr>
        <w:t>Page 1 – Introduction to FinTech</w:t>
      </w:r>
    </w:p>
    <w:p w14:paraId="4D19B2DA" w14:textId="77777777" w:rsidR="00C149D2" w:rsidRDefault="00C149D2" w:rsidP="00C149D2">
      <w:pPr>
        <w:rPr>
          <w:sz w:val="28"/>
          <w:szCs w:val="28"/>
        </w:rPr>
      </w:pPr>
      <w:r w:rsidRPr="00C149D2">
        <w:rPr>
          <w:sz w:val="28"/>
          <w:szCs w:val="28"/>
        </w:rPr>
        <w:t xml:space="preserve">Financial Technology, or FinTech, represents the integration of digital innovation into financial services. In India, FinTech has transformed how people invest, borrow, save, and transact. From mobile wallets to algorithmic trading, technology has reduced barriers to entry and democratized access to financial markets. The rise of UPI payments, online brokerage platforms, and digital lending has created a vibrant ecosystem where convenience and efficiency are paramount. Data analytics plays a central role in this transformation, enabling firms to understand customer </w:t>
      </w:r>
      <w:proofErr w:type="spellStart"/>
      <w:r w:rsidRPr="00C149D2">
        <w:rPr>
          <w:sz w:val="28"/>
          <w:szCs w:val="28"/>
        </w:rPr>
        <w:t>behavior</w:t>
      </w:r>
      <w:proofErr w:type="spellEnd"/>
      <w:r w:rsidRPr="00C149D2">
        <w:rPr>
          <w:sz w:val="28"/>
          <w:szCs w:val="28"/>
        </w:rPr>
        <w:t>, detect fraud, and personalize services. For regulators like SEBI, analytics ensures transparency and compliance. For customers, it means faster transactions, tailored investment advice, and improved trust. India’s FinTech sector is projected to reach $150 billion by 2025, driven by digital adoption, smartphone penetration, and government initiatives like Digital India.</w:t>
      </w:r>
    </w:p>
    <w:p w14:paraId="53FF371E" w14:textId="77777777" w:rsidR="00C149D2" w:rsidRPr="00C149D2" w:rsidRDefault="00C149D2" w:rsidP="00C149D2">
      <w:pPr>
        <w:rPr>
          <w:sz w:val="28"/>
          <w:szCs w:val="28"/>
        </w:rPr>
      </w:pPr>
    </w:p>
    <w:p w14:paraId="6DEF45F6" w14:textId="77777777" w:rsidR="00C149D2" w:rsidRPr="00C149D2" w:rsidRDefault="00C149D2" w:rsidP="00C149D2">
      <w:pPr>
        <w:rPr>
          <w:b/>
          <w:bCs/>
          <w:sz w:val="28"/>
          <w:szCs w:val="28"/>
          <w:u w:val="single"/>
        </w:rPr>
      </w:pPr>
      <w:r w:rsidRPr="00C149D2">
        <w:rPr>
          <w:b/>
          <w:bCs/>
          <w:sz w:val="28"/>
          <w:szCs w:val="28"/>
          <w:u w:val="single"/>
        </w:rPr>
        <w:t>Page 2 – Brokerage Platforms</w:t>
      </w:r>
    </w:p>
    <w:p w14:paraId="0F5BD65F" w14:textId="77777777" w:rsidR="00C149D2" w:rsidRPr="00C149D2" w:rsidRDefault="00C149D2" w:rsidP="00C149D2">
      <w:pPr>
        <w:rPr>
          <w:sz w:val="28"/>
          <w:szCs w:val="28"/>
        </w:rPr>
      </w:pPr>
      <w:r w:rsidRPr="00C149D2">
        <w:rPr>
          <w:sz w:val="28"/>
          <w:szCs w:val="28"/>
        </w:rPr>
        <w:t xml:space="preserve">Brokerage platforms are online interfaces that allow investors to buy and sell securities such as equities, derivatives, and mutual funds. Traditional brokers relied on physical offices and manual processes, but modern platforms like </w:t>
      </w:r>
      <w:proofErr w:type="spellStart"/>
      <w:r w:rsidRPr="00C149D2">
        <w:rPr>
          <w:sz w:val="28"/>
          <w:szCs w:val="28"/>
        </w:rPr>
        <w:t>Zerodha</w:t>
      </w:r>
      <w:proofErr w:type="spellEnd"/>
      <w:r w:rsidRPr="00C149D2">
        <w:rPr>
          <w:sz w:val="28"/>
          <w:szCs w:val="28"/>
        </w:rPr>
        <w:t xml:space="preserve">, </w:t>
      </w:r>
      <w:proofErr w:type="spellStart"/>
      <w:r w:rsidRPr="00C149D2">
        <w:rPr>
          <w:sz w:val="28"/>
          <w:szCs w:val="28"/>
        </w:rPr>
        <w:t>Upstox</w:t>
      </w:r>
      <w:proofErr w:type="spellEnd"/>
      <w:r w:rsidRPr="00C149D2">
        <w:rPr>
          <w:sz w:val="28"/>
          <w:szCs w:val="28"/>
        </w:rPr>
        <w:t xml:space="preserve">, and </w:t>
      </w:r>
      <w:proofErr w:type="spellStart"/>
      <w:r w:rsidRPr="00C149D2">
        <w:rPr>
          <w:sz w:val="28"/>
          <w:szCs w:val="28"/>
        </w:rPr>
        <w:t>Groww</w:t>
      </w:r>
      <w:proofErr w:type="spellEnd"/>
      <w:r w:rsidRPr="00C149D2">
        <w:rPr>
          <w:sz w:val="28"/>
          <w:szCs w:val="28"/>
        </w:rPr>
        <w:t xml:space="preserve"> have digitized the experience. These platforms provide real</w:t>
      </w:r>
      <w:r w:rsidRPr="00C149D2">
        <w:rPr>
          <w:sz w:val="28"/>
          <w:szCs w:val="28"/>
        </w:rPr>
        <w:noBreakHyphen/>
        <w:t xml:space="preserve">time market data, advanced charting tools, and seamless integration with demat accounts. Data analytics enhances brokerage platforms by offering personalized dashboards, predictive insights, and algorithmic trading strategies. For example, platforms </w:t>
      </w:r>
      <w:proofErr w:type="spellStart"/>
      <w:r w:rsidRPr="00C149D2">
        <w:rPr>
          <w:sz w:val="28"/>
          <w:szCs w:val="28"/>
        </w:rPr>
        <w:t>analyze</w:t>
      </w:r>
      <w:proofErr w:type="spellEnd"/>
      <w:r w:rsidRPr="00C149D2">
        <w:rPr>
          <w:sz w:val="28"/>
          <w:szCs w:val="28"/>
        </w:rPr>
        <w:t xml:space="preserve"> trading patterns to recommend investment opportunities or highlight risks. They also use machine learning to detect unusual trading activity, protecting investors from fraud. Brokerage platforms have lowered costs through discount models, making investing accessible to retail participants. By combining intuitive interfaces with analytics, they empower even first</w:t>
      </w:r>
      <w:r w:rsidRPr="00C149D2">
        <w:rPr>
          <w:sz w:val="28"/>
          <w:szCs w:val="28"/>
        </w:rPr>
        <w:noBreakHyphen/>
        <w:t>time investors to make informed decisions.</w:t>
      </w:r>
    </w:p>
    <w:p w14:paraId="18B3ADE2" w14:textId="77777777" w:rsidR="00C149D2" w:rsidRDefault="00C149D2" w:rsidP="00C149D2">
      <w:pPr>
        <w:rPr>
          <w:b/>
          <w:bCs/>
          <w:sz w:val="28"/>
          <w:szCs w:val="28"/>
        </w:rPr>
      </w:pPr>
    </w:p>
    <w:p w14:paraId="026B2C6F" w14:textId="77777777" w:rsidR="00C149D2" w:rsidRDefault="00C149D2" w:rsidP="00C149D2">
      <w:pPr>
        <w:rPr>
          <w:b/>
          <w:bCs/>
          <w:sz w:val="28"/>
          <w:szCs w:val="28"/>
        </w:rPr>
      </w:pPr>
    </w:p>
    <w:p w14:paraId="29C24F42" w14:textId="77777777" w:rsidR="00C149D2" w:rsidRDefault="00C149D2" w:rsidP="00C149D2">
      <w:pPr>
        <w:rPr>
          <w:b/>
          <w:bCs/>
          <w:sz w:val="28"/>
          <w:szCs w:val="28"/>
        </w:rPr>
      </w:pPr>
    </w:p>
    <w:p w14:paraId="01939146" w14:textId="77777777" w:rsidR="00C149D2" w:rsidRDefault="00C149D2" w:rsidP="00C149D2">
      <w:pPr>
        <w:rPr>
          <w:b/>
          <w:bCs/>
          <w:sz w:val="28"/>
          <w:szCs w:val="28"/>
        </w:rPr>
      </w:pPr>
    </w:p>
    <w:p w14:paraId="513BB27C" w14:textId="1E67722B" w:rsidR="00C149D2" w:rsidRPr="00C149D2" w:rsidRDefault="00C149D2" w:rsidP="00C149D2">
      <w:pPr>
        <w:rPr>
          <w:b/>
          <w:bCs/>
          <w:sz w:val="28"/>
          <w:szCs w:val="28"/>
          <w:u w:val="single"/>
        </w:rPr>
      </w:pPr>
      <w:r w:rsidRPr="00C149D2">
        <w:rPr>
          <w:b/>
          <w:bCs/>
          <w:sz w:val="28"/>
          <w:szCs w:val="28"/>
          <w:u w:val="single"/>
        </w:rPr>
        <w:t>Page 3 – Demat Accounts</w:t>
      </w:r>
    </w:p>
    <w:p w14:paraId="7A3B0CD2" w14:textId="77777777" w:rsidR="00C149D2" w:rsidRDefault="00C149D2" w:rsidP="00C149D2">
      <w:pPr>
        <w:rPr>
          <w:sz w:val="28"/>
          <w:szCs w:val="28"/>
        </w:rPr>
      </w:pPr>
      <w:r w:rsidRPr="00C149D2">
        <w:rPr>
          <w:sz w:val="28"/>
          <w:szCs w:val="28"/>
        </w:rPr>
        <w:t>A dematerialized account, or Demat account, is essential for holding securities electronically. It eliminates the need for paper certificates, reducing risks of theft, forgery, or damage. Investors use Demat accounts to store shares, bonds, ETFs, and mutual fund units. The account is linked to a trading account, enabling seamless transactions. Data analytics strengthens Demat operations by monitoring transaction flows, detecting anomalies, and profiling customer activity. For instance, analytics can flag suspicious transfers or identify dormant accounts vulnerable to misuse. Depositories and brokers use predictive models to anticipate customer needs, such as recommending portfolio diversification. For customers, analytics translates into smoother experiences, faster settlements, and enhanced security. Demat accounts are the backbone of India’s digital securities market, ensuring efficiency and transparency.</w:t>
      </w:r>
    </w:p>
    <w:p w14:paraId="6B49A6B3" w14:textId="77777777" w:rsidR="00C149D2" w:rsidRPr="00C149D2" w:rsidRDefault="00C149D2" w:rsidP="00C149D2">
      <w:pPr>
        <w:rPr>
          <w:sz w:val="28"/>
          <w:szCs w:val="28"/>
        </w:rPr>
      </w:pPr>
    </w:p>
    <w:p w14:paraId="4667C2F5" w14:textId="77777777" w:rsidR="00C149D2" w:rsidRPr="00C149D2" w:rsidRDefault="00C149D2" w:rsidP="00C149D2">
      <w:pPr>
        <w:rPr>
          <w:b/>
          <w:bCs/>
          <w:sz w:val="28"/>
          <w:szCs w:val="28"/>
          <w:u w:val="single"/>
        </w:rPr>
      </w:pPr>
      <w:r w:rsidRPr="00C149D2">
        <w:rPr>
          <w:b/>
          <w:bCs/>
          <w:sz w:val="28"/>
          <w:szCs w:val="28"/>
          <w:u w:val="single"/>
        </w:rPr>
        <w:t>Page 4 – Depositories (NSDL &amp; CDSL)</w:t>
      </w:r>
    </w:p>
    <w:p w14:paraId="15AF15C9" w14:textId="77777777" w:rsidR="00C149D2" w:rsidRPr="00C149D2" w:rsidRDefault="00C149D2" w:rsidP="00C149D2">
      <w:pPr>
        <w:rPr>
          <w:sz w:val="28"/>
          <w:szCs w:val="28"/>
        </w:rPr>
      </w:pPr>
      <w:r w:rsidRPr="00C149D2">
        <w:rPr>
          <w:sz w:val="28"/>
          <w:szCs w:val="28"/>
        </w:rPr>
        <w:t xml:space="preserve">India has two central depositories: NSDL (National Securities Depository Limited) and CDSL (Central Depository Services Limited). They maintain ownership records of securities in electronic form, ensuring accuracy and reliability. Depositories work with brokers, banks, and clearing corporations to facilitate transactions. Analytics plays a crucial role in depository operations. By </w:t>
      </w:r>
      <w:proofErr w:type="spellStart"/>
      <w:r w:rsidRPr="00C149D2">
        <w:rPr>
          <w:sz w:val="28"/>
          <w:szCs w:val="28"/>
        </w:rPr>
        <w:t>analyzing</w:t>
      </w:r>
      <w:proofErr w:type="spellEnd"/>
      <w:r w:rsidRPr="00C149D2">
        <w:rPr>
          <w:sz w:val="28"/>
          <w:szCs w:val="28"/>
        </w:rPr>
        <w:t xml:space="preserve"> settlement data, depositories can identify systemic risks, monitor compliance, and improve transparency. For example, predictive analytics helps anticipate settlement bottlenecks, while anomaly detection ensures fraudulent transfers are flagged. NSDL and CDSL also use analytics to enhance investor services, such as providing consolidated account statements and monitoring portfolio health. Their role is vital in maintaining trust in India’s capital markets.</w:t>
      </w:r>
    </w:p>
    <w:p w14:paraId="41F65B55" w14:textId="77777777" w:rsidR="00C149D2" w:rsidRDefault="00C149D2" w:rsidP="00C149D2">
      <w:pPr>
        <w:rPr>
          <w:b/>
          <w:bCs/>
          <w:sz w:val="28"/>
          <w:szCs w:val="28"/>
        </w:rPr>
      </w:pPr>
    </w:p>
    <w:p w14:paraId="51F0D2FE" w14:textId="77777777" w:rsidR="00C149D2" w:rsidRDefault="00C149D2" w:rsidP="00C149D2">
      <w:pPr>
        <w:rPr>
          <w:b/>
          <w:bCs/>
          <w:sz w:val="28"/>
          <w:szCs w:val="28"/>
        </w:rPr>
      </w:pPr>
    </w:p>
    <w:p w14:paraId="5E3C623C" w14:textId="77777777" w:rsidR="00C149D2" w:rsidRDefault="00C149D2" w:rsidP="00C149D2">
      <w:pPr>
        <w:rPr>
          <w:b/>
          <w:bCs/>
          <w:sz w:val="28"/>
          <w:szCs w:val="28"/>
        </w:rPr>
      </w:pPr>
    </w:p>
    <w:p w14:paraId="626D6D1B" w14:textId="77777777" w:rsidR="00C149D2" w:rsidRDefault="00C149D2" w:rsidP="00C149D2">
      <w:pPr>
        <w:rPr>
          <w:b/>
          <w:bCs/>
          <w:sz w:val="28"/>
          <w:szCs w:val="28"/>
        </w:rPr>
      </w:pPr>
    </w:p>
    <w:p w14:paraId="59175C0A" w14:textId="77777777" w:rsidR="00C149D2" w:rsidRDefault="00C149D2" w:rsidP="00C149D2">
      <w:pPr>
        <w:rPr>
          <w:b/>
          <w:bCs/>
          <w:sz w:val="28"/>
          <w:szCs w:val="28"/>
        </w:rPr>
      </w:pPr>
    </w:p>
    <w:p w14:paraId="6B5210A3" w14:textId="77777777" w:rsidR="00C149D2" w:rsidRDefault="00C149D2" w:rsidP="00C149D2">
      <w:pPr>
        <w:rPr>
          <w:b/>
          <w:bCs/>
          <w:sz w:val="28"/>
          <w:szCs w:val="28"/>
        </w:rPr>
      </w:pPr>
    </w:p>
    <w:p w14:paraId="4E02908D" w14:textId="77777777" w:rsidR="00C149D2" w:rsidRDefault="00C149D2" w:rsidP="00C149D2">
      <w:pPr>
        <w:rPr>
          <w:b/>
          <w:bCs/>
          <w:sz w:val="28"/>
          <w:szCs w:val="28"/>
        </w:rPr>
      </w:pPr>
    </w:p>
    <w:p w14:paraId="157B1C4F" w14:textId="77777777" w:rsidR="00C149D2" w:rsidRDefault="00C149D2" w:rsidP="00C149D2">
      <w:pPr>
        <w:rPr>
          <w:b/>
          <w:bCs/>
          <w:sz w:val="28"/>
          <w:szCs w:val="28"/>
        </w:rPr>
      </w:pPr>
    </w:p>
    <w:p w14:paraId="78E37F42" w14:textId="537047B0" w:rsidR="00C149D2" w:rsidRPr="00C149D2" w:rsidRDefault="00C149D2" w:rsidP="00C149D2">
      <w:pPr>
        <w:rPr>
          <w:b/>
          <w:bCs/>
          <w:sz w:val="28"/>
          <w:szCs w:val="28"/>
          <w:u w:val="single"/>
        </w:rPr>
      </w:pPr>
      <w:r w:rsidRPr="00C149D2">
        <w:rPr>
          <w:b/>
          <w:bCs/>
          <w:sz w:val="28"/>
          <w:szCs w:val="28"/>
          <w:u w:val="single"/>
        </w:rPr>
        <w:t>Page 5 – SEBI</w:t>
      </w:r>
    </w:p>
    <w:p w14:paraId="4A95EC81" w14:textId="77777777" w:rsidR="00C149D2" w:rsidRDefault="00C149D2" w:rsidP="00C149D2">
      <w:pPr>
        <w:rPr>
          <w:sz w:val="28"/>
          <w:szCs w:val="28"/>
        </w:rPr>
      </w:pPr>
      <w:r w:rsidRPr="00C149D2">
        <w:rPr>
          <w:sz w:val="28"/>
          <w:szCs w:val="28"/>
        </w:rPr>
        <w:t>The Securities and Exchange Board of India (SEBI) regulates the capital markets, ensuring fairness, transparency, and investor protection. SEBI oversees brokers, exchanges, mutual funds, and listed companies. Its responsibilities include monitoring insider trading, enforcing disclosure norms, and ensuring compliance with regulations. Data analytics is central to SEBI’s surveillance. Using big data, SEBI tracks unusual trading patterns, detects insider trading, and monitors systemic risks. For instance, algorithms can identify coordinated trades that may manipulate prices. SEBI also uses analytics to evaluate corporate disclosures and assess compliance. By leveraging technology, SEBI enhances market integrity and investor confidence.</w:t>
      </w:r>
    </w:p>
    <w:p w14:paraId="2C94DDBF" w14:textId="77777777" w:rsidR="00C149D2" w:rsidRPr="00C149D2" w:rsidRDefault="00C149D2" w:rsidP="00C149D2">
      <w:pPr>
        <w:rPr>
          <w:sz w:val="28"/>
          <w:szCs w:val="28"/>
        </w:rPr>
      </w:pPr>
    </w:p>
    <w:p w14:paraId="749EEF7F" w14:textId="77777777" w:rsidR="00C149D2" w:rsidRPr="00C149D2" w:rsidRDefault="00C149D2" w:rsidP="00C149D2">
      <w:pPr>
        <w:rPr>
          <w:b/>
          <w:bCs/>
          <w:sz w:val="28"/>
          <w:szCs w:val="28"/>
          <w:u w:val="single"/>
        </w:rPr>
      </w:pPr>
      <w:r w:rsidRPr="00C149D2">
        <w:rPr>
          <w:b/>
          <w:bCs/>
          <w:sz w:val="28"/>
          <w:szCs w:val="28"/>
          <w:u w:val="single"/>
        </w:rPr>
        <w:t>Page 6 – Trading Lifecycle</w:t>
      </w:r>
    </w:p>
    <w:p w14:paraId="1056C4CA" w14:textId="77777777" w:rsidR="00C149D2" w:rsidRDefault="00C149D2" w:rsidP="00C149D2">
      <w:pPr>
        <w:rPr>
          <w:sz w:val="28"/>
          <w:szCs w:val="28"/>
        </w:rPr>
      </w:pPr>
      <w:r w:rsidRPr="00C149D2">
        <w:rPr>
          <w:sz w:val="28"/>
          <w:szCs w:val="28"/>
        </w:rPr>
        <w:t xml:space="preserve">The trading lifecycle begins with order placement, followed by trade execution, clearing, and settlement. Investors place </w:t>
      </w:r>
      <w:proofErr w:type="gramStart"/>
      <w:r w:rsidRPr="00C149D2">
        <w:rPr>
          <w:sz w:val="28"/>
          <w:szCs w:val="28"/>
        </w:rPr>
        <w:t>buy</w:t>
      </w:r>
      <w:proofErr w:type="gramEnd"/>
      <w:r w:rsidRPr="00C149D2">
        <w:rPr>
          <w:sz w:val="28"/>
          <w:szCs w:val="28"/>
        </w:rPr>
        <w:t xml:space="preserve"> or sell orders through brokerage platforms, which are routed to exchanges. Once matched, trades are executed. Clearing corporations then calculate obligations, and settlement ensures transfer of securities and funds. Analytics optimizes this lifecycle by reducing latency, improving order routing, and predicting market trends. For example, exchanges use analytics to monitor liquidity and volatility, ensuring smooth operations. Brokers </w:t>
      </w:r>
      <w:proofErr w:type="spellStart"/>
      <w:r w:rsidRPr="00C149D2">
        <w:rPr>
          <w:sz w:val="28"/>
          <w:szCs w:val="28"/>
        </w:rPr>
        <w:t>analyze</w:t>
      </w:r>
      <w:proofErr w:type="spellEnd"/>
      <w:r w:rsidRPr="00C149D2">
        <w:rPr>
          <w:sz w:val="28"/>
          <w:szCs w:val="28"/>
        </w:rPr>
        <w:t xml:space="preserve"> customer orders to provide better execution strategies. By integrating analytics, the trading lifecycle becomes faster, more efficient, and more secure.</w:t>
      </w:r>
    </w:p>
    <w:p w14:paraId="496EE76D" w14:textId="77777777" w:rsidR="00C149D2" w:rsidRPr="00C149D2" w:rsidRDefault="00C149D2" w:rsidP="00C149D2">
      <w:pPr>
        <w:rPr>
          <w:sz w:val="28"/>
          <w:szCs w:val="28"/>
        </w:rPr>
      </w:pPr>
    </w:p>
    <w:p w14:paraId="6BC8315A" w14:textId="77777777" w:rsidR="00C149D2" w:rsidRPr="00C149D2" w:rsidRDefault="00C149D2" w:rsidP="00C149D2">
      <w:pPr>
        <w:rPr>
          <w:b/>
          <w:bCs/>
          <w:sz w:val="28"/>
          <w:szCs w:val="28"/>
          <w:u w:val="single"/>
        </w:rPr>
      </w:pPr>
      <w:r w:rsidRPr="00C149D2">
        <w:rPr>
          <w:b/>
          <w:bCs/>
          <w:sz w:val="28"/>
          <w:szCs w:val="28"/>
          <w:u w:val="single"/>
        </w:rPr>
        <w:t>Page 7 – Settlement Process</w:t>
      </w:r>
    </w:p>
    <w:p w14:paraId="7A1A3DD5" w14:textId="77777777" w:rsidR="00C149D2" w:rsidRPr="00C149D2" w:rsidRDefault="00C149D2" w:rsidP="00C149D2">
      <w:pPr>
        <w:rPr>
          <w:sz w:val="28"/>
          <w:szCs w:val="28"/>
        </w:rPr>
      </w:pPr>
      <w:r w:rsidRPr="00C149D2">
        <w:rPr>
          <w:sz w:val="28"/>
          <w:szCs w:val="28"/>
        </w:rPr>
        <w:t xml:space="preserve">India follows a T+1 settlement cycle, meaning trades are settled one business day after execution. Settlement involves transferring securities to the buyer’s Demat account and funds to the seller’s account. Clearing corporations manage this process, ensuring obligations are met. Analytics enhances settlement by automating reconciliation, detecting mismatches, and managing risk. For example, predictive models can identify potential defaults, allowing clearing corporations to take preventive measures. Fraud detection systems monitor </w:t>
      </w:r>
      <w:r w:rsidRPr="00C149D2">
        <w:rPr>
          <w:sz w:val="28"/>
          <w:szCs w:val="28"/>
        </w:rPr>
        <w:lastRenderedPageBreak/>
        <w:t>unusual settlement flows. For investors, analytics ensures timely and secure settlement, reinforcing trust in the market.</w:t>
      </w:r>
    </w:p>
    <w:p w14:paraId="3BC919CA" w14:textId="77777777" w:rsidR="00C149D2" w:rsidRDefault="00C149D2" w:rsidP="00C149D2">
      <w:pPr>
        <w:rPr>
          <w:b/>
          <w:bCs/>
          <w:sz w:val="28"/>
          <w:szCs w:val="28"/>
        </w:rPr>
      </w:pPr>
    </w:p>
    <w:p w14:paraId="6E577006" w14:textId="77777777" w:rsidR="00C149D2" w:rsidRDefault="00C149D2" w:rsidP="00C149D2">
      <w:pPr>
        <w:rPr>
          <w:b/>
          <w:bCs/>
          <w:sz w:val="28"/>
          <w:szCs w:val="28"/>
        </w:rPr>
      </w:pPr>
    </w:p>
    <w:p w14:paraId="5BC30332" w14:textId="2B7195DC" w:rsidR="00C149D2" w:rsidRPr="00C149D2" w:rsidRDefault="00C149D2" w:rsidP="00C149D2">
      <w:pPr>
        <w:rPr>
          <w:b/>
          <w:bCs/>
          <w:sz w:val="28"/>
          <w:szCs w:val="28"/>
          <w:u w:val="single"/>
        </w:rPr>
      </w:pPr>
      <w:r w:rsidRPr="00C149D2">
        <w:rPr>
          <w:b/>
          <w:bCs/>
          <w:sz w:val="28"/>
          <w:szCs w:val="28"/>
          <w:u w:val="single"/>
        </w:rPr>
        <w:t>Page 8 – Market Participants</w:t>
      </w:r>
    </w:p>
    <w:p w14:paraId="635E87E1" w14:textId="77777777" w:rsidR="00C149D2" w:rsidRDefault="00C149D2" w:rsidP="00C149D2">
      <w:pPr>
        <w:rPr>
          <w:sz w:val="28"/>
          <w:szCs w:val="28"/>
        </w:rPr>
      </w:pPr>
      <w:r w:rsidRPr="00C149D2">
        <w:rPr>
          <w:sz w:val="28"/>
          <w:szCs w:val="28"/>
        </w:rPr>
        <w:t xml:space="preserve">Market participants include retail investors, institutional investors, brokers, regulators, and clearing corporations. Each plays a role in maintaining liquidity, transparency, and efficiency. Retail investors bring diversity, while institutions provide stability. Brokers facilitate transactions, regulators enforce compliance, and clearing corporations ensure settlement. Analytics helps segment participants, </w:t>
      </w:r>
      <w:proofErr w:type="spellStart"/>
      <w:r w:rsidRPr="00C149D2">
        <w:rPr>
          <w:sz w:val="28"/>
          <w:szCs w:val="28"/>
        </w:rPr>
        <w:t>analyze</w:t>
      </w:r>
      <w:proofErr w:type="spellEnd"/>
      <w:r w:rsidRPr="00C149D2">
        <w:rPr>
          <w:sz w:val="28"/>
          <w:szCs w:val="28"/>
        </w:rPr>
        <w:t xml:space="preserve"> </w:t>
      </w:r>
      <w:proofErr w:type="spellStart"/>
      <w:r w:rsidRPr="00C149D2">
        <w:rPr>
          <w:sz w:val="28"/>
          <w:szCs w:val="28"/>
        </w:rPr>
        <w:t>behavior</w:t>
      </w:r>
      <w:proofErr w:type="spellEnd"/>
      <w:r w:rsidRPr="00C149D2">
        <w:rPr>
          <w:sz w:val="28"/>
          <w:szCs w:val="28"/>
        </w:rPr>
        <w:t xml:space="preserve">, and forecast liquidity. For example, exchanges use analytics to monitor retail participation trends, while brokers </w:t>
      </w:r>
      <w:proofErr w:type="spellStart"/>
      <w:r w:rsidRPr="00C149D2">
        <w:rPr>
          <w:sz w:val="28"/>
          <w:szCs w:val="28"/>
        </w:rPr>
        <w:t>analyze</w:t>
      </w:r>
      <w:proofErr w:type="spellEnd"/>
      <w:r w:rsidRPr="00C149D2">
        <w:rPr>
          <w:sz w:val="28"/>
          <w:szCs w:val="28"/>
        </w:rPr>
        <w:t xml:space="preserve"> institutional flows to anticipate market movements. Understanding participants through analytics enables better decision</w:t>
      </w:r>
      <w:r w:rsidRPr="00C149D2">
        <w:rPr>
          <w:sz w:val="28"/>
          <w:szCs w:val="28"/>
        </w:rPr>
        <w:noBreakHyphen/>
        <w:t>making and market stability.</w:t>
      </w:r>
    </w:p>
    <w:p w14:paraId="44F8E06C" w14:textId="77777777" w:rsidR="00C149D2" w:rsidRPr="00C149D2" w:rsidRDefault="00C149D2" w:rsidP="00C149D2">
      <w:pPr>
        <w:rPr>
          <w:sz w:val="28"/>
          <w:szCs w:val="28"/>
        </w:rPr>
      </w:pPr>
    </w:p>
    <w:p w14:paraId="54AC74AE" w14:textId="770512EC" w:rsidR="00C149D2" w:rsidRPr="00C149D2" w:rsidRDefault="00C149D2" w:rsidP="00C149D2">
      <w:pPr>
        <w:rPr>
          <w:b/>
          <w:bCs/>
          <w:sz w:val="28"/>
          <w:szCs w:val="28"/>
          <w:u w:val="single"/>
        </w:rPr>
      </w:pPr>
      <w:r w:rsidRPr="00C149D2">
        <w:rPr>
          <w:b/>
          <w:bCs/>
          <w:sz w:val="28"/>
          <w:szCs w:val="28"/>
          <w:u w:val="single"/>
        </w:rPr>
        <w:t xml:space="preserve">Page 9 – Case Study: </w:t>
      </w:r>
      <w:proofErr w:type="spellStart"/>
      <w:r w:rsidRPr="00C149D2">
        <w:rPr>
          <w:b/>
          <w:bCs/>
          <w:sz w:val="28"/>
          <w:szCs w:val="28"/>
          <w:u w:val="single"/>
        </w:rPr>
        <w:t>Finnable</w:t>
      </w:r>
      <w:proofErr w:type="spellEnd"/>
      <w:r w:rsidRPr="00C149D2">
        <w:rPr>
          <w:b/>
          <w:bCs/>
          <w:sz w:val="28"/>
          <w:szCs w:val="28"/>
          <w:u w:val="single"/>
        </w:rPr>
        <w:t xml:space="preserve"> – Data Analytics in Action</w:t>
      </w:r>
    </w:p>
    <w:p w14:paraId="6CFDC55B" w14:textId="77777777" w:rsidR="00C149D2" w:rsidRDefault="00C149D2" w:rsidP="00C149D2">
      <w:pPr>
        <w:rPr>
          <w:sz w:val="28"/>
          <w:szCs w:val="28"/>
        </w:rPr>
      </w:pPr>
      <w:proofErr w:type="spellStart"/>
      <w:r w:rsidRPr="00C149D2">
        <w:rPr>
          <w:sz w:val="28"/>
          <w:szCs w:val="28"/>
        </w:rPr>
        <w:t>Finnable</w:t>
      </w:r>
      <w:proofErr w:type="spellEnd"/>
      <w:r w:rsidRPr="00C149D2">
        <w:rPr>
          <w:sz w:val="28"/>
          <w:szCs w:val="28"/>
        </w:rPr>
        <w:t xml:space="preserve"> is a digital lending platform that exemplifies how analytics transforms FinTech. Its AI agent “</w:t>
      </w:r>
      <w:proofErr w:type="spellStart"/>
      <w:r w:rsidRPr="00C149D2">
        <w:rPr>
          <w:sz w:val="28"/>
          <w:szCs w:val="28"/>
        </w:rPr>
        <w:t>Fiya</w:t>
      </w:r>
      <w:proofErr w:type="spellEnd"/>
      <w:r w:rsidRPr="00C149D2">
        <w:rPr>
          <w:sz w:val="28"/>
          <w:szCs w:val="28"/>
        </w:rPr>
        <w:t>” resolves customer queries instantly, reducing resolution times from hours to seconds. “</w:t>
      </w:r>
      <w:proofErr w:type="spellStart"/>
      <w:r w:rsidRPr="00C149D2">
        <w:rPr>
          <w:sz w:val="28"/>
          <w:szCs w:val="28"/>
        </w:rPr>
        <w:t>FinRadar</w:t>
      </w:r>
      <w:proofErr w:type="spellEnd"/>
      <w:r w:rsidRPr="00C149D2">
        <w:rPr>
          <w:sz w:val="28"/>
          <w:szCs w:val="28"/>
        </w:rPr>
        <w:t xml:space="preserve">” applies </w:t>
      </w:r>
      <w:proofErr w:type="spellStart"/>
      <w:r w:rsidRPr="00C149D2">
        <w:rPr>
          <w:sz w:val="28"/>
          <w:szCs w:val="28"/>
        </w:rPr>
        <w:t>behavioral</w:t>
      </w:r>
      <w:proofErr w:type="spellEnd"/>
      <w:r w:rsidRPr="00C149D2">
        <w:rPr>
          <w:sz w:val="28"/>
          <w:szCs w:val="28"/>
        </w:rPr>
        <w:t xml:space="preserve"> analytics to predict defaults before they occur, improving loan portfolio quality. </w:t>
      </w:r>
      <w:proofErr w:type="spellStart"/>
      <w:r w:rsidRPr="00C149D2">
        <w:rPr>
          <w:sz w:val="28"/>
          <w:szCs w:val="28"/>
        </w:rPr>
        <w:t>Finnable’s</w:t>
      </w:r>
      <w:proofErr w:type="spellEnd"/>
      <w:r w:rsidRPr="00C149D2">
        <w:rPr>
          <w:sz w:val="28"/>
          <w:szCs w:val="28"/>
        </w:rPr>
        <w:t xml:space="preserve"> in</w:t>
      </w:r>
      <w:r w:rsidRPr="00C149D2">
        <w:rPr>
          <w:sz w:val="28"/>
          <w:szCs w:val="28"/>
        </w:rPr>
        <w:noBreakHyphen/>
        <w:t xml:space="preserve">house document intelligence automates KYC verification, processing over 92,000 documents efficiently. By anticipating friction points, </w:t>
      </w:r>
      <w:proofErr w:type="spellStart"/>
      <w:r w:rsidRPr="00C149D2">
        <w:rPr>
          <w:sz w:val="28"/>
          <w:szCs w:val="28"/>
        </w:rPr>
        <w:t>Finnable</w:t>
      </w:r>
      <w:proofErr w:type="spellEnd"/>
      <w:r w:rsidRPr="00C149D2">
        <w:rPr>
          <w:sz w:val="28"/>
          <w:szCs w:val="28"/>
        </w:rPr>
        <w:t xml:space="preserve"> enhances customer trust and satisfaction. Analytics enables </w:t>
      </w:r>
      <w:proofErr w:type="spellStart"/>
      <w:r w:rsidRPr="00C149D2">
        <w:rPr>
          <w:sz w:val="28"/>
          <w:szCs w:val="28"/>
        </w:rPr>
        <w:t>Finnable</w:t>
      </w:r>
      <w:proofErr w:type="spellEnd"/>
      <w:r w:rsidRPr="00C149D2">
        <w:rPr>
          <w:sz w:val="28"/>
          <w:szCs w:val="28"/>
        </w:rPr>
        <w:t xml:space="preserve"> to balance risk management with customer experience, demonstrating the power of technology in financial services.</w:t>
      </w:r>
    </w:p>
    <w:p w14:paraId="50A9EF80" w14:textId="77777777" w:rsidR="00C149D2" w:rsidRPr="00C149D2" w:rsidRDefault="00C149D2" w:rsidP="00C149D2">
      <w:pPr>
        <w:rPr>
          <w:sz w:val="28"/>
          <w:szCs w:val="28"/>
        </w:rPr>
      </w:pPr>
    </w:p>
    <w:p w14:paraId="5E8931F0" w14:textId="77777777" w:rsidR="00C149D2" w:rsidRPr="00C149D2" w:rsidRDefault="00C149D2" w:rsidP="00C149D2">
      <w:pPr>
        <w:rPr>
          <w:b/>
          <w:bCs/>
          <w:sz w:val="28"/>
          <w:szCs w:val="28"/>
          <w:u w:val="single"/>
        </w:rPr>
      </w:pPr>
      <w:r w:rsidRPr="00C149D2">
        <w:rPr>
          <w:b/>
          <w:bCs/>
          <w:sz w:val="28"/>
          <w:szCs w:val="28"/>
          <w:u w:val="single"/>
        </w:rPr>
        <w:t>Page 10 – Conclusion &amp; Insights</w:t>
      </w:r>
    </w:p>
    <w:p w14:paraId="504DA405" w14:textId="77777777" w:rsidR="00C149D2" w:rsidRPr="00C149D2" w:rsidRDefault="00C149D2" w:rsidP="00C149D2">
      <w:pPr>
        <w:rPr>
          <w:sz w:val="28"/>
          <w:szCs w:val="28"/>
        </w:rPr>
      </w:pPr>
      <w:r w:rsidRPr="00C149D2">
        <w:rPr>
          <w:sz w:val="28"/>
          <w:szCs w:val="28"/>
        </w:rPr>
        <w:t xml:space="preserve">Data analytics is the backbone of modern FinTech. It empowers brokerage platforms, strengthens Demat accounts, enhances depository operations, and supports SEBI’s regulatory oversight. Analytics optimizes the trading lifecycle, secures settlement, and provides insights into market participants. The case study of </w:t>
      </w:r>
      <w:proofErr w:type="spellStart"/>
      <w:r w:rsidRPr="00C149D2">
        <w:rPr>
          <w:sz w:val="28"/>
          <w:szCs w:val="28"/>
        </w:rPr>
        <w:t>Finnable</w:t>
      </w:r>
      <w:proofErr w:type="spellEnd"/>
      <w:r w:rsidRPr="00C149D2">
        <w:rPr>
          <w:sz w:val="28"/>
          <w:szCs w:val="28"/>
        </w:rPr>
        <w:t xml:space="preserve"> illustrates how AI</w:t>
      </w:r>
      <w:r w:rsidRPr="00C149D2">
        <w:rPr>
          <w:sz w:val="28"/>
          <w:szCs w:val="28"/>
        </w:rPr>
        <w:noBreakHyphen/>
        <w:t xml:space="preserve">driven analytics improves customer support, risk management, and operational efficiency. As India’s FinTech sector </w:t>
      </w:r>
      <w:r w:rsidRPr="00C149D2">
        <w:rPr>
          <w:sz w:val="28"/>
          <w:szCs w:val="28"/>
        </w:rPr>
        <w:lastRenderedPageBreak/>
        <w:t>grows, predictive analytics, blockchain settlement, and personalized financial services will shape the future. For businesses, analytics means smarter decisions; for customers, it means trust, speed, and convenience.</w:t>
      </w:r>
    </w:p>
    <w:p w14:paraId="300A500A" w14:textId="77777777" w:rsidR="00C149D2" w:rsidRPr="00C149D2" w:rsidRDefault="00C149D2" w:rsidP="00C149D2">
      <w:pPr>
        <w:rPr>
          <w:b/>
          <w:bCs/>
          <w:sz w:val="28"/>
          <w:szCs w:val="28"/>
        </w:rPr>
      </w:pPr>
    </w:p>
    <w:sectPr w:rsidR="00C149D2" w:rsidRPr="00C149D2" w:rsidSect="00C149D2">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9D2"/>
    <w:rsid w:val="0012285D"/>
    <w:rsid w:val="00175C59"/>
    <w:rsid w:val="002341A0"/>
    <w:rsid w:val="004E10E0"/>
    <w:rsid w:val="00795A10"/>
    <w:rsid w:val="00C14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6BF3"/>
  <w15:chartTrackingRefBased/>
  <w15:docId w15:val="{4D63B790-30A8-4A4B-9726-FAC2F64B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9D2"/>
    <w:rPr>
      <w:rFonts w:eastAsiaTheme="majorEastAsia" w:cstheme="majorBidi"/>
      <w:color w:val="272727" w:themeColor="text1" w:themeTint="D8"/>
    </w:rPr>
  </w:style>
  <w:style w:type="paragraph" w:styleId="Title">
    <w:name w:val="Title"/>
    <w:basedOn w:val="Normal"/>
    <w:next w:val="Normal"/>
    <w:link w:val="TitleChar"/>
    <w:uiPriority w:val="10"/>
    <w:qFormat/>
    <w:rsid w:val="00C14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9D2"/>
    <w:pPr>
      <w:spacing w:before="160"/>
      <w:jc w:val="center"/>
    </w:pPr>
    <w:rPr>
      <w:i/>
      <w:iCs/>
      <w:color w:val="404040" w:themeColor="text1" w:themeTint="BF"/>
    </w:rPr>
  </w:style>
  <w:style w:type="character" w:customStyle="1" w:styleId="QuoteChar">
    <w:name w:val="Quote Char"/>
    <w:basedOn w:val="DefaultParagraphFont"/>
    <w:link w:val="Quote"/>
    <w:uiPriority w:val="29"/>
    <w:rsid w:val="00C149D2"/>
    <w:rPr>
      <w:i/>
      <w:iCs/>
      <w:color w:val="404040" w:themeColor="text1" w:themeTint="BF"/>
    </w:rPr>
  </w:style>
  <w:style w:type="paragraph" w:styleId="ListParagraph">
    <w:name w:val="List Paragraph"/>
    <w:basedOn w:val="Normal"/>
    <w:uiPriority w:val="34"/>
    <w:qFormat/>
    <w:rsid w:val="00C149D2"/>
    <w:pPr>
      <w:ind w:left="720"/>
      <w:contextualSpacing/>
    </w:pPr>
  </w:style>
  <w:style w:type="character" w:styleId="IntenseEmphasis">
    <w:name w:val="Intense Emphasis"/>
    <w:basedOn w:val="DefaultParagraphFont"/>
    <w:uiPriority w:val="21"/>
    <w:qFormat/>
    <w:rsid w:val="00C149D2"/>
    <w:rPr>
      <w:i/>
      <w:iCs/>
      <w:color w:val="2F5496" w:themeColor="accent1" w:themeShade="BF"/>
    </w:rPr>
  </w:style>
  <w:style w:type="paragraph" w:styleId="IntenseQuote">
    <w:name w:val="Intense Quote"/>
    <w:basedOn w:val="Normal"/>
    <w:next w:val="Normal"/>
    <w:link w:val="IntenseQuoteChar"/>
    <w:uiPriority w:val="30"/>
    <w:qFormat/>
    <w:rsid w:val="00C14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9D2"/>
    <w:rPr>
      <w:i/>
      <w:iCs/>
      <w:color w:val="2F5496" w:themeColor="accent1" w:themeShade="BF"/>
    </w:rPr>
  </w:style>
  <w:style w:type="character" w:styleId="IntenseReference">
    <w:name w:val="Intense Reference"/>
    <w:basedOn w:val="DefaultParagraphFont"/>
    <w:uiPriority w:val="32"/>
    <w:qFormat/>
    <w:rsid w:val="00C149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 viswanadh Podila</dc:creator>
  <cp:keywords/>
  <dc:description/>
  <cp:lastModifiedBy>sri sai viswanadh Podila</cp:lastModifiedBy>
  <cp:revision>1</cp:revision>
  <dcterms:created xsi:type="dcterms:W3CDTF">2026-08-16T13:46:00Z</dcterms:created>
  <dcterms:modified xsi:type="dcterms:W3CDTF">2026-08-16T13:53:00Z</dcterms:modified>
</cp:coreProperties>
</file>