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FFF9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Абстрактіге қойылатын талаптар: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9EACBB8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Бірінші беттің сол жақ жоғары бұрышында автор (-лар) туралы мәліметтер болуы керек: тегі, аты, әкесінің аты (толық), ғылыми дәрежесі (бар болса), лауазымы, жұмыс орны, байланыс деректері мен e-mail.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F9650FF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Абстрактіде келесі мәліметтер болуы керек: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4AE29EC" w14:textId="77777777" w:rsidR="0048768C" w:rsidRDefault="0048768C" w:rsidP="0048768C">
      <w:pPr>
        <w:pStyle w:val="paragraph"/>
        <w:numPr>
          <w:ilvl w:val="0"/>
          <w:numId w:val="17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секция тақырыбы;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88AE9B3" w14:textId="77777777" w:rsidR="0048768C" w:rsidRDefault="0048768C" w:rsidP="0048768C">
      <w:pPr>
        <w:pStyle w:val="paragraph"/>
        <w:numPr>
          <w:ilvl w:val="0"/>
          <w:numId w:val="18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зерттеу мақсаты;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4343CE2" w14:textId="77777777" w:rsidR="0048768C" w:rsidRDefault="0048768C" w:rsidP="0048768C">
      <w:pPr>
        <w:pStyle w:val="paragraph"/>
        <w:numPr>
          <w:ilvl w:val="0"/>
          <w:numId w:val="19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зерттеу әдіснамасы;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310A789" w14:textId="77777777" w:rsidR="0048768C" w:rsidRDefault="0048768C" w:rsidP="0048768C">
      <w:pPr>
        <w:pStyle w:val="paragraph"/>
        <w:numPr>
          <w:ilvl w:val="0"/>
          <w:numId w:val="20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зерттеу нәтижесі;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0F7E8F2" w14:textId="77777777" w:rsidR="0048768C" w:rsidRDefault="0048768C" w:rsidP="0048768C">
      <w:pPr>
        <w:pStyle w:val="paragraph"/>
        <w:numPr>
          <w:ilvl w:val="0"/>
          <w:numId w:val="21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қорытындылар мен ұсыныстар.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1B04BE7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Сөз саны: 300-ден аспауы тиіс.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35CBB68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Ұсынылған материалдар Конференция тақырыбына сәйкес келмесе немесе қойылған талаптарға сай ресімделмеген жағдайда, Ұйымдастыру комитеті, кері байланыссыз, материалдарды қабылдамауға құқылы.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78E4598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810B6A0" w14:textId="77777777" w:rsidR="0048768C" w:rsidRDefault="0048768C" w:rsidP="0048768C">
      <w:pPr>
        <w:pStyle w:val="paragraph"/>
        <w:spacing w:before="0" w:beforeAutospacing="0" w:after="0" w:afterAutospacing="0"/>
        <w:ind w:left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ru-RU"/>
        </w:rPr>
        <w:t>II. ПОСТЕР КӨРМЕСІНЕ ҚАТЫСУ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43B133B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ru-RU"/>
        </w:rPr>
        <w:t>2.1 Постерге қойылатын талаптар: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95DA8FB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8768C">
        <w:rPr>
          <w:rStyle w:val="normaltextrun"/>
          <w:rFonts w:eastAsiaTheme="majorEastAsia"/>
          <w:sz w:val="28"/>
          <w:szCs w:val="28"/>
        </w:rPr>
        <w:t>Постер өлшем</w:t>
      </w:r>
      <w:r>
        <w:rPr>
          <w:rStyle w:val="normaltextrun"/>
          <w:rFonts w:eastAsiaTheme="majorEastAsia"/>
          <w:sz w:val="28"/>
          <w:szCs w:val="28"/>
          <w:lang w:val="kk-KZ"/>
        </w:rPr>
        <w:t>і:</w:t>
      </w:r>
      <w:r w:rsidRPr="0048768C">
        <w:rPr>
          <w:rStyle w:val="normaltextrun"/>
          <w:rFonts w:eastAsiaTheme="majorEastAsia"/>
          <w:sz w:val="28"/>
          <w:szCs w:val="28"/>
        </w:rPr>
        <w:t xml:space="preserve"> 800*1200 мм, орналасуы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– </w:t>
      </w:r>
      <w:r w:rsidRPr="0048768C">
        <w:rPr>
          <w:rStyle w:val="normaltextrun"/>
          <w:rFonts w:eastAsiaTheme="majorEastAsia"/>
          <w:sz w:val="28"/>
          <w:szCs w:val="28"/>
        </w:rPr>
        <w:t xml:space="preserve">тік </w:t>
      </w:r>
      <w:r>
        <w:rPr>
          <w:rStyle w:val="normaltextrun"/>
          <w:rFonts w:eastAsiaTheme="majorEastAsia"/>
          <w:sz w:val="28"/>
          <w:szCs w:val="28"/>
          <w:lang w:val="kk-KZ"/>
        </w:rPr>
        <w:t>(вертикаль)</w:t>
      </w:r>
      <w:r w:rsidRPr="0048768C">
        <w:rPr>
          <w:rStyle w:val="normaltextrun"/>
          <w:rFonts w:eastAsiaTheme="majorEastAsia"/>
          <w:sz w:val="28"/>
          <w:szCs w:val="28"/>
        </w:rPr>
        <w:t xml:space="preserve"> болуы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</w:t>
      </w:r>
      <w:r w:rsidRPr="0048768C">
        <w:rPr>
          <w:rStyle w:val="normaltextrun"/>
          <w:rFonts w:eastAsiaTheme="majorEastAsia"/>
          <w:sz w:val="28"/>
          <w:szCs w:val="28"/>
        </w:rPr>
        <w:t>қажет (ресімдеу үлгісі Қосымшада).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9288A43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Постерд</w:t>
      </w:r>
      <w:r>
        <w:rPr>
          <w:rStyle w:val="normaltextrun"/>
          <w:rFonts w:eastAsiaTheme="majorEastAsia"/>
          <w:sz w:val="28"/>
          <w:szCs w:val="28"/>
          <w:lang w:val="kk-KZ"/>
        </w:rPr>
        <w:t>е</w:t>
      </w:r>
      <w:r>
        <w:rPr>
          <w:rStyle w:val="normaltextrun"/>
          <w:rFonts w:eastAsiaTheme="majorEastAsia"/>
          <w:sz w:val="28"/>
          <w:szCs w:val="28"/>
          <w:lang w:val="ru-RU"/>
        </w:rPr>
        <w:t>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34D0775" w14:textId="77777777" w:rsidR="0048768C" w:rsidRDefault="0048768C" w:rsidP="0048768C">
      <w:pPr>
        <w:pStyle w:val="paragraph"/>
        <w:numPr>
          <w:ilvl w:val="0"/>
          <w:numId w:val="22"/>
        </w:numPr>
        <w:spacing w:before="0" w:beforeAutospacing="0" w:after="0" w:afterAutospacing="0"/>
        <w:ind w:firstLine="84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 xml:space="preserve">зерттеу </w:t>
      </w:r>
      <w:r>
        <w:rPr>
          <w:rStyle w:val="normaltextrun"/>
          <w:rFonts w:eastAsiaTheme="majorEastAsia"/>
          <w:sz w:val="28"/>
          <w:szCs w:val="28"/>
          <w:lang w:val="kk-KZ"/>
        </w:rPr>
        <w:t>мақсаты</w:t>
      </w:r>
      <w:r>
        <w:rPr>
          <w:rStyle w:val="normaltextrun"/>
          <w:rFonts w:eastAsiaTheme="majorEastAsia"/>
          <w:sz w:val="28"/>
          <w:szCs w:val="28"/>
          <w:lang w:val="ru-RU"/>
        </w:rPr>
        <w:t>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D23C230" w14:textId="77777777" w:rsidR="0048768C" w:rsidRDefault="0048768C" w:rsidP="0048768C">
      <w:pPr>
        <w:pStyle w:val="paragraph"/>
        <w:numPr>
          <w:ilvl w:val="0"/>
          <w:numId w:val="23"/>
        </w:numPr>
        <w:spacing w:before="0" w:beforeAutospacing="0" w:after="0" w:afterAutospacing="0"/>
        <w:ind w:firstLine="84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зерттеу әдіс</w:t>
      </w:r>
      <w:r>
        <w:rPr>
          <w:rStyle w:val="normaltextrun"/>
          <w:rFonts w:eastAsiaTheme="majorEastAsia"/>
          <w:sz w:val="28"/>
          <w:szCs w:val="28"/>
          <w:lang w:val="kk-KZ"/>
        </w:rPr>
        <w:t>намасы</w:t>
      </w:r>
      <w:r>
        <w:rPr>
          <w:rStyle w:val="normaltextrun"/>
          <w:rFonts w:eastAsiaTheme="majorEastAsia"/>
          <w:sz w:val="28"/>
          <w:szCs w:val="28"/>
          <w:lang w:val="ru-RU"/>
        </w:rPr>
        <w:t>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FDD6522" w14:textId="77777777" w:rsidR="0048768C" w:rsidRDefault="0048768C" w:rsidP="0048768C">
      <w:pPr>
        <w:pStyle w:val="paragraph"/>
        <w:numPr>
          <w:ilvl w:val="0"/>
          <w:numId w:val="24"/>
        </w:numPr>
        <w:spacing w:before="0" w:beforeAutospacing="0" w:after="0" w:afterAutospacing="0"/>
        <w:ind w:firstLine="84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зерттеу нәтиже</w:t>
      </w:r>
      <w:r>
        <w:rPr>
          <w:rStyle w:val="normaltextrun"/>
          <w:rFonts w:eastAsiaTheme="majorEastAsia"/>
          <w:sz w:val="28"/>
          <w:szCs w:val="28"/>
          <w:lang w:val="kk-KZ"/>
        </w:rPr>
        <w:t>с</w:t>
      </w:r>
      <w:r>
        <w:rPr>
          <w:rStyle w:val="normaltextrun"/>
          <w:rFonts w:eastAsiaTheme="majorEastAsia"/>
          <w:sz w:val="28"/>
          <w:szCs w:val="28"/>
          <w:lang w:val="ru-RU"/>
        </w:rPr>
        <w:t>і;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B7D9DF2" w14:textId="77777777" w:rsidR="0048768C" w:rsidRDefault="0048768C" w:rsidP="0048768C">
      <w:pPr>
        <w:pStyle w:val="paragraph"/>
        <w:numPr>
          <w:ilvl w:val="0"/>
          <w:numId w:val="25"/>
        </w:numPr>
        <w:spacing w:before="0" w:beforeAutospacing="0" w:after="0" w:afterAutospacing="0"/>
        <w:ind w:firstLine="840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қорытындылар мен ұсыныстар.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D212986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8768C">
        <w:rPr>
          <w:rStyle w:val="normaltextrun"/>
          <w:rFonts w:eastAsiaTheme="majorEastAsia"/>
          <w:sz w:val="28"/>
          <w:szCs w:val="28"/>
        </w:rPr>
        <w:t>Постер материалы тезис түр</w:t>
      </w:r>
      <w:r>
        <w:rPr>
          <w:rStyle w:val="normaltextrun"/>
          <w:rFonts w:eastAsiaTheme="majorEastAsia"/>
          <w:sz w:val="28"/>
          <w:szCs w:val="28"/>
          <w:lang w:val="kk-KZ"/>
        </w:rPr>
        <w:t>ін</w:t>
      </w:r>
      <w:r w:rsidRPr="0048768C">
        <w:rPr>
          <w:rStyle w:val="normaltextrun"/>
          <w:rFonts w:eastAsiaTheme="majorEastAsia"/>
          <w:sz w:val="28"/>
          <w:szCs w:val="28"/>
        </w:rPr>
        <w:t>де және келесі талаптарға сәйкес р</w:t>
      </w:r>
      <w:r>
        <w:rPr>
          <w:rStyle w:val="normaltextrun"/>
          <w:rFonts w:eastAsiaTheme="majorEastAsia"/>
          <w:sz w:val="28"/>
          <w:szCs w:val="28"/>
          <w:lang w:val="kk-KZ"/>
        </w:rPr>
        <w:t>е</w:t>
      </w:r>
      <w:r w:rsidRPr="0048768C">
        <w:rPr>
          <w:rStyle w:val="normaltextrun"/>
          <w:rFonts w:eastAsiaTheme="majorEastAsia"/>
          <w:sz w:val="28"/>
          <w:szCs w:val="28"/>
        </w:rPr>
        <w:t>сімделуі керек: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C42E6FF" w14:textId="77777777" w:rsidR="0048768C" w:rsidRDefault="0048768C" w:rsidP="0048768C">
      <w:pPr>
        <w:pStyle w:val="paragraph"/>
        <w:numPr>
          <w:ilvl w:val="0"/>
          <w:numId w:val="26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48768C">
        <w:rPr>
          <w:rStyle w:val="normaltextrun"/>
          <w:rFonts w:eastAsiaTheme="majorEastAsia"/>
          <w:sz w:val="28"/>
          <w:szCs w:val="28"/>
        </w:rPr>
        <w:t>мәтін көлемі барлық материалдың 30%-ынан аспауы тиіс;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DA4C571" w14:textId="77777777" w:rsidR="0048768C" w:rsidRDefault="0048768C" w:rsidP="0048768C">
      <w:pPr>
        <w:pStyle w:val="paragraph"/>
        <w:numPr>
          <w:ilvl w:val="0"/>
          <w:numId w:val="27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48768C">
        <w:rPr>
          <w:rStyle w:val="normaltextrun"/>
          <w:rFonts w:eastAsiaTheme="majorEastAsia"/>
          <w:sz w:val="28"/>
          <w:szCs w:val="28"/>
        </w:rPr>
        <w:t>қаріптің өлшемі бір метр қашықтан еркін оқ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ылатындай </w:t>
      </w:r>
      <w:r w:rsidRPr="0048768C">
        <w:rPr>
          <w:rStyle w:val="normaltextrun"/>
          <w:rFonts w:eastAsiaTheme="majorEastAsia"/>
          <w:sz w:val="28"/>
          <w:szCs w:val="28"/>
        </w:rPr>
        <w:t>болу керек;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5373CD2" w14:textId="77777777" w:rsidR="0048768C" w:rsidRDefault="0048768C" w:rsidP="0048768C">
      <w:pPr>
        <w:pStyle w:val="paragraph"/>
        <w:numPr>
          <w:ilvl w:val="0"/>
          <w:numId w:val="28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 w:rsidRPr="0048768C">
        <w:rPr>
          <w:rStyle w:val="normaltextrun"/>
          <w:rFonts w:eastAsiaTheme="majorEastAsia"/>
          <w:sz w:val="28"/>
          <w:szCs w:val="28"/>
        </w:rPr>
        <w:t>көрнекі ақпарат (фото, сурет, график, диаграмма, сызба) кемінде 300 dpi сапасында болуы қажет.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32503AD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48768C">
        <w:rPr>
          <w:rStyle w:val="normaltextrun"/>
          <w:rFonts w:eastAsiaTheme="majorEastAsia"/>
          <w:sz w:val="28"/>
          <w:szCs w:val="28"/>
        </w:rPr>
        <w:t>Автор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(-лар)</w:t>
      </w:r>
      <w:r w:rsidRPr="0048768C">
        <w:rPr>
          <w:rStyle w:val="normaltextrun"/>
          <w:rFonts w:eastAsiaTheme="majorEastAsia"/>
          <w:sz w:val="28"/>
          <w:szCs w:val="28"/>
        </w:rPr>
        <w:t xml:space="preserve"> туралы мәліметтер: тегі, аты, әкесінің аты (толық), ғылыми дәрежесі (бар болса), лауазымы, жұмыс орны, байланыс деректері мен e-mail постердің төменгі бөлігіне орналастырылады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. Постерді ресімдеу 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үлгісін </w:t>
      </w:r>
      <w:hyperlink r:id="rId5" w:tgtFrame="_blank" w:history="1">
        <w:r>
          <w:rPr>
            <w:rStyle w:val="normaltextrun"/>
            <w:rFonts w:eastAsiaTheme="majorEastAsia"/>
            <w:i/>
            <w:iCs/>
            <w:color w:val="0563C1"/>
            <w:sz w:val="28"/>
            <w:szCs w:val="28"/>
            <w:u w:val="single"/>
            <w:lang w:val="ru-RU"/>
          </w:rPr>
          <w:t>https://ls.cpm.kz/</w:t>
        </w:r>
      </w:hyperlink>
      <w:r>
        <w:rPr>
          <w:rStyle w:val="normaltextrun"/>
          <w:rFonts w:eastAsiaTheme="majorEastAsia"/>
          <w:i/>
          <w:iCs/>
          <w:sz w:val="28"/>
          <w:szCs w:val="28"/>
          <w:lang w:val="kk-KZ"/>
        </w:rPr>
        <w:t xml:space="preserve"> К</w:t>
      </w:r>
      <w:r>
        <w:rPr>
          <w:rStyle w:val="normaltextrun"/>
          <w:rFonts w:eastAsiaTheme="majorEastAsia"/>
          <w:i/>
          <w:iCs/>
          <w:sz w:val="28"/>
          <w:szCs w:val="28"/>
          <w:lang w:val="ru-RU"/>
        </w:rPr>
        <w:t>онференция сайтынан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 жүкте</w:t>
      </w:r>
      <w:r>
        <w:rPr>
          <w:rStyle w:val="normaltextrun"/>
          <w:rFonts w:eastAsiaTheme="majorEastAsia"/>
          <w:sz w:val="28"/>
          <w:szCs w:val="28"/>
          <w:lang w:val="kk-KZ"/>
        </w:rPr>
        <w:t>п алуға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 болады</w:t>
      </w:r>
      <w:r>
        <w:rPr>
          <w:rStyle w:val="normaltextrun"/>
          <w:rFonts w:eastAsiaTheme="majorEastAsia"/>
          <w:sz w:val="28"/>
          <w:szCs w:val="28"/>
          <w:lang w:val="kk-KZ"/>
        </w:rPr>
        <w:t>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E0AF750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2.2. Постер авторы (-лар) қосымша әрекетсіз-ақ, автоматты түрде конкурсқа қатысушылардың тізіміне қосылады.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5BE8E62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ru-RU"/>
        </w:rPr>
        <w:t>Постерді бағалау критерийлері: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4A6902AB" w14:textId="77777777" w:rsidR="0048768C" w:rsidRDefault="0048768C" w:rsidP="0048768C">
      <w:pPr>
        <w:pStyle w:val="paragraph"/>
        <w:numPr>
          <w:ilvl w:val="0"/>
          <w:numId w:val="29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ru-RU"/>
        </w:rPr>
        <w:t xml:space="preserve">Мазмұн 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мен</w:t>
      </w:r>
      <w:r>
        <w:rPr>
          <w:rStyle w:val="normaltextrun"/>
          <w:rFonts w:eastAsiaTheme="majorEastAsia"/>
          <w:b/>
          <w:bCs/>
          <w:sz w:val="28"/>
          <w:szCs w:val="28"/>
          <w:lang w:val="ru-RU"/>
        </w:rPr>
        <w:t xml:space="preserve"> ақпарат </w:t>
      </w:r>
      <w:r>
        <w:rPr>
          <w:rStyle w:val="normaltextrun"/>
          <w:rFonts w:eastAsiaTheme="majorEastAsia"/>
          <w:sz w:val="28"/>
          <w:szCs w:val="28"/>
          <w:lang w:val="ru-RU"/>
        </w:rPr>
        <w:t>– анық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проблема</w:t>
      </w:r>
      <w:r>
        <w:rPr>
          <w:rStyle w:val="normaltextrun"/>
          <w:rFonts w:eastAsiaTheme="majorEastAsia"/>
          <w:sz w:val="28"/>
          <w:szCs w:val="28"/>
          <w:lang w:val="ru-RU"/>
        </w:rPr>
        <w:t xml:space="preserve">, </w:t>
      </w:r>
      <w:r>
        <w:rPr>
          <w:rStyle w:val="normaltextrun"/>
          <w:rFonts w:eastAsiaTheme="majorEastAsia"/>
          <w:sz w:val="28"/>
          <w:szCs w:val="28"/>
          <w:lang w:val="kk-KZ"/>
        </w:rPr>
        <w:t>қиысынды аргумент.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9983562" w14:textId="77777777" w:rsidR="0048768C" w:rsidRDefault="0048768C" w:rsidP="0048768C">
      <w:pPr>
        <w:pStyle w:val="paragraph"/>
        <w:numPr>
          <w:ilvl w:val="0"/>
          <w:numId w:val="30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 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Талдау мен қорытынды негізділігі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– қорытындылардың алынған мәліметтерге сәйкестігі.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F44D396" w14:textId="77777777" w:rsidR="0048768C" w:rsidRDefault="0048768C" w:rsidP="0048768C">
      <w:pPr>
        <w:pStyle w:val="paragraph"/>
        <w:numPr>
          <w:ilvl w:val="0"/>
          <w:numId w:val="31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Көрнекілік және безендіру – </w:t>
      </w:r>
      <w:r>
        <w:rPr>
          <w:rStyle w:val="normaltextrun"/>
          <w:rFonts w:eastAsiaTheme="majorEastAsia"/>
          <w:sz w:val="28"/>
          <w:szCs w:val="28"/>
          <w:lang w:val="kk-KZ"/>
        </w:rPr>
        <w:t>графиктердің, диаграммалардың, суреттердің сапасы, түстік және композициялық шешімі.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E75D2F2" w14:textId="77777777" w:rsidR="0048768C" w:rsidRDefault="0048768C" w:rsidP="0048768C">
      <w:pPr>
        <w:pStyle w:val="paragraph"/>
        <w:numPr>
          <w:ilvl w:val="0"/>
          <w:numId w:val="32"/>
        </w:numPr>
        <w:spacing w:before="0" w:beforeAutospacing="0" w:after="0" w:afterAutospacing="0"/>
        <w:ind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lastRenderedPageBreak/>
        <w:t xml:space="preserve"> Креативтілік және ұсыну ерекшелігі </w:t>
      </w:r>
      <w:r>
        <w:rPr>
          <w:rStyle w:val="normaltextrun"/>
          <w:rFonts w:eastAsiaTheme="majorEastAsia"/>
          <w:sz w:val="28"/>
          <w:szCs w:val="28"/>
          <w:lang w:val="kk-KZ"/>
        </w:rPr>
        <w:t>– ақпаратты стандарттан тыс ұсыну тәсілі, интерактивті элементтерді қолдану.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92A6341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6A2EB08B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2.3 Абстрактілерді (постердің қысқаша мазмұны) қабылдау Конференцияның ресми сайтында </w:t>
      </w:r>
      <w:hyperlink r:id="rId6" w:tgtFrame="_blank" w:history="1">
        <w:r>
          <w:rPr>
            <w:rStyle w:val="normaltextrun"/>
            <w:rFonts w:eastAsiaTheme="majorEastAsia"/>
            <w:b/>
            <w:bCs/>
            <w:color w:val="0563C1"/>
            <w:sz w:val="28"/>
            <w:szCs w:val="28"/>
            <w:u w:val="single"/>
            <w:shd w:val="clear" w:color="auto" w:fill="E1E3E6"/>
            <w:lang w:val="kk-KZ"/>
          </w:rPr>
          <w:t>https://ls.cpm.kz/</w:t>
        </w:r>
      </w:hyperlink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 2025 жылдың 14 наурызына дейін жүргізіледі.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C37AF1F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Ұйымдастыру комитеті 2025 жылы 20 наурызға дейін жұмысы мақұлданған педагогтерге постер жіберу кезінде көрсетілген электронды поштаға шақыру хат жібереді.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F45FDF3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НАЗАР АУДАРЫҢЫЗ! </w:t>
      </w:r>
      <w:r>
        <w:rPr>
          <w:rStyle w:val="normaltextrun"/>
          <w:rFonts w:eastAsiaTheme="majorEastAsia"/>
          <w:sz w:val="28"/>
          <w:szCs w:val="28"/>
          <w:lang w:val="kk-KZ"/>
        </w:rPr>
        <w:t>Конференция басталардан бір күн бұрын қатысушы басып шығарылған постерді Ұйымдастыру комитетіне тапсырады.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B2C03E8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29EB0B3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Ұсынылған материалдар Конференция тақырыбына сәйкес келмесе немесе қойылған талаптарға сай ресімделмеген жағдайда, Ұйымдастыру комитеті, кері байланыссыз, материалдарды қабылдамауға құқылы.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CED9F90" w14:textId="77777777" w:rsidR="0048768C" w:rsidRDefault="0048768C" w:rsidP="0048768C">
      <w:pPr>
        <w:pStyle w:val="paragraph"/>
        <w:spacing w:before="0" w:beforeAutospacing="0" w:after="0" w:afterAutospacing="0"/>
        <w:ind w:left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30F3DAB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III. КОНФЕРЕНЦИЯҒА ҚАТЫСУ ШАРТТАРЫ МЕН ТӘРТІБІ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1ABD813F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3.1 Конференцияға Сабақты зерттеу (Lesson Study) тәсілін өз тәжірибесінде қолдануға мүдделі барлық адамдар қатыса алады.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314033C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3.2. Конференцияға қатысу үшін: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61CCFB39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>- 2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025 жылы 11 сәуірге дейін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дейінгі мерзімде </w:t>
      </w:r>
      <w:hyperlink r:id="rId7" w:tgtFrame="_blank" w:history="1">
        <w:r>
          <w:rPr>
            <w:rStyle w:val="normaltextrun"/>
            <w:rFonts w:eastAsiaTheme="majorEastAsia"/>
            <w:b/>
            <w:bCs/>
            <w:color w:val="0563C1"/>
            <w:sz w:val="28"/>
            <w:szCs w:val="28"/>
            <w:u w:val="single"/>
            <w:shd w:val="clear" w:color="auto" w:fill="E1E3E6"/>
            <w:lang w:val="kk-KZ"/>
          </w:rPr>
          <w:t>https://ls.cpm.kz/</w:t>
        </w:r>
      </w:hyperlink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 </w:t>
      </w:r>
      <w:r>
        <w:rPr>
          <w:rStyle w:val="normaltextrun"/>
          <w:rFonts w:eastAsiaTheme="majorEastAsia"/>
          <w:sz w:val="28"/>
          <w:szCs w:val="28"/>
          <w:lang w:val="kk-KZ"/>
        </w:rPr>
        <w:t>Конференция сайтынан тіркеуден өту және ұйымдастыру жарнасын төлеу керек.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FCE9F3D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 xml:space="preserve">Қатысушының ұйымдастыру жарнасы 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– 40 000 теңге.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4BF9F5C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465148BD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 xml:space="preserve">2025 жылғы 25 сәуірде 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сабақтарды бақылауға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мектептерге барғысы келетін барлық қатысушы қосымша 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 xml:space="preserve">5 000 теңге </w:t>
      </w:r>
      <w:r>
        <w:rPr>
          <w:rStyle w:val="normaltextrun"/>
          <w:rFonts w:eastAsiaTheme="majorEastAsia"/>
          <w:sz w:val="28"/>
          <w:szCs w:val="28"/>
          <w:lang w:val="kk-KZ"/>
        </w:rPr>
        <w:t>ұйымдастыру жарнасын төлейді.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7605CF8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 xml:space="preserve">Ұйымдастыру комитеті </w:t>
      </w: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2025 жылы 14 наурыздан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кейін жіберілген абстрактілерді қабылдамайды.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6DB5590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lang w:val="kk-KZ"/>
        </w:rPr>
        <w:t xml:space="preserve">3.3. Барлық қатысушыларға электронды түрде </w:t>
      </w:r>
      <w:r>
        <w:rPr>
          <w:rStyle w:val="normaltextrun"/>
          <w:rFonts w:eastAsiaTheme="majorEastAsia"/>
          <w:i/>
          <w:iCs/>
          <w:sz w:val="28"/>
          <w:szCs w:val="28"/>
          <w:lang w:val="kk-KZ"/>
        </w:rPr>
        <w:t>Қатысушы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</w:t>
      </w:r>
      <w:r>
        <w:rPr>
          <w:rStyle w:val="normaltextrun"/>
          <w:rFonts w:eastAsiaTheme="majorEastAsia"/>
          <w:i/>
          <w:iCs/>
          <w:sz w:val="28"/>
          <w:szCs w:val="28"/>
          <w:lang w:val="kk-KZ"/>
        </w:rPr>
        <w:t>сертификаты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беріледі. Спикерлер мен постерлік көрме қатысушылары </w:t>
      </w:r>
      <w:r>
        <w:rPr>
          <w:rStyle w:val="normaltextrun"/>
          <w:rFonts w:eastAsiaTheme="majorEastAsia"/>
          <w:i/>
          <w:iCs/>
          <w:sz w:val="28"/>
          <w:szCs w:val="28"/>
          <w:lang w:val="kk-KZ"/>
        </w:rPr>
        <w:t>Спикер сертификатын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алады. Постер конкурсының жеңімпаздары І, ІІ, ІІІ дәрежелі дипломдармен марапатталады.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76E2305" w14:textId="77777777" w:rsidR="0048768C" w:rsidRDefault="0048768C" w:rsidP="0048768C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  <w:lang w:val="kk-KZ"/>
        </w:rPr>
        <w:t>Байланыс:</w:t>
      </w:r>
      <w:r>
        <w:rPr>
          <w:rStyle w:val="normaltextrun"/>
          <w:rFonts w:eastAsiaTheme="majorEastAsia"/>
          <w:sz w:val="28"/>
          <w:szCs w:val="28"/>
          <w:lang w:val="kk-KZ"/>
        </w:rPr>
        <w:t xml:space="preserve"> Педагогикалық шеберлік орталығы, Астана қ., Хусейн бен Талал көшесі, 21/1., тел.: 8 (7172) 235742.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A266237" w14:textId="77777777" w:rsidR="00F422BD" w:rsidRPr="0048768C" w:rsidRDefault="00F422BD">
      <w:pPr>
        <w:rPr>
          <w:lang w:val="ru-KZ"/>
        </w:rPr>
      </w:pPr>
    </w:p>
    <w:sectPr w:rsidR="00F422BD" w:rsidRPr="00487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F64BB"/>
    <w:multiLevelType w:val="multilevel"/>
    <w:tmpl w:val="550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F437E"/>
    <w:multiLevelType w:val="multilevel"/>
    <w:tmpl w:val="0E2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16E7B"/>
    <w:multiLevelType w:val="multilevel"/>
    <w:tmpl w:val="5482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6A7C9F"/>
    <w:multiLevelType w:val="multilevel"/>
    <w:tmpl w:val="68AC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D12CB"/>
    <w:multiLevelType w:val="multilevel"/>
    <w:tmpl w:val="45D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C55BA"/>
    <w:multiLevelType w:val="multilevel"/>
    <w:tmpl w:val="EB2A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561A71"/>
    <w:multiLevelType w:val="multilevel"/>
    <w:tmpl w:val="19AA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95743"/>
    <w:multiLevelType w:val="multilevel"/>
    <w:tmpl w:val="E288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F46AF"/>
    <w:multiLevelType w:val="multilevel"/>
    <w:tmpl w:val="E3B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BA2CC0"/>
    <w:multiLevelType w:val="multilevel"/>
    <w:tmpl w:val="097A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D5319B"/>
    <w:multiLevelType w:val="multilevel"/>
    <w:tmpl w:val="895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9581E"/>
    <w:multiLevelType w:val="multilevel"/>
    <w:tmpl w:val="7248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6B3BFB"/>
    <w:multiLevelType w:val="multilevel"/>
    <w:tmpl w:val="854A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A33A6"/>
    <w:multiLevelType w:val="multilevel"/>
    <w:tmpl w:val="43CA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D757AF"/>
    <w:multiLevelType w:val="multilevel"/>
    <w:tmpl w:val="26CE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394E04"/>
    <w:multiLevelType w:val="multilevel"/>
    <w:tmpl w:val="4C4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4A6068"/>
    <w:multiLevelType w:val="multilevel"/>
    <w:tmpl w:val="A41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1C2C66"/>
    <w:multiLevelType w:val="multilevel"/>
    <w:tmpl w:val="FF5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CF0450"/>
    <w:multiLevelType w:val="multilevel"/>
    <w:tmpl w:val="425A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E212CC"/>
    <w:multiLevelType w:val="multilevel"/>
    <w:tmpl w:val="AD8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61006E"/>
    <w:multiLevelType w:val="multilevel"/>
    <w:tmpl w:val="356E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1926353"/>
    <w:multiLevelType w:val="multilevel"/>
    <w:tmpl w:val="768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24B302D"/>
    <w:multiLevelType w:val="multilevel"/>
    <w:tmpl w:val="BAF4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B42827"/>
    <w:multiLevelType w:val="multilevel"/>
    <w:tmpl w:val="4BA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B02C11"/>
    <w:multiLevelType w:val="multilevel"/>
    <w:tmpl w:val="A7A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D53542"/>
    <w:multiLevelType w:val="multilevel"/>
    <w:tmpl w:val="DAA4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E1E58"/>
    <w:multiLevelType w:val="multilevel"/>
    <w:tmpl w:val="9CA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A80F42"/>
    <w:multiLevelType w:val="multilevel"/>
    <w:tmpl w:val="1A7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E82523"/>
    <w:multiLevelType w:val="multilevel"/>
    <w:tmpl w:val="BF48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6A0C4B"/>
    <w:multiLevelType w:val="multilevel"/>
    <w:tmpl w:val="B4C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1706F7"/>
    <w:multiLevelType w:val="multilevel"/>
    <w:tmpl w:val="C7CC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252D43"/>
    <w:multiLevelType w:val="multilevel"/>
    <w:tmpl w:val="2852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8139657">
    <w:abstractNumId w:val="22"/>
  </w:num>
  <w:num w:numId="2" w16cid:durableId="1061057176">
    <w:abstractNumId w:val="11"/>
  </w:num>
  <w:num w:numId="3" w16cid:durableId="2124960272">
    <w:abstractNumId w:val="28"/>
  </w:num>
  <w:num w:numId="4" w16cid:durableId="690104779">
    <w:abstractNumId w:val="0"/>
  </w:num>
  <w:num w:numId="5" w16cid:durableId="403379441">
    <w:abstractNumId w:val="26"/>
  </w:num>
  <w:num w:numId="6" w16cid:durableId="1850943970">
    <w:abstractNumId w:val="27"/>
  </w:num>
  <w:num w:numId="7" w16cid:durableId="1187332309">
    <w:abstractNumId w:val="20"/>
  </w:num>
  <w:num w:numId="8" w16cid:durableId="1356420701">
    <w:abstractNumId w:val="8"/>
  </w:num>
  <w:num w:numId="9" w16cid:durableId="582102827">
    <w:abstractNumId w:val="29"/>
  </w:num>
  <w:num w:numId="10" w16cid:durableId="790828772">
    <w:abstractNumId w:val="14"/>
  </w:num>
  <w:num w:numId="11" w16cid:durableId="446395589">
    <w:abstractNumId w:val="12"/>
  </w:num>
  <w:num w:numId="12" w16cid:durableId="1427189270">
    <w:abstractNumId w:val="24"/>
  </w:num>
  <w:num w:numId="13" w16cid:durableId="2011715584">
    <w:abstractNumId w:val="21"/>
  </w:num>
  <w:num w:numId="14" w16cid:durableId="195436318">
    <w:abstractNumId w:val="9"/>
  </w:num>
  <w:num w:numId="15" w16cid:durableId="244609061">
    <w:abstractNumId w:val="2"/>
  </w:num>
  <w:num w:numId="16" w16cid:durableId="1559366895">
    <w:abstractNumId w:val="15"/>
  </w:num>
  <w:num w:numId="17" w16cid:durableId="2075153333">
    <w:abstractNumId w:val="16"/>
  </w:num>
  <w:num w:numId="18" w16cid:durableId="1699307415">
    <w:abstractNumId w:val="5"/>
  </w:num>
  <w:num w:numId="19" w16cid:durableId="534804974">
    <w:abstractNumId w:val="4"/>
  </w:num>
  <w:num w:numId="20" w16cid:durableId="204177062">
    <w:abstractNumId w:val="19"/>
  </w:num>
  <w:num w:numId="21" w16cid:durableId="604535956">
    <w:abstractNumId w:val="23"/>
  </w:num>
  <w:num w:numId="22" w16cid:durableId="1579709026">
    <w:abstractNumId w:val="30"/>
  </w:num>
  <w:num w:numId="23" w16cid:durableId="1021782938">
    <w:abstractNumId w:val="10"/>
  </w:num>
  <w:num w:numId="24" w16cid:durableId="1923297724">
    <w:abstractNumId w:val="3"/>
  </w:num>
  <w:num w:numId="25" w16cid:durableId="953294901">
    <w:abstractNumId w:val="7"/>
  </w:num>
  <w:num w:numId="26" w16cid:durableId="1810240928">
    <w:abstractNumId w:val="17"/>
  </w:num>
  <w:num w:numId="27" w16cid:durableId="1066613956">
    <w:abstractNumId w:val="31"/>
  </w:num>
  <w:num w:numId="28" w16cid:durableId="1410956893">
    <w:abstractNumId w:val="6"/>
  </w:num>
  <w:num w:numId="29" w16cid:durableId="1736927268">
    <w:abstractNumId w:val="25"/>
  </w:num>
  <w:num w:numId="30" w16cid:durableId="1275676228">
    <w:abstractNumId w:val="13"/>
  </w:num>
  <w:num w:numId="31" w16cid:durableId="1836653575">
    <w:abstractNumId w:val="1"/>
  </w:num>
  <w:num w:numId="32" w16cid:durableId="14797603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07"/>
    <w:rsid w:val="00081E61"/>
    <w:rsid w:val="0048768C"/>
    <w:rsid w:val="00917807"/>
    <w:rsid w:val="00F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400EE-EB8B-4207-97FC-7DC5D540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7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7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7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7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7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7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7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7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7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7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7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78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78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78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78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78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78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7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7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7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7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78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78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78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7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78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780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768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768C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487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KZ" w:eastAsia="ru-KZ"/>
      <w14:ligatures w14:val="none"/>
    </w:rPr>
  </w:style>
  <w:style w:type="character" w:customStyle="1" w:styleId="normaltextrun">
    <w:name w:val="normaltextrun"/>
    <w:basedOn w:val="a0"/>
    <w:rsid w:val="0048768C"/>
  </w:style>
  <w:style w:type="character" w:customStyle="1" w:styleId="eop">
    <w:name w:val="eop"/>
    <w:basedOn w:val="a0"/>
    <w:rsid w:val="0048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s.cpm.k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s.cpm.kz/" TargetMode="External"/><Relationship Id="rId5" Type="http://schemas.openxmlformats.org/officeDocument/2006/relationships/hyperlink" Target="https://ls.cpm.kz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Айыпхан Мадияр Талғатұлы</dc:creator>
  <cp:keywords/>
  <dc:description/>
  <cp:lastModifiedBy>Айыпхан Мадияр Талғатұлы</cp:lastModifiedBy>
  <cp:revision>2</cp:revision>
  <dcterms:created xsi:type="dcterms:W3CDTF">2025-02-18T10:03:00Z</dcterms:created>
  <dcterms:modified xsi:type="dcterms:W3CDTF">2025-02-18T10:03:00Z</dcterms:modified>
</cp:coreProperties>
</file>