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Files\\sec14_full_proceedingsEpub - § 12 references coded [ 0.02%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In recent years, technical advances have enabled inexpensive, high-fidelity molecular analyses that characterize the genetic make-up of an individual.</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A continuously increasing number of users now utilize mobile devices [2] to interact with public cloud services (PCS) (e.g. Gmail, Outlook, and WhatsApp) as an essential part of their daily lives.</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Distributed Denial-of-Service (DDoS) attacks have been known since many years [8, 9, 24, 34] and they still constitute an important problem today.</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Privacy technologies are becoming more popular: Tor, a low-latency anonymity network, currently has 500,000 daily users and the number has been growing [21].</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Repressive governments have deployed increasingly sophisticated technology to block disfavored Internet content [5, 50].</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The malware threat landscape is continuously evolving.</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In response to evolving terrorist threats, including nonmetallic explosive devices and weapons, the U.S. Transportation Security Administration (TSA) has adopted advanced imaging technology (AIT), also known as whole-body imaging, as the primary passenger screening method at nearly 160 airports nationwide [50].</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 the last few years, a new class of cyber attacks has emerged that is more targeted at individuals and organizations.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 xml:space="preserve">Web applications increasingly employ the TLS protocol to secure HTTP communication (i.e., </w:t>
        <w:br/>
        <w:t>HTTP over TLS, or HTTPS) between a user’s browser and the web server.</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Over the last decade, the sophistication and technical level of malicious software (malware) has increased dramatically.</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Although the operating system (OS) kernel has always been an appealing target, until recently attackers focused mostly on the exploitation of vulnerabilities in server and client applications— which often run with administrative privileges—as they are (for the most part) less complex to analyze and easier to compromise.</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Consumer operating systems are changing.</w:t>
      </w:r>
    </w:p>
    <w:p>
      <w:pPr>
        <w:pStyle w:val="TextBody"/>
        <w:spacing w:before="113" w:after="113"/>
        <w:ind w:left="113" w:right="113" w:hanging="0"/>
        <w:rPr>
          <w:highlight w:val="lightGray"/>
        </w:rPr>
      </w:pPr>
      <w:r>
        <w:rPr>
          <w:highlight w:val="lightGray"/>
        </w:rPr>
        <w:t>Files\\sec15_full_proceedingsEpub - § 9 references coded [ 0.01%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For years, researchers have been working on methods to take over or disrupt the command-and-control (C&amp;C) infrastructure of botnets</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While cryptocurrency has been studied since the 1980s [22, 25, 28], bitcoin is the first to see widespread adoption.</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Redaction of sensitive information from documents has been used since ancient times as a means of concealing and removing secrets from texts intended for public release.</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In recent decades, improved digital communication technologies have reduced barriers to journalism worldwide.</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In the thirty years since Yao’s seminal paper [34], Secure Multiparty Computation (MPC) and Secure Two-Party Computation (TPC) have transitioned from purely theoretic constructions to practical tools.</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 xml:space="preserve">Browsers have evolved over recent years to mediate a wealth of user </w:t>
        <w:br/>
        <w:t>interactions with sensitive data.</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Since the first widely-exploited buffer overflow used by the 1998 Morris worm [27], the prevention, exploitation, and mitigation of memory corruption vulnerabilities have occupied the time of security researchers and cybercriminals alike.</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Since its beginning in the early nineties, the Web evolved from a mechanism to publish and link static documents into a sophisticated platform for distributed Web applications.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The number of software vulnerabilities discovered has grown significantly in recent years.</w:t>
      </w:r>
    </w:p>
    <w:p>
      <w:pPr>
        <w:pStyle w:val="TextBody"/>
        <w:spacing w:before="113" w:after="113"/>
        <w:ind w:left="113" w:right="113" w:hanging="0"/>
        <w:rPr>
          <w:highlight w:val="lightGray"/>
        </w:rPr>
      </w:pPr>
      <w:r>
        <w:rPr>
          <w:highlight w:val="lightGray"/>
        </w:rPr>
        <w:t>Files\\sec16_full_proceedingsEpub - § 14 references coded [ 0.02%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Despite years of study, memory corruption vulnerabilities still lead to controlflow hijacking attacks today.</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Public key cryptography is a common method for authentication in secure endto-end communication and has been a part of the Internet throughout the last two decades [7, 11].</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 xml:space="preserve">Over the last few years there have been numerous reports of ISPs that alter or </w:t>
        <w:br/>
        <w:t>proxy their customers’ traffic, including, for example, CMA Communications in 2013 [7], Comcast in 2012 [19], Mediacom in 2011 [10], WOW! in 2008 [31], and Rogers in 2007 [36].</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The last decade in cryptography has seen the birth of numerous constructions of cryptosystems based on lattice problems, achieving functionalities that were previously unreachable (e.g., fully homomorphic cryptography [38]).</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 xml:space="preserve">Over the past few years, face authentication systems have become increasingly </w:t>
        <w:br/>
        <w:t>popular as an enhanced security feature in both mobile devices and desktop computers.</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The past several years have seen widespread adoption of end-to-end encrypted text messaging protocols.</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In the last decennia, Wi-Fi became a de facto standard for medium-range wireless communications.</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In recent years, unwanted software has risen to the forefront of threats facing users.</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Starting from Denning’s seminal work in 1986 [9], intrusion detection has evolved into a number of different approaches.</w:t>
      </w:r>
    </w:p>
    <w:p>
      <w:pPr>
        <w:pStyle w:val="TextBody"/>
        <w:spacing w:before="113" w:after="113"/>
        <w:ind w:left="113" w:right="113" w:hanging="0"/>
        <w:rPr>
          <w:highlight w:val="lightGray"/>
        </w:rPr>
      </w:pPr>
      <w:r>
        <w:rPr>
          <w:highlight w:val="lightGray"/>
        </w:rPr>
        <w:t>Reference 10 - 0.01% Coverage</w:t>
      </w:r>
    </w:p>
    <w:p>
      <w:pPr>
        <w:pStyle w:val="TextBody"/>
        <w:spacing w:before="0" w:after="0"/>
        <w:rPr/>
      </w:pPr>
      <w:r>
        <w:rPr/>
        <w:t>In recent years, commodity CPU architectures have started to offer built-in features for trusted computing.</w:t>
      </w:r>
    </w:p>
    <w:p>
      <w:pPr>
        <w:pStyle w:val="TextBody"/>
        <w:spacing w:before="113" w:after="113"/>
        <w:ind w:left="113" w:right="113" w:hanging="0"/>
        <w:rPr>
          <w:highlight w:val="lightGray"/>
        </w:rPr>
      </w:pPr>
      <w:r>
        <w:rPr>
          <w:highlight w:val="lightGray"/>
        </w:rPr>
        <w:t>Reference 11 - 0.01% Coverage</w:t>
      </w:r>
    </w:p>
    <w:p>
      <w:pPr>
        <w:pStyle w:val="TextBody"/>
        <w:spacing w:before="0" w:after="0"/>
        <w:rPr/>
      </w:pPr>
      <w:r>
        <w:rPr/>
        <w:t>For several decades, car keys have been used to physically secure vehicles.</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The large-scale detection of vulnerabilities in Web applications has become significantly more common over the course of the last years.</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Since their introduction in the 80s [16], zero-knowledge (ZK) arguments have been one of the main building blocks in the design of complex cryptographic protocols.</w:t>
      </w:r>
    </w:p>
    <w:p>
      <w:pPr>
        <w:pStyle w:val="TextBody"/>
        <w:spacing w:before="113" w:after="113"/>
        <w:ind w:left="113" w:right="113" w:hanging="0"/>
        <w:rPr>
          <w:highlight w:val="lightGray"/>
        </w:rPr>
      </w:pPr>
      <w:r>
        <w:rPr>
          <w:highlight w:val="lightGray"/>
        </w:rPr>
        <w:t>Reference 14 - 0.01% Coverage</w:t>
      </w:r>
    </w:p>
    <w:p>
      <w:pPr>
        <w:pStyle w:val="TextBody"/>
        <w:spacing w:before="0" w:after="0"/>
        <w:rPr/>
      </w:pPr>
      <w:r>
        <w:rPr/>
        <w:t xml:space="preserve">Since the first sequencing of the human genome in 2001, tens of thousands of </w:t>
        <w:br/>
        <w:t>genomes and over a million genotypes have been sequenced.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