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2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Civil society organizations (CSOs), working on human rights issues around the globe, face a spectrum of politically-motivated information security threats that seek to deny (e.g. Internet filtering, denialof-service attacks), manipulate (e.g. website defacements) or monitor (e.g. targeted malware) information related to their work.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As popular applications rely on personal, privacy-sensitive information about users, factors such as legal regulations, industry self-regulation, and a growing body of privacy-conscious users all pressure developers to respond to demands for privacy.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3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The demand for high-performance and low-cost computing translates to increasing complexity in hardware and software.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Today, large and complex software is built with many components integrated using APIs.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The capabilities and limitations of disassembly are not always clearly defined or understood, making it difficult for researchers and reviewers to judge the practical feasibility of techniques based on it.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