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2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On September 5, 2013, the New York Times [23], the Guardian [3] and ProPublica [16] reported the existence of a secret National Security Agency SIGINT Enabling Project with the mission to “actively [engage] the US and foreign IT industries to covertly influence and/or overtly leverage their commercial products’ designs.”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Ever since its initial discovery in the year 2000 [6], Cross-Site Scripting (XSS) is an ever-present security concern in Web applications.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Files\\sec15_full_proceedingsEpub - § 3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 xml:space="preserve">In February 2011, a new Tor hidden service [16], called “Silk Road,” opened its </w:t>
        <w:br/>
        <w:t>doors.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Since the first widely-exploited buffer overflow used by the 1998 Morris worm [27], the prevention, exploitation, and mitigation of memory corruption vulnerabilities have occupied the time of security researchers and cybercriminals alike.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Recent data breaches, such as those at Target [35], JP Morgan [25], and Home Depot [49] highlight the increasing social and economic impact of such cyber incidents.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Files\\sec16_full_proceedingsEpub - § 4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 xml:space="preserve">Over the last few years there have been numerous reports of ISPs that alter or </w:t>
        <w:br/>
        <w:t>proxy their customers’ traffic, including, for example, CMA Communications in 2013 [7], Comcast in 2012 [19], Mediacom in 2011 [10], WOW! in 2008 [31], and Rogers in 2007 [36].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In 1996, Wagner and Schneier performed an analysis of the SSL 3.0 protocol [67].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Starting from Denning’s seminal work in 1986 [9], intrusion detection has evolved into a number of different approaches.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The Network Time Protocol (NTP) is one of the Internet’s oldest protocols, dating back to RFC 958 [15] published in 1985.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