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1C1E6B"/>
          <w:sz w:val="32"/>
          <w:szCs w:val="32"/>
        </w:rPr>
        <w:t xml:space="preserve">Détail du montant par poste</w:t>
      </w:r>
    </w:p>
    <w:p>
      <w:pPr>
        <w:spacing w:after="140" w:before="0"/>
      </w:pPr>
      <w:r>
        <w:rPr>
          <w:rFonts w:ascii="Calibri" w:cs="Calibri" w:eastAsia="Calibri" w:hAnsi="Calibri"/>
          <w:sz w:val="22"/>
          <w:szCs w:val="22"/>
        </w:rPr>
        <w:t xml:space="preserve">À la demande d'EGUITRA GROUP SARLU, le présent document détaille la répartition du montant de l'offre OTF-EGUITRA-2026-37, soit 50 000 000 GNF HT, dans la présentation par poste de l'offre initiale du 15 septembre 2026. Le périmètre fonctionnel est inchangé ; la ventilation distingue le serveur, le paramétrage du noyau et chacun des modules développés.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8"/>
        <w:gridCol w:w="2200"/>
        <w:gridCol w:w="1200"/>
      </w:tblGrid>
      <w:tr>
        <w:trPr>
          <w:tblHeader/>
        </w:trP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Poste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Montant HT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Cadrage, conception et charte graphique des applications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1 500 000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Serveur VPS : acquisition et configuration complète (système, conteneurs, proxy TLS, base de données, supervision, sauvegardes renforcées)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Nom de domaine et certificats TLS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Offert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Installation et paramétrage du noyau et des modules communautaires : plan SYSCOHADA, sociétés, devises, journaux, axes analytiques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 EGUITRA Finance : API métier, règles de gestion, contrôles de clôture, alertes, états financiers, 18 écrans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28 %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 transport et logistique : rotations, flotte, routes et tarifs, rentabilité par camion et par route, application mobile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 BTP : chantiers, situations d'avancement, retenues de garantie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 immobilier : biens, baux, quittancement, patrimoine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2 500 000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 fiscalité guinéenne, consolidation groupe et passerelle IFRS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2 500 000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 AxisPro Suite : grille de critères, stage gates, scoring, data room, revues de comité, rapports, portail des porteurs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Reprise des données de l'exercice en cours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Recette, formation par profil, mise en production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1 500 000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Hébergement VPS et sauvegardes hors site pendant 12 mois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E6F4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E6F4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50 000 000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E6F4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100 %</w:t>
            </w:r>
          </w:p>
        </w:tc>
      </w:tr>
    </w:tbl>
    <w:p>
      <w:pPr>
        <w:spacing w:after="160"/>
      </w:pPr>
    </w:p>
    <w:p>
      <w:pPr>
        <w:spacing w:after="140" w:before="0"/>
      </w:pPr>
      <w:r>
        <w:rPr>
          <w:rFonts w:ascii="Calibri" w:cs="Calibri" w:eastAsia="Calibri" w:hAnsi="Calibri"/>
          <w:sz w:val="22"/>
          <w:szCs w:val="22"/>
        </w:rPr>
        <w:t xml:space="preserve">Lecture de la répartition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Les postes techniques, serveur, paramétrage du noyau et développement des modules, représentent 90 % du montant.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 nom de domaine et les certificats sont offerts. Si le groupe dispose déjà d'un nom de domaine, il est utilisé tel quel.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 cadrage, la reprise des données, la recette et la formation sont réduits au strict nécessaire grâce aux prototypes de la direction et à des fichiers de gestion déjà structurés.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L'hébergement de la première année est facturé à son coût, sans marge.</w:t>
      </w:r>
    </w:p>
    <w:p>
      <w:pPr>
        <w:spacing w:after="140" w:before="0"/>
      </w:pPr>
      <w:r>
        <w:rPr>
          <w:rFonts w:ascii="Calibri" w:cs="Calibri" w:eastAsia="Calibri" w:hAnsi="Calibri"/>
          <w:sz w:val="22"/>
          <w:szCs w:val="22"/>
        </w:rPr>
        <w:t xml:space="preserve">Montants en francs guinéens, hors taxes. La garantie corrective de 6 mois, les sauvegardes renforcées et l'engagement de délai avec pénalités sont compris dans le total, sans poste distinct.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E-VOLUTION XP, Transformation Numérique. Réf. OTF-EGUITRA-2026-37, confidentiel. Page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FD8" w:sz="4" w:space="4"/>
      </w:pBdr>
      <w:jc w:val="right"/>
    </w:pPr>
    <w:r>
      <w:drawing>
        <wp:inline distT="0" distB="0" distL="0" distR="0">
          <wp:extent cx="666750" cy="390525"/>
          <wp:effectExtent t="0" r="0" b="0" l="0"/>
          <wp:docPr id="1" name="logo" descr="Logo E-VOLUTION XP" title="E-VOLUTION X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" w:cs="Calibri" w:eastAsia="Calibri" w:hAnsi="Calibri"/>
        <w:color w:val="888888"/>
        <w:sz w:val="16"/>
        <w:szCs w:val="16"/>
      </w:rPr>
      <w:t xml:space="preserve">Annexe : détail du montant par poste, EGUITRA GROUP SARLU et MB AxisPro Consulting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C1E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C1E6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fbf04faf1ccdbaf9a1c8d13a881427d25b0674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: détail du montant par poste EGUITRA</dc:title>
  <dc:creator>E-VOLUTION XP</dc:creator>
  <cp:lastModifiedBy>Un-named</cp:lastModifiedBy>
  <cp:revision>1</cp:revision>
  <dcterms:created xsi:type="dcterms:W3CDTF">2026-10-08T08:30:34.084Z</dcterms:created>
  <dcterms:modified xsi:type="dcterms:W3CDTF">2026-10-08T08:30:34.084Z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