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OTF-EGUITRA-2026-36-R1</w:t>
      </w:r>
    </w:p>
    <w:p>
      <w:pPr>
        <w:spacing w:after="40" w:before="0"/>
      </w:pPr>
      <w:r>
        <w:rPr>
          <w:rFonts w:ascii="Calibri" w:cs="Calibri" w:eastAsia="Calibri" w:hAnsi="Calibri"/>
          <w:color w:val="666666"/>
          <w:sz w:val="20"/>
          <w:szCs w:val="20"/>
        </w:rPr>
        <w:t xml:space="preserve">Révision 1 du 29 septembre 2026, offre valable 30 jours</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w:t>
      </w:r>
    </w:p>
    <w:p>
      <w:pPr>
        <w:spacing w:after="140" w:before="0"/>
      </w:pPr>
      <w:r>
        <w:rPr>
          <w:rFonts w:ascii="Calibri" w:cs="Calibri" w:eastAsia="Calibri" w:hAnsi="Calibri"/>
          <w:sz w:val="22"/>
          <w:szCs w:val="22"/>
        </w:rPr>
        <w:t xml:space="preserve">EGUITRA GROUP SARLU et MB AxisPro Consulting partagent une direction générale, des locaux et deux projets de digitalisation : le département Finance d'une part, l'accompagnement des porteurs de projets d'autre part. E-VOLUTION XP propose une plateforme unique qui répond à ces deux projets : un noyau de gestion open source éprouvé, invisible pour les utilisateurs, et deux applications à votre image, EGUITRA Finance et AxisPro Suite, mises en production en 4 semaines sur un hébergement dédié au groupe.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Offre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Une plateforme unique : un noyau de gestion open source éprouvé, invisible pour les utilisateurs, et deux applications à votre image, EGUITRA Finance et AxisPro Suite.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 à compter du démarrage, avec pénalités de retard</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50 000 000 GNF HT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 par an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mois, couvrant la première clôture annuelle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w:t>
            </w:r>
          </w:p>
        </w:tc>
      </w:tr>
    </w:tbl>
    <w:p>
      <w:pPr>
        <w:spacing w:after="160"/>
      </w:pP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50 000 000 GNF HT, le groupe obtient un noyau comptable utilisé par des dizaines de milliers d'entreprises, le multi-sociétés, le rapprochement bancaire, les circuits d'approbation à plusieurs niveaux, une évolutivité sans nouveau développement, et deux applications conçues pour ses équipes. Aucune licence, aucune limite de nombre d'utilisateurs.</w:t>
      </w:r>
    </w:p>
    <w:p>
      <w:pPr>
        <w:spacing w:after="140" w:before="0"/>
      </w:pPr>
      <w:r>
        <w:rPr>
          <w:rFonts w:ascii="Calibri" w:cs="Calibri" w:eastAsia="Calibri" w:hAnsi="Calibri"/>
          <w:sz w:val="22"/>
          <w:szCs w:val="22"/>
        </w:rPr>
        <w:t xml:space="preserve">Validité de l'offre : 30 jours à compter du 29 septembre 2026, soit jusqu'au 29 octobre 2026. Tous les montants sont exprimés en francs guinéens, hors taxes.</w:t>
      </w:r>
    </w:p>
    <w:p>
      <w:r>
        <w:br w:type="page"/>
      </w:r>
    </w:p>
    <w:p>
      <w:pPr>
        <w:pStyle w:val="Heading1"/>
        <w:spacing w:after="200" w:before="240"/>
      </w:pPr>
      <w:r>
        <w:rPr>
          <w:rFonts w:ascii="Calibri" w:cs="Calibri" w:eastAsia="Calibri" w:hAnsi="Calibri"/>
          <w:b/>
          <w:bCs/>
          <w:color w:val="1C1E6B"/>
          <w:sz w:val="32"/>
          <w:szCs w:val="32"/>
        </w:rPr>
        <w:t xml:space="preserve">2. Notre compréhension de votre besoin</w:t>
      </w:r>
    </w:p>
    <w:p>
      <w:pPr>
        <w:pStyle w:val="Heading2"/>
        <w:spacing w:after="120" w:before="280"/>
      </w:pPr>
      <w:r>
        <w:rPr>
          <w:rFonts w:ascii="Calibri" w:cs="Calibri" w:eastAsia="Calibri" w:hAnsi="Calibri"/>
          <w:b/>
          <w:bCs/>
          <w:color w:val="1C1E6B"/>
          <w:sz w:val="26"/>
          <w:szCs w:val="26"/>
        </w:rPr>
        <w:t xml:space="preserve">2.1 Le groupe et ses activités</w:t>
      </w:r>
    </w:p>
    <w:p>
      <w:pPr>
        <w:spacing w:after="140" w:before="0"/>
      </w:pPr>
      <w:r>
        <w:rPr>
          <w:rFonts w:ascii="Calibri" w:cs="Calibri" w:eastAsia="Calibri" w:hAnsi="Calibri"/>
          <w:sz w:val="22"/>
          <w:szCs w:val="22"/>
        </w:rPr>
        <w:t xml:space="preserve">EGUITRA GROUP SARLU opère sur trois secteurs : le transport et la logistique de produits pétroliers, le BTP et l'immobilier, complétés par une activité de négoce. Le transport d'hydrocarbures constitue le cœur de métier, avec une flotte de quinze ensembles citernes et des clients tels que les distributeurs pétroliers et les sociétés minières. MB AxisPro Consulting, cabinet de conseil du même groupe, accompagne des porteurs de projets vers le financement bancaire et l'investissement.</w:t>
      </w:r>
    </w:p>
    <w:p>
      <w:pPr>
        <w:spacing w:after="140" w:before="0"/>
      </w:pPr>
      <w:r>
        <w:rPr>
          <w:rFonts w:ascii="Calibri" w:cs="Calibri" w:eastAsia="Calibri" w:hAnsi="Calibri"/>
          <w:sz w:val="22"/>
          <w:szCs w:val="22"/>
        </w:rPr>
        <w:t xml:space="preserve">Le dossier de l'exercice 2026 que vous nous avez transmis, arrêté au 15 août, donne la mesure du périmètre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Donnée</w:t>
            </w:r>
          </w:p>
        </w:tc>
        <w:tc>
          <w:tcPr>
            <w:tcW w:type="dxa" w:w="5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Volume au 15 août 2026</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Activités et centres de coût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activités, 9 centres de coût</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Comptes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banques dont un compte USD, 2 caisses</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Flotte et chauffeurs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ensembles citernes, 15 chauffeurs, 9 routes tarifées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de transport enregistrées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383</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et pièces d'achat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147 et 169</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412</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financements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immobilisations, 4 emprunts et crédits-bails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 d'affaires cumulé</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Environ 20,6 milliards GNF, dont 70 % en transport d'hydrocarbures</w:t>
            </w:r>
          </w:p>
        </w:tc>
      </w:tr>
    </w:tbl>
    <w:p>
      <w:pPr>
        <w:spacing w:after="160"/>
      </w:pPr>
    </w:p>
    <w:p>
      <w:pPr>
        <w:pStyle w:val="Heading2"/>
        <w:spacing w:after="120" w:before="280"/>
      </w:pPr>
      <w:r>
        <w:rPr>
          <w:rFonts w:ascii="Calibri" w:cs="Calibri" w:eastAsia="Calibri" w:hAnsi="Calibri"/>
          <w:b/>
          <w:bCs/>
          <w:color w:val="1C1E6B"/>
          <w:sz w:val="26"/>
          <w:szCs w:val="26"/>
        </w:rPr>
        <w:t xml:space="preserve">2.2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et la disponibilité garantie. Le tableau du chapitre 4 répond point par point.</w:t>
      </w:r>
    </w:p>
    <w:p>
      <w:pPr>
        <w:spacing w:after="140" w:before="0"/>
      </w:pPr>
      <w:r>
        <w:rPr>
          <w:rFonts w:ascii="Calibri" w:cs="Calibri" w:eastAsia="Calibri" w:hAnsi="Calibri"/>
          <w:sz w:val="22"/>
          <w:szCs w:val="22"/>
        </w:rPr>
        <w:t xml:space="preserve">Projet 2 : la digitalisation de l'accompagnement des porteurs de projets. Le prototype MB AxisPro décrit une méthode d'évaluation de la maturité et de la bancabilité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2.3 Ce que nous retenons des prototypes existants</w:t>
      </w:r>
    </w:p>
    <w:p>
      <w:pPr>
        <w:spacing w:after="140" w:before="0"/>
      </w:pPr>
      <w:r>
        <w:rPr>
          <w:rFonts w:ascii="Calibri" w:cs="Calibri" w:eastAsia="Calibri" w:hAnsi="Calibri"/>
          <w:sz w:val="22"/>
          <w:szCs w:val="22"/>
        </w:rPr>
        <w:t xml:space="preserve">Les deux prototypes générés par la direction constituent une spécification fonctionnelle de grande qualité. Nous les reprenons comme cahier des charges de référence,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La plateforme conserve leurs règles et leur ergonomie, et y ajoute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3. La solution : plateforme intégrée sur noyau de gestion</w:t>
      </w:r>
    </w:p>
    <w:p>
      <w:pPr>
        <w:pStyle w:val="Heading2"/>
        <w:spacing w:after="120" w:before="280"/>
      </w:pPr>
      <w:r>
        <w:rPr>
          <w:rFonts w:ascii="Calibri" w:cs="Calibri" w:eastAsia="Calibri" w:hAnsi="Calibri"/>
          <w:b/>
          <w:bCs/>
          <w:color w:val="1C1E6B"/>
          <w:sz w:val="26"/>
          <w:szCs w:val="26"/>
        </w:rPr>
        <w:t xml:space="preserve">3.1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w:t>
      </w:r>
    </w:p>
    <w:p>
      <w:pPr>
        <w:spacing w:after="140" w:before="0"/>
      </w:pPr>
      <w:r>
        <w:rPr>
          <w:rFonts w:ascii="Calibri" w:cs="Calibri" w:eastAsia="Calibri" w:hAnsi="Calibri"/>
          <w:sz w:val="22"/>
          <w:szCs w:val="22"/>
        </w:rPr>
        <w:t xml:space="preserve">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 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3.2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3.3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3.4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transport du dossier devient une alerte automatique.</w:t>
      </w:r>
    </w:p>
    <w:p>
      <w:pPr>
        <w:pStyle w:val="Heading2"/>
        <w:spacing w:after="120" w:before="280"/>
      </w:pPr>
      <w:r>
        <w:rPr>
          <w:rFonts w:ascii="Calibri" w:cs="Calibri" w:eastAsia="Calibri" w:hAnsi="Calibri"/>
          <w:b/>
          <w:bCs/>
          <w:color w:val="1C1E6B"/>
          <w:sz w:val="26"/>
          <w:szCs w:val="26"/>
        </w:rPr>
        <w:t xml:space="preserve">3.5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3.6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4. Couverture des attentes du département Finance</w:t>
      </w:r>
    </w:p>
    <w:p>
      <w:pPr>
        <w:spacing w:after="140" w:before="0"/>
      </w:pPr>
      <w:r>
        <w:rPr>
          <w:rFonts w:ascii="Calibri" w:cs="Calibri" w:eastAsia="Calibri" w:hAnsi="Calibri"/>
          <w:sz w:val="22"/>
          <w:szCs w:val="22"/>
        </w:rPr>
        <w:t xml:space="preserve">Les vingt attentes exprimées dans le courrier du responsable financier sont couvertes. Le tableau précise, pour chacune, le mécanisme retenu.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4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 de la plateforme</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tableau de bord du dirigeant et pilotage par activité</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multi-sociétés natif, consolidation groupe</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 de comptes du noyau, validé par votre expert-comptable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plans analytiques multi-axes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import des relevés, rapprochement assisté</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registre, dotations mensuelles, cessions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lignes mensuelles, écarts, seuils</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factures, avoirs, échéances, relances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TVA et déclarations guinéennes</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plusieurs niveaux et seuils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rotation comme source unique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situations d'avancement, retenues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biens, baux, quittancement, patrimoine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verrouillage par empreinte et journal d'audit</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double authentification, droits par profil</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99,5 %, perte de données maximale 15 minutes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applications à votre image, formation par profil</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délais d'intervention engagés, accompagnement renforcé</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ajout de modules sans développement</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forfait ferme, aucune licence, forfait annuel unique</w:t>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5. Hébergement, sécurité et exploitation</w:t>
      </w:r>
    </w:p>
    <w:p>
      <w:pPr>
        <w:pStyle w:val="Heading2"/>
        <w:spacing w:after="120" w:before="280"/>
      </w:pPr>
      <w:r>
        <w:rPr>
          <w:rFonts w:ascii="Calibri" w:cs="Calibri" w:eastAsia="Calibri" w:hAnsi="Calibri"/>
          <w:b/>
          <w:bCs/>
          <w:color w:val="1C1E6B"/>
          <w:sz w:val="26"/>
          <w:szCs w:val="26"/>
        </w:rPr>
        <w:t xml:space="preserve">5.1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5.2 Sauvegardes et continuité</w:t>
      </w:r>
    </w:p>
    <w:p>
      <w:pPr>
        <w:spacing w:after="140" w:before="0"/>
      </w:pPr>
      <w:r>
        <w:rPr>
          <w:rFonts w:ascii="Calibri" w:cs="Calibri" w:eastAsia="Calibri" w:hAnsi="Calibri"/>
          <w:sz w:val="22"/>
          <w:szCs w:val="22"/>
        </w:rPr>
        <w:t xml:space="preserve">La base de données est unique pour l'ensemble des modules : le dispositif de sauvegarde s'applique à la comptabilité comme aux modules métier et à AxisPro Suite, sans distinction. Il est inclus dans le montant de l'offre la première année, puis dans le forfait annuel.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Journalisation continue des transactions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journal des transactions de la base est copié hors site, chiffré, toutes les 15 minutes. Il permet de restaurer la base à un instant donné quelconque des 14 jours précédents.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jointes et documents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Synchronisés hors site toutes les heures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 journaux de transactions sur 14 jours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 dont un test de restauration à un instant donné</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pStyle w:val="Heading2"/>
        <w:spacing w:after="120" w:before="280"/>
      </w:pPr>
      <w:r>
        <w:rPr>
          <w:rFonts w:ascii="Calibri" w:cs="Calibri" w:eastAsia="Calibri" w:hAnsi="Calibri"/>
          <w:b/>
          <w:bCs/>
          <w:color w:val="1C1E6B"/>
          <w:sz w:val="26"/>
          <w:szCs w:val="26"/>
        </w:rPr>
        <w:t xml:space="preserve">5.3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5.4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6. Démarche et planning en quatre semaines</w:t>
      </w:r>
    </w:p>
    <w:p>
      <w:pPr>
        <w:pStyle w:val="Heading2"/>
        <w:spacing w:after="120" w:before="280"/>
      </w:pPr>
      <w:r>
        <w:rPr>
          <w:rFonts w:ascii="Calibri" w:cs="Calibri" w:eastAsia="Calibri" w:hAnsi="Calibri"/>
          <w:b/>
          <w:bCs/>
          <w:color w:val="1C1E6B"/>
          <w:sz w:val="26"/>
          <w:szCs w:val="26"/>
        </w:rPr>
        <w:t xml:space="preserve">6.1 Planning</w:t>
      </w:r>
    </w:p>
    <w:p>
      <w:pPr>
        <w:spacing w:after="140" w:before="0"/>
      </w:pPr>
      <w:r>
        <w:rPr>
          <w:rFonts w:ascii="Calibri" w:cs="Calibri" w:eastAsia="Calibri" w:hAnsi="Calibri"/>
          <w:sz w:val="22"/>
          <w:szCs w:val="22"/>
        </w:rPr>
        <w:t xml:space="preserve">La plateforme est mise en production en 4 semaines à compter du démarrage, par une équipe dédiée à temps plein. Le démarrage, noté T0, est la date à laquelle l'acompte de commande est encaissé et les prérequis du chapitre 6.5 sont remis ; la date contractuelle de mise en production est T0 plus 4 semaines. Ce délai repose sur trois conditions : les prototypes de la direction servent de spécification, les composants d'interface déjà développés par E-VOLUTION XP sont réutilisés, et les référents du client sont disponibles chaque semaine.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2026.</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2026 consultable et exercice 2027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6 mois décrite au chapitre 7.6.</w:t>
      </w:r>
    </w:p>
    <w:p>
      <w:pPr>
        <w:pStyle w:val="Heading2"/>
        <w:spacing w:after="120" w:before="280"/>
      </w:pPr>
      <w:r>
        <w:rPr>
          <w:rFonts w:ascii="Calibri" w:cs="Calibri" w:eastAsia="Calibri" w:hAnsi="Calibri"/>
          <w:b/>
          <w:bCs/>
          <w:color w:val="1C1E6B"/>
          <w:sz w:val="26"/>
          <w:szCs w:val="26"/>
        </w:rPr>
        <w:t xml:space="preserve">6.2 Reprise des données</w:t>
      </w:r>
    </w:p>
    <w:p>
      <w:pPr>
        <w:spacing w:after="140" w:before="0"/>
      </w:pPr>
      <w:r>
        <w:rPr>
          <w:rFonts w:ascii="Calibri" w:cs="Calibri" w:eastAsia="Calibri" w:hAnsi="Calibri"/>
          <w:sz w:val="22"/>
          <w:szCs w:val="22"/>
        </w:rPr>
        <w:t xml:space="preserve">Le dossier 2026 est repris intégralement : référentiels, tiers, plan de comptes, immobilisations, financements, budget, ventes, achats, trésorerie, rotations et OD. Les balances obtenues sont confrontées au classeur d'origine et validées par votre responsable financier avant la mise en production. L'exercice 2026 est ainsi consultable dans l'outil dès le premier jour, et l'exercice 2027 s'ouvre directement dans l'outil.</w:t>
      </w:r>
    </w:p>
    <w:p>
      <w:pPr>
        <w:pStyle w:val="Heading2"/>
        <w:spacing w:after="120" w:before="280"/>
      </w:pPr>
      <w:r>
        <w:rPr>
          <w:rFonts w:ascii="Calibri" w:cs="Calibri" w:eastAsia="Calibri" w:hAnsi="Calibri"/>
          <w:b/>
          <w:bCs/>
          <w:color w:val="1C1E6B"/>
          <w:sz w:val="26"/>
          <w:szCs w:val="26"/>
        </w:rPr>
        <w:t xml:space="preserve">6.3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6.4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 Son compte rendu constate l'avancement, les décisions et, le cas échéant, les événements qui décalent la date contractuelle.</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6.5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relevés bancaires et les modèles de déclarations fiscales en vigueur.</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pPr>
        <w:pStyle w:val="Heading2"/>
        <w:spacing w:after="120" w:before="280"/>
      </w:pPr>
      <w:r>
        <w:rPr>
          <w:rFonts w:ascii="Calibri" w:cs="Calibri" w:eastAsia="Calibri" w:hAnsi="Calibri"/>
          <w:b/>
          <w:bCs/>
          <w:color w:val="1C1E6B"/>
          <w:sz w:val="26"/>
          <w:szCs w:val="26"/>
        </w:rPr>
        <w:t xml:space="preserve">6.6 Respect du délai et pénalités de retard</w:t>
      </w:r>
    </w:p>
    <w:p>
      <w:pPr>
        <w:spacing w:after="140" w:before="0"/>
      </w:pPr>
      <w:r>
        <w:rPr>
          <w:rFonts w:ascii="Calibri" w:cs="Calibri" w:eastAsia="Calibri" w:hAnsi="Calibri"/>
          <w:sz w:val="22"/>
          <w:szCs w:val="22"/>
        </w:rPr>
        <w:t xml:space="preserve">E-VOLUTION XP s'engage sur la date contractuelle de mise en production selon les règles suivantes :</w:t>
      </w:r>
    </w:p>
    <w:p>
      <w:pPr>
        <w:pStyle w:val="ListParagraph"/>
        <w:numPr>
          <w:ilvl w:val="0"/>
          <w:numId w:val="2"/>
        </w:numPr>
        <w:spacing w:after="80"/>
      </w:pPr>
      <w:r>
        <w:rPr>
          <w:rFonts w:ascii="Calibri" w:cs="Calibri" w:eastAsia="Calibri" w:hAnsi="Calibri"/>
          <w:sz w:val="22"/>
          <w:szCs w:val="22"/>
        </w:rPr>
        <w:t xml:space="preserve">Si le procès-verbal de mise en production est signé après la date contractuelle et que le retard est imputable à E-VOLUTION XP, une pénalité de 0,1 % du montant HT de la commande est due par jour calendaire de retard, soit 50 000 GNF par jour.</w:t>
      </w:r>
    </w:p>
    <w:p>
      <w:pPr>
        <w:pStyle w:val="ListParagraph"/>
        <w:numPr>
          <w:ilvl w:val="0"/>
          <w:numId w:val="2"/>
        </w:numPr>
        <w:spacing w:after="80"/>
      </w:pPr>
      <w:r>
        <w:rPr>
          <w:rFonts w:ascii="Calibri" w:cs="Calibri" w:eastAsia="Calibri" w:hAnsi="Calibri"/>
          <w:sz w:val="22"/>
          <w:szCs w:val="22"/>
        </w:rPr>
        <w:t xml:space="preserve">Les pénalités sont plafonnées à 5 % du montant HT de la commande, soit 2 500 000 GNF.</w:t>
      </w:r>
    </w:p>
    <w:p>
      <w:pPr>
        <w:pStyle w:val="ListParagraph"/>
        <w:numPr>
          <w:ilvl w:val="0"/>
          <w:numId w:val="2"/>
        </w:numPr>
        <w:spacing w:after="80"/>
      </w:pPr>
      <w:r>
        <w:rPr>
          <w:rFonts w:ascii="Calibri" w:cs="Calibri" w:eastAsia="Calibri" w:hAnsi="Calibri"/>
          <w:sz w:val="22"/>
          <w:szCs w:val="22"/>
        </w:rPr>
        <w:t xml:space="preserve">Ne sont pas imputables au prestataire, et décalent la date contractuelle d'autant : l'indisponibilité des référents, la remise tardive des prérequis, les délais de validation du client au-delà de deux jours ouvrés, les demandes hors périmètre, et les cas de force majeure. Ces événements sont constatés au comité de pilotage hebdomadaire.</w:t>
      </w:r>
    </w:p>
    <w:p>
      <w:pPr>
        <w:pStyle w:val="ListParagraph"/>
        <w:numPr>
          <w:ilvl w:val="0"/>
          <w:numId w:val="2"/>
        </w:numPr>
        <w:spacing w:after="80"/>
      </w:pPr>
      <w:r>
        <w:rPr>
          <w:rFonts w:ascii="Calibri" w:cs="Calibri" w:eastAsia="Calibri" w:hAnsi="Calibri"/>
          <w:sz w:val="22"/>
          <w:szCs w:val="22"/>
        </w:rPr>
        <w:t xml:space="preserve">Les pénalités sont déduites du dernier terme de paiement. Elles constituent la seule indemnité due au titre du retard.</w:t>
      </w:r>
    </w:p>
    <w:p>
      <w:r>
        <w:br w:type="page"/>
      </w:r>
    </w:p>
    <w:p>
      <w:pPr>
        <w:pStyle w:val="Heading1"/>
        <w:spacing w:after="200" w:before="240"/>
      </w:pPr>
      <w:r>
        <w:rPr>
          <w:rFonts w:ascii="Calibri" w:cs="Calibri" w:eastAsia="Calibri" w:hAnsi="Calibri"/>
          <w:b/>
          <w:bCs/>
          <w:color w:val="1C1E6B"/>
          <w:sz w:val="32"/>
          <w:szCs w:val="32"/>
        </w:rPr>
        <w:t xml:space="preserve">7. Offre financière</w:t>
      </w:r>
    </w:p>
    <w:p>
      <w:pPr>
        <w:pStyle w:val="Heading2"/>
        <w:spacing w:after="120" w:before="280"/>
      </w:pPr>
      <w:r>
        <w:rPr>
          <w:rFonts w:ascii="Calibri" w:cs="Calibri" w:eastAsia="Calibri" w:hAnsi="Calibri"/>
          <w:b/>
          <w:bCs/>
          <w:color w:val="1C1E6B"/>
          <w:sz w:val="26"/>
          <w:szCs w:val="26"/>
        </w:rPr>
        <w:t xml:space="preserve">7.1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 : le montant est ferme pour le périmètre décrit aux chapitres 3 et 4.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w:t>
      </w:r>
    </w:p>
    <w:p>
      <w:pPr>
        <w:pStyle w:val="ListParagraph"/>
        <w:numPr>
          <w:ilvl w:val="0"/>
          <w:numId w:val="2"/>
        </w:numPr>
        <w:spacing w:after="80"/>
      </w:pPr>
      <w:r>
        <w:rPr>
          <w:rFonts w:ascii="Calibri" w:cs="Calibri" w:eastAsia="Calibri" w:hAnsi="Calibri"/>
          <w:sz w:val="22"/>
          <w:szCs w:val="22"/>
        </w:rPr>
        <w:t xml:space="preserve">L'hébergement de la première année, avec le dispositif de sauvegarde du chapitre 5.2, est compris dans le montant.</w:t>
      </w:r>
    </w:p>
    <w:p>
      <w:pPr>
        <w:pStyle w:val="Heading2"/>
        <w:spacing w:after="120" w:before="280"/>
      </w:pPr>
      <w:r>
        <w:rPr>
          <w:rFonts w:ascii="Calibri" w:cs="Calibri" w:eastAsia="Calibri" w:hAnsi="Calibri"/>
          <w:b/>
          <w:bCs/>
          <w:color w:val="1C1E6B"/>
          <w:sz w:val="26"/>
          <w:szCs w:val="26"/>
        </w:rPr>
        <w:t xml:space="preserve">7.2 Décomposition du montant</w:t>
      </w:r>
    </w:p>
    <w:p>
      <w:pPr>
        <w:spacing w:after="140" w:before="0"/>
      </w:pPr>
      <w:r>
        <w:rPr>
          <w:rFonts w:ascii="Calibri" w:cs="Calibri" w:eastAsia="Calibri" w:hAnsi="Calibri"/>
          <w:sz w:val="22"/>
          <w:szCs w:val="22"/>
        </w:rPr>
        <w:t xml:space="preserve">Plateforme intégrée EGUITRA Finance et AxisPro Suite sur noyau de gestion. Prix forfaitaire, hébergement de la première année compris.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technique : VPS, installation du noyau et des modules communautaires, sécurité, sauvegardes, supervision</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EGUITRA Finance : paramétrage SYSCOHADA, analytique, trésorerie et rapprochement, immobilisations, budget, approbations, états financiers, 18 écrans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17 000 000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34 %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Transport pétrolier et BTP : rotations, flotte, rentabilité par camion et par route, application mobile, chantiers, retenues de garantie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7 500 000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Immobilier, fiscalité guinéenne, consolidation groupe, passerelle IFRS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AxisPro Suite : grille de critères, stage gates, scoring, data room, revues de comité, rapports, portail des porteurs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7 500 000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du dossier 2026, recette, formation, mise en production</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nom de domaine et sauvegardes hors site pendant 12 mois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hébergement de la première année compris</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 HT</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7.3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le montant ci-dessus. À partir de la deuxième année, un forfait annuel unique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quotidiennes et journalisation continue toutes les 15 minutes,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par mois d'évolutions incluses, cumulables sur le trimestre (6 jours par trimestre), selon les règles du chapitre 7.4</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9 000 000 GNF HT, facturé par semestre d'avance</w:t>
            </w:r>
          </w:p>
        </w:tc>
      </w:tr>
    </w:tbl>
    <w:p>
      <w:pPr>
        <w:spacing w:after="160"/>
      </w:pP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7.4 Maintenance évolutive : évolutions incluses et facturables</w:t>
      </w:r>
    </w:p>
    <w:p>
      <w:pPr>
        <w:spacing w:after="140" w:before="0"/>
      </w:pPr>
      <w:r>
        <w:rPr>
          <w:rFonts w:ascii="Calibri" w:cs="Calibri" w:eastAsia="Calibri" w:hAnsi="Calibri"/>
          <w:sz w:val="22"/>
          <w:szCs w:val="22"/>
        </w:rPr>
        <w:t xml:space="preserve">Une évolution est une demande de modification ou d'ajout qui ne corrige pas une anomalie. Les anomalies relèvent de la maintenance corrective et sont traitées sans limite. Une évolution est incluse dans le forfait annuel lorsqu'elle remplit les trois critères suivants :</w:t>
      </w:r>
    </w:p>
    <w:p>
      <w:pPr>
        <w:pStyle w:val="ListParagraph"/>
        <w:numPr>
          <w:ilvl w:val="0"/>
          <w:numId w:val="2"/>
        </w:numPr>
        <w:spacing w:after="80"/>
      </w:pPr>
      <w:r>
        <w:rPr>
          <w:rFonts w:ascii="Calibri" w:cs="Calibri" w:eastAsia="Calibri" w:hAnsi="Calibri"/>
          <w:sz w:val="22"/>
          <w:szCs w:val="22"/>
        </w:rPr>
        <w:t xml:space="preserve">Sa charge totale, spécification, réalisation, test et livraison comprises, est estimée à 2 jours-homme au plus.</w:t>
      </w:r>
    </w:p>
    <w:p>
      <w:pPr>
        <w:pStyle w:val="ListParagraph"/>
        <w:numPr>
          <w:ilvl w:val="0"/>
          <w:numId w:val="2"/>
        </w:numPr>
        <w:spacing w:after="80"/>
      </w:pPr>
      <w:r>
        <w:rPr>
          <w:rFonts w:ascii="Calibri" w:cs="Calibri" w:eastAsia="Calibri" w:hAnsi="Calibri"/>
          <w:sz w:val="22"/>
          <w:szCs w:val="22"/>
        </w:rPr>
        <w:t xml:space="preserve">Elle s'appuie sur les écrans, les données et les états existants : elle n'ajoute ni module ni écran complet, ni interface avec un système externe, ni modification du modèle de données nécessitant une reprise de données.</w:t>
      </w:r>
    </w:p>
    <w:p>
      <w:pPr>
        <w:pStyle w:val="ListParagraph"/>
        <w:numPr>
          <w:ilvl w:val="0"/>
          <w:numId w:val="2"/>
        </w:numPr>
        <w:spacing w:after="80"/>
      </w:pPr>
      <w:r>
        <w:rPr>
          <w:rFonts w:ascii="Calibri" w:cs="Calibri" w:eastAsia="Calibri" w:hAnsi="Calibri"/>
          <w:sz w:val="22"/>
          <w:szCs w:val="22"/>
        </w:rPr>
        <w:t xml:space="preserve">Elle s'inscrit dans le crédit du trimestre en cours : 6 jours, cumulables à l'intérieur du trimestre, non reportables au-delà.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Évolutions incluses, exemples</w:t>
            </w:r>
          </w:p>
        </w:tc>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Évolutions facturables, exemples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Ajout d'un champ, d'une colonne, d'un filtre ou d'un tri sur un écran existant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Nouveau module ou nouvel écran complet, par exemple la paie ou la gestion des stocks</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 état ou nouvel export construit à partir des données existantes</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avec un système externe : banque, opérateur de paiement mobile, logiciel tiers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d'une règle d'alerte, d'un seuil, d'un niveau ou d'un montant dans un circuit d'approbation</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Ajout d'une société au périmètre avec reprise de son historique</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profil utilisateur, d'une activité, d'un centre de coût, d'une route tarifée</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Refonte d'un parcours de saisie ou d'un tableau de bord complet</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Adaptation d'une maquette d'impression ou d'un modèle de document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Changement réglementaire majeur, tel qu'une nouvelle version du référentiel SYSCOHADA</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de la grille de critères ou des pondérations AxisPro au-delà de ce que le cabinet paramètre lui-même</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Montée de version majeure du noyau, formation complémentaire</w:t>
            </w:r>
          </w:p>
        </w:tc>
      </w:tr>
    </w:tbl>
    <w:p>
      <w:pPr>
        <w:spacing w:after="160"/>
      </w:pPr>
    </w:p>
    <w:p>
      <w:pPr>
        <w:spacing w:after="140" w:before="0"/>
      </w:pPr>
      <w:r>
        <w:rPr>
          <w:rFonts w:ascii="Calibri" w:cs="Calibri" w:eastAsia="Calibri" w:hAnsi="Calibri"/>
          <w:sz w:val="22"/>
          <w:szCs w:val="22"/>
        </w:rPr>
        <w:t xml:space="preserve">Procédure :</w:t>
      </w:r>
    </w:p>
    <w:p>
      <w:pPr>
        <w:pStyle w:val="ListParagraph"/>
        <w:numPr>
          <w:ilvl w:val="0"/>
          <w:numId w:val="2"/>
        </w:numPr>
        <w:spacing w:after="80"/>
      </w:pPr>
      <w:r>
        <w:rPr>
          <w:rFonts w:ascii="Calibri" w:cs="Calibri" w:eastAsia="Calibri" w:hAnsi="Calibri"/>
          <w:sz w:val="22"/>
          <w:szCs w:val="22"/>
        </w:rPr>
        <w:t xml:space="preserve">Le client dépose sa demande dans l'espace partagé de suivi.</w:t>
      </w:r>
    </w:p>
    <w:p>
      <w:pPr>
        <w:pStyle w:val="ListParagraph"/>
        <w:numPr>
          <w:ilvl w:val="0"/>
          <w:numId w:val="2"/>
        </w:numPr>
        <w:spacing w:after="80"/>
      </w:pPr>
      <w:r>
        <w:rPr>
          <w:rFonts w:ascii="Calibri" w:cs="Calibri" w:eastAsia="Calibri" w:hAnsi="Calibri"/>
          <w:sz w:val="22"/>
          <w:szCs w:val="22"/>
        </w:rPr>
        <w:t xml:space="preserve">E-VOLUTION XP qualifie la demande par écrit sous 2 jours ouvrés : incluse ou facturable, charge estimée, date de livraison proposée.</w:t>
      </w:r>
    </w:p>
    <w:p>
      <w:pPr>
        <w:pStyle w:val="ListParagraph"/>
        <w:numPr>
          <w:ilvl w:val="0"/>
          <w:numId w:val="2"/>
        </w:numPr>
        <w:spacing w:after="80"/>
      </w:pPr>
      <w:r>
        <w:rPr>
          <w:rFonts w:ascii="Calibri" w:cs="Calibri" w:eastAsia="Calibri" w:hAnsi="Calibri"/>
          <w:sz w:val="22"/>
          <w:szCs w:val="22"/>
        </w:rPr>
        <w:t xml:space="preserve">Une évolution incluse est imputée sur le crédit du trimestre, livrée en recette puis en production. Un décompte du crédit consommé et restant est communiqué chaque trimestre.</w:t>
      </w:r>
    </w:p>
    <w:p>
      <w:pPr>
        <w:pStyle w:val="ListParagraph"/>
        <w:numPr>
          <w:ilvl w:val="0"/>
          <w:numId w:val="2"/>
        </w:numPr>
        <w:spacing w:after="80"/>
      </w:pPr>
      <w:r>
        <w:rPr>
          <w:rFonts w:ascii="Calibri" w:cs="Calibri" w:eastAsia="Calibri" w:hAnsi="Calibri"/>
          <w:sz w:val="22"/>
          <w:szCs w:val="22"/>
        </w:rPr>
        <w:t xml:space="preserve">Une évolution facturable fait l'objet d'un devis au tarif de 750 000 GNF HT par jour-homme, tarif ferme pendant les deux premières années. Elle n'est engagée qu'après accord écrit du client.</w:t>
      </w:r>
    </w:p>
    <w:p>
      <w:pPr>
        <w:pStyle w:val="ListParagraph"/>
        <w:numPr>
          <w:ilvl w:val="0"/>
          <w:numId w:val="2"/>
        </w:numPr>
        <w:spacing w:after="80"/>
      </w:pPr>
      <w:r>
        <w:rPr>
          <w:rFonts w:ascii="Calibri" w:cs="Calibri" w:eastAsia="Calibri" w:hAnsi="Calibri"/>
          <w:sz w:val="22"/>
          <w:szCs w:val="22"/>
        </w:rPr>
        <w:t xml:space="preserve">En cas de désaccord sur la qualification, le point est arbitré au comité de suivi ; à défaut d'accord, une demande dont la charge estimée ne dépasse pas le seuil est traitée comme incluse.</w:t>
      </w:r>
    </w:p>
    <w:p>
      <w:pPr>
        <w:pStyle w:val="Heading2"/>
        <w:spacing w:after="120" w:before="280"/>
      </w:pPr>
      <w:r>
        <w:rPr>
          <w:rFonts w:ascii="Calibri" w:cs="Calibri" w:eastAsia="Calibri" w:hAnsi="Calibri"/>
          <w:b/>
          <w:bCs/>
          <w:color w:val="1C1E6B"/>
          <w:sz w:val="26"/>
          <w:szCs w:val="26"/>
        </w:rPr>
        <w:t xml:space="preserve">7.5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 déduction faite des pénalités éventuelles.</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7.6 Engagements contractuels</w:t>
      </w:r>
    </w:p>
    <w:p>
      <w:pPr>
        <w:pStyle w:val="ListParagraph"/>
        <w:numPr>
          <w:ilvl w:val="0"/>
          <w:numId w:val="2"/>
        </w:numPr>
        <w:spacing w:after="80"/>
      </w:pPr>
      <w:r>
        <w:rPr>
          <w:rFonts w:ascii="Calibri" w:cs="Calibri" w:eastAsia="Calibri" w:hAnsi="Calibri"/>
          <w:sz w:val="22"/>
          <w:szCs w:val="22"/>
        </w:rPr>
        <w:t xml:space="preserve">Garantie corrective de 6 mois à compter du procès-verbal de mise en production, incluse dans le prix. Elle couvre la correction, sans frais et dans les délais d'intervention du chapitre 7.3, de toute anomalie de la plateforme par rapport au périmètre recetté, y compris les anomalies révélées lors de la clôture de l'exercice, de l'établissement des états financiers annuels et des déclarations fiscales de fin d'exercice. Elle ne couvre pas les évolutions de périmètre ni les erreurs de saisie, qui relèvent respectivement du chapitre 7.4 et du support.</w:t>
      </w:r>
    </w:p>
    <w:p>
      <w:pPr>
        <w:pStyle w:val="ListParagraph"/>
        <w:numPr>
          <w:ilvl w:val="0"/>
          <w:numId w:val="2"/>
        </w:numPr>
        <w:spacing w:after="80"/>
      </w:pPr>
      <w:r>
        <w:rPr>
          <w:rFonts w:ascii="Calibri" w:cs="Calibri" w:eastAsia="Calibri" w:hAnsi="Calibri"/>
          <w:sz w:val="22"/>
          <w:szCs w:val="22"/>
        </w:rPr>
        <w:t xml:space="preserve">Pénalités de retard imputable à E-VOLUTION XP selon le chapitre 6.6 : 0,1 % du montant HT par jour calendaire, plafonnées à 5 %.</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5.4.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30 jours à compter du 29 septembre 2026, soit jusqu'au 29 octobre 2026. La présente révision remplace l'offre OTF-EGUITRA-2026-36 du 15 septembre 2026.</w:t>
      </w:r>
    </w:p>
    <w:p>
      <w:r>
        <w:br w:type="page"/>
      </w:r>
    </w:p>
    <w:p>
      <w:pPr>
        <w:pStyle w:val="Heading1"/>
        <w:spacing w:after="200" w:before="240"/>
      </w:pPr>
      <w:r>
        <w:rPr>
          <w:rFonts w:ascii="Calibri" w:cs="Calibri" w:eastAsia="Calibri" w:hAnsi="Calibri"/>
          <w:b/>
          <w:bCs/>
          <w:color w:val="1C1E6B"/>
          <w:sz w:val="32"/>
          <w:szCs w:val="32"/>
        </w:rPr>
        <w:t xml:space="preserve">8. Annexes</w:t>
      </w:r>
    </w:p>
    <w:p>
      <w:pPr>
        <w:pStyle w:val="Heading2"/>
        <w:spacing w:after="120" w:before="280"/>
      </w:pPr>
      <w:r>
        <w:rPr>
          <w:rFonts w:ascii="Calibri" w:cs="Calibri" w:eastAsia="Calibri" w:hAnsi="Calibri"/>
          <w:b/>
          <w:bCs/>
          <w:color w:val="1C1E6B"/>
          <w:sz w:val="26"/>
          <w:szCs w:val="26"/>
        </w:rPr>
        <w:t xml:space="preserve">8.1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 des transactions</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continu de chaque modification de la base de données, qui permet de la restaurer à un instant donné.</w:t>
            </w:r>
          </w:p>
        </w:tc>
      </w:tr>
    </w:tbl>
    <w:p>
      <w:pPr>
        <w:spacing w:after="160"/>
      </w:pPr>
    </w:p>
    <w:p>
      <w:pPr>
        <w:pStyle w:val="Heading2"/>
        <w:spacing w:after="120" w:before="280"/>
      </w:pPr>
      <w:r>
        <w:rPr>
          <w:rFonts w:ascii="Calibri" w:cs="Calibri" w:eastAsia="Calibri" w:hAnsi="Calibri"/>
          <w:b/>
          <w:bCs/>
          <w:color w:val="1C1E6B"/>
          <w:sz w:val="26"/>
          <w:szCs w:val="26"/>
        </w:rPr>
        <w:t xml:space="preserve">8.2 Signature</w:t>
      </w:r>
    </w:p>
    <w:p>
      <w:pPr>
        <w:spacing w:after="140" w:before="0"/>
      </w:pPr>
      <w:r>
        <w:rPr>
          <w:rFonts w:ascii="Calibri" w:cs="Calibri" w:eastAsia="Calibri" w:hAnsi="Calibri"/>
          <w:sz w:val="22"/>
          <w:szCs w:val="22"/>
        </w:rPr>
        <w:t xml:space="preserve">Pour E-volution Experience</w:t>
      </w:r>
    </w:p>
    <w:p>
      <w:pPr>
        <w:spacing w:after="140" w:before="0"/>
      </w:pPr>
      <w:r>
        <w:rPr>
          <w:rFonts w:ascii="Calibri" w:cs="Calibri" w:eastAsia="Calibri" w:hAnsi="Calibri"/>
          <w:sz w:val="22"/>
          <w:szCs w:val="22"/>
        </w:rPr>
        <w:t xml:space="preserve">Madigbè KOUYATÉ</w:t>
      </w:r>
    </w:p>
    <w:p>
      <w:pPr>
        <w:spacing w:after="140" w:before="0"/>
      </w:pPr>
      <w:r>
        <w:rPr>
          <w:rFonts w:ascii="Calibri" w:cs="Calibri" w:eastAsia="Calibri" w:hAnsi="Calibri"/>
          <w:sz w:val="22"/>
          <w:szCs w:val="22"/>
        </w:rPr>
        <w:t xml:space="preserve">Gérant</w:t>
      </w:r>
    </w:p>
    <w:p>
      <w:pPr>
        <w:spacing w:after="140" w:before="0"/>
      </w:pPr>
      <w:r>
        <w:rPr>
          <w:rFonts w:ascii="Calibri" w:cs="Calibri" w:eastAsia="Calibri" w:hAnsi="Calibri"/>
          <w:sz w:val="22"/>
          <w:szCs w:val="22"/>
        </w:rPr>
        <w:t xml:space="preserve">Signature : ________________</w:t>
      </w:r>
    </w:p>
    <w:p>
      <w:pPr>
        <w:spacing w:after="140" w:before="0"/>
      </w:pPr>
      <w:r>
        <w:rPr>
          <w:rFonts w:ascii="Calibri" w:cs="Calibri" w:eastAsia="Calibri" w:hAnsi="Calibri"/>
          <w:sz w:val="22"/>
          <w:szCs w:val="22"/>
        </w:rPr>
        <w:t xml:space="preserve"/>
      </w:r>
    </w:p>
    <w:p>
      <w:pPr>
        <w:spacing w:after="140" w:before="0"/>
      </w:pPr>
      <w:r>
        <w:rPr>
          <w:rFonts w:ascii="Calibri" w:cs="Calibri" w:eastAsia="Calibri" w:hAnsi="Calibri"/>
          <w:sz w:val="22"/>
          <w:szCs w:val="22"/>
        </w:rPr>
        <w:t xml:space="preserve">Pour EGUITRA GROUP SARLU et MB AxisPro Consulting</w:t>
      </w:r>
    </w:p>
    <w:p>
      <w:pPr>
        <w:spacing w:after="140" w:before="0"/>
      </w:pPr>
      <w:r>
        <w:rPr>
          <w:rFonts w:ascii="Calibri" w:cs="Calibri" w:eastAsia="Calibri" w:hAnsi="Calibri"/>
          <w:sz w:val="22"/>
          <w:szCs w:val="22"/>
        </w:rPr>
        <w:t xml:space="preserve">Bon pour accord sur l'offre OTF-EGUITRA-2026-36-R1, d'un montant de 50 000 000 GNF HT</w:t>
      </w:r>
    </w:p>
    <w:p>
      <w:pPr>
        <w:spacing w:after="140" w:before="0"/>
      </w:pPr>
      <w:r>
        <w:rPr>
          <w:rFonts w:ascii="Calibri" w:cs="Calibri" w:eastAsia="Calibri" w:hAnsi="Calibri"/>
          <w:sz w:val="22"/>
          <w:szCs w:val="22"/>
        </w:rPr>
        <w:t xml:space="preserve">Date : ________________</w:t>
      </w:r>
    </w:p>
    <w:p>
      <w:pPr>
        <w:spacing w:after="140" w:before="0"/>
      </w:pPr>
      <w:r>
        <w:rPr>
          <w:rFonts w:ascii="Calibri" w:cs="Calibri" w:eastAsia="Calibri" w:hAnsi="Calibri"/>
          <w:sz w:val="22"/>
          <w:szCs w:val="22"/>
        </w:rPr>
        <w:t xml:space="preserve">Signature et cachet : ________________</w:t>
      </w:r>
    </w:p>
    <w:p>
      <w:pPr>
        <w:spacing w:after="140" w:before="0"/>
      </w:pPr>
      <w:r>
        <w:rPr>
          <w:rFonts w:ascii="Calibri" w:cs="Calibri" w:eastAsia="Calibri" w:hAnsi="Calibri"/>
          <w:sz w:val="22"/>
          <w:szCs w:val="22"/>
        </w:rPr>
        <w:t xml:space="preserve">Mention manuscrite obligatoire :</w:t>
      </w:r>
    </w:p>
    <w:p>
      <w:pPr>
        <w:spacing w:after="140" w:before="0"/>
      </w:pPr>
      <w:r>
        <w:rPr>
          <w:rFonts w:ascii="Calibri" w:cs="Calibri" w:eastAsia="Calibri" w:hAnsi="Calibri"/>
          <w:sz w:val="22"/>
          <w:szCs w:val="22"/>
        </w:rPr>
        <w:t xml:space="preserve">« Lu et approuvé. Bon pour accord »</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OTF-EGUITRA-2026-36-R1,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2"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 révision 1</dc:title>
  <dc:creator>E-VOLUTION XP</dc:creator>
  <cp:lastModifiedBy>Un-named</cp:lastModifiedBy>
  <cp:revision>1</cp:revision>
  <dcterms:created xsi:type="dcterms:W3CDTF">2026-09-29T13:53:40.422Z</dcterms:created>
  <dcterms:modified xsi:type="dcterms:W3CDTF">2026-09-29T13:53:40.422Z</dcterms:modified>
</cp:coreProperties>
</file>

<file path=docProps/custom.xml><?xml version="1.0" encoding="utf-8"?>
<Properties xmlns="http://schemas.openxmlformats.org/officeDocument/2006/custom-properties" xmlns:vt="http://schemas.openxmlformats.org/officeDocument/2006/docPropsVTypes"/>
</file>