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Procès-verbal de recette : EGUITRA Finance et AxisPro Suite</w:t>
      </w:r>
    </w:p>
    <w:p>
      <w:pPr>
        <w:spacing w:after="100"/>
        <w:jc w:val="both"/>
      </w:pPr>
      <w:r>
        <w:rPr>
          <w:rFonts w:ascii="Calibri" w:cs="Calibri" w:eastAsia="Calibri" w:hAnsi="Calibri"/>
          <w:sz w:val="20"/>
          <w:szCs w:val="20"/>
        </w:rPr>
        <w:t xml:space="preserve">Modèle à remplir à la fin de la recette. Les champs « ______ » et les cases vides sont à compléter par les parties ; seules les références de l'offre et du cahier de recette sont préremplies.</w:t>
      </w:r>
    </w:p>
    <w:p>
      <w:pPr>
        <w:keepNext/>
        <w:pBdr>
          <w:bottom w:val="single" w:color="1A9E9E" w:sz="6" w:space="2"/>
        </w:pBdr>
        <w:spacing w:after="100" w:before="280"/>
      </w:pPr>
      <w:r>
        <w:rPr>
          <w:rFonts w:ascii="Calibri" w:cs="Calibri" w:eastAsia="Calibri" w:hAnsi="Calibri"/>
          <w:b/>
          <w:bCs/>
          <w:color w:val="1C1E6B"/>
          <w:sz w:val="26"/>
          <w:szCs w:val="26"/>
        </w:rPr>
        <w:t xml:space="preserve">1. Références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6"/>
        <w:gridCol w:w="7882"/>
      </w:tblGrid>
      <w:tr>
        <w:trPr>
          <w:tblHeader/>
        </w:trPr>
        <w:tc>
          <w:tcPr>
            <w:tcW w:type="dxa" w:w="17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788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Référence</w:t>
            </w:r>
          </w:p>
        </w:tc>
      </w:tr>
      <w:tr>
        <w:tc>
          <w:tcPr>
            <w:tcW w:type="dxa" w:w="17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w:t>
            </w:r>
          </w:p>
        </w:tc>
        <w:tc>
          <w:tcPr>
            <w:tcW w:type="dxa" w:w="78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OTF-EGUITRA-2026-37 du 29 septembre 2026, acceptée le ______</w:t>
            </w:r>
          </w:p>
        </w:tc>
      </w:tr>
      <w:tr>
        <w:tc>
          <w:tcPr>
            <w:tcW w:type="dxa" w:w="17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Recette</w:t>
            </w:r>
          </w:p>
        </w:tc>
        <w:tc>
          <w:tcPr>
            <w:tcW w:type="dxa" w:w="788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chapitre 6.4 : cahier de recette rédigé avec les équipes du client, recette en semaine 4 sur ses données</w:t>
            </w:r>
          </w:p>
        </w:tc>
      </w:tr>
      <w:tr>
        <w:tc>
          <w:tcPr>
            <w:tcW w:type="dxa" w:w="17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Paiement</w:t>
            </w:r>
          </w:p>
        </w:tc>
        <w:tc>
          <w:tcPr>
            <w:tcW w:type="dxa" w:w="78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chapitre 8.3 : 30 % du montant HT à la recette, soit 15 000 000 GNF HT</w:t>
            </w:r>
          </w:p>
        </w:tc>
      </w:tr>
      <w:tr>
        <w:tc>
          <w:tcPr>
            <w:tcW w:type="dxa" w:w="17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Cahier de recette</w:t>
            </w:r>
          </w:p>
        </w:tc>
        <w:tc>
          <w:tcPr>
            <w:tcW w:type="dxa" w:w="788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Cahier_de_recette.xlsx</w:t>
            </w:r>
            <w:r>
              <w:rPr>
                <w:rFonts w:ascii="Calibri" w:cs="Calibri" w:eastAsia="Calibri" w:hAnsi="Calibri"/>
                <w:sz w:val="17"/>
                <w:szCs w:val="17"/>
              </w:rPr>
              <w:t xml:space="preserve">, version du ______</w:t>
            </w:r>
          </w:p>
        </w:tc>
      </w:tr>
      <w:tr>
        <w:tc>
          <w:tcPr>
            <w:tcW w:type="dxa" w:w="17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Environnement</w:t>
            </w:r>
          </w:p>
        </w:tc>
        <w:tc>
          <w:tcPr>
            <w:tcW w:type="dxa" w:w="78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recette ; adresse : ______ ; version installée : ______</w:t>
            </w:r>
          </w:p>
        </w:tc>
      </w:tr>
      <w:tr>
        <w:tc>
          <w:tcPr>
            <w:tcW w:type="dxa" w:w="17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Données utilisées</w:t>
            </w:r>
          </w:p>
        </w:tc>
        <w:tc>
          <w:tcPr>
            <w:tcW w:type="dxa" w:w="788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(classeur 2026 arrêté au ______)</w:t>
            </w:r>
          </w:p>
        </w:tc>
      </w:tr>
      <w:tr>
        <w:tc>
          <w:tcPr>
            <w:tcW w:type="dxa" w:w="17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Période de recette</w:t>
            </w:r>
          </w:p>
        </w:tc>
        <w:tc>
          <w:tcPr>
            <w:tcW w:type="dxa" w:w="78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du ______ au ______</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2.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7"/>
      </w:tblGrid>
      <w:tr>
        <w:trPr>
          <w:tblHeader/>
        </w:trPr>
        <w:tc>
          <w:tcPr>
            <w:tcW w:type="dxa" w:w="182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3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Prestataire</w:t>
            </w:r>
          </w:p>
        </w:tc>
        <w:tc>
          <w:tcPr>
            <w:tcW w:type="dxa" w:w="3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Client</w:t>
            </w:r>
          </w:p>
        </w:tc>
      </w:tr>
      <w:tr>
        <w:tc>
          <w:tcPr>
            <w:tcW w:type="dxa" w:w="182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E-VOLUTION XP</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 et MB AxisPro Consulting</w:t>
            </w:r>
          </w:p>
        </w:tc>
      </w:tr>
      <w:tr>
        <w:tc>
          <w:tcPr>
            <w:tcW w:type="dxa" w:w="182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Représentée par</w:t>
            </w:r>
          </w:p>
        </w:tc>
        <w:tc>
          <w:tcPr>
            <w:tcW w:type="dxa" w:w="3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c>
          <w:tcPr>
            <w:tcW w:type="dxa" w:w="3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 Mohamed Nimaga, Directeur Général</w:t>
            </w:r>
          </w:p>
        </w:tc>
      </w:tr>
      <w:tr>
        <w:tc>
          <w:tcPr>
            <w:tcW w:type="dxa" w:w="182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Coordonnées</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+224 628 86 22 55, emkouyate@e-volutionxp.com</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spacing w:after="100"/>
        <w:jc w:val="both"/>
      </w:pPr>
      <w:r>
        <w:rPr>
          <w:rFonts w:ascii="Calibri" w:cs="Calibri" w:eastAsia="Calibri" w:hAnsi="Calibri"/>
          <w:sz w:val="20"/>
          <w:szCs w:val="20"/>
        </w:rPr>
        <w:t xml:space="preserve">Référents présents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2356"/>
        <w:gridCol w:w="2356"/>
        <w:gridCol w:w="2356"/>
      </w:tblGrid>
      <w:tr>
        <w:trPr>
          <w:tblHeader/>
        </w:trPr>
        <w:tc>
          <w:tcPr>
            <w:tcW w:type="dxa" w:w="257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Nom</w:t>
            </w:r>
          </w:p>
        </w:tc>
        <w:tc>
          <w:tcPr>
            <w:tcW w:type="dxa" w:w="23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Fonction</w:t>
            </w:r>
          </w:p>
        </w:tc>
        <w:tc>
          <w:tcPr>
            <w:tcW w:type="dxa" w:w="23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w:t>
            </w:r>
          </w:p>
        </w:tc>
        <w:tc>
          <w:tcPr>
            <w:tcW w:type="dxa" w:w="23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Domaine recetté</w:t>
            </w:r>
          </w:p>
        </w:tc>
      </w:tr>
      <w:tr>
        <w:tc>
          <w:tcPr>
            <w:tcW w:type="dxa" w:w="257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7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57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7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257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257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3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3. Objet</w:t>
      </w:r>
    </w:p>
    <w:p>
      <w:pPr>
        <w:spacing w:after="100"/>
        <w:jc w:val="both"/>
      </w:pPr>
      <w:r>
        <w:rPr>
          <w:rFonts w:ascii="Calibri" w:cs="Calibri" w:eastAsia="Calibri" w:hAnsi="Calibri"/>
          <w:sz w:val="20"/>
          <w:szCs w:val="20"/>
        </w:rPr>
        <w:t xml:space="preserve">Les parties constatent le résultat de la recette de la plateforme décrite aux chapitres 3 et 4 de l'offre, jouée sur l'environnement de recette selon le cahier de recette. La recette porte sur le périmètre de l'offre. Les ajouts réalisés hors de ce périmètre (dossier de conception, point 2) n'en font pas partie, sauf accord écrit des parties.</w:t>
      </w:r>
    </w:p>
    <w:p>
      <w:pPr>
        <w:keepNext/>
        <w:pBdr>
          <w:bottom w:val="single" w:color="1A9E9E" w:sz="6" w:space="2"/>
        </w:pBdr>
        <w:spacing w:after="100" w:before="280"/>
      </w:pPr>
      <w:r>
        <w:rPr>
          <w:rFonts w:ascii="Calibri" w:cs="Calibri" w:eastAsia="Calibri" w:hAnsi="Calibri"/>
          <w:b/>
          <w:bCs/>
          <w:color w:val="1C1E6B"/>
          <w:sz w:val="26"/>
          <w:szCs w:val="26"/>
        </w:rPr>
        <w:t xml:space="preserve">4. Synthèse du cahier de recette</w:t>
      </w:r>
    </w:p>
    <w:p>
      <w:pPr>
        <w:spacing w:after="100"/>
        <w:jc w:val="both"/>
      </w:pPr>
      <w:r>
        <w:rPr>
          <w:rFonts w:ascii="Calibri" w:cs="Calibri" w:eastAsia="Calibri" w:hAnsi="Calibri"/>
          <w:sz w:val="20"/>
          <w:szCs w:val="20"/>
        </w:rPr>
        <w:t xml:space="preserve">Reporter les nombres de l'onglet Synthèse du cahier. Statuts : OK, KO, ou Réserve (écart accepté, inscrit au point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1020"/>
        <w:gridCol w:w="794"/>
        <w:gridCol w:w="907"/>
        <w:gridCol w:w="794"/>
        <w:gridCol w:w="1020"/>
      </w:tblGrid>
      <w:tr>
        <w:trPr>
          <w:tblHeader/>
        </w:trPr>
        <w:tc>
          <w:tcPr>
            <w:tcW w:type="dxa" w:w="5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453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Attente ou domaine</w:t>
            </w:r>
          </w:p>
        </w:tc>
        <w:tc>
          <w:tcPr>
            <w:tcW w:type="dxa" w:w="10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7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OK</w:t>
            </w:r>
          </w:p>
        </w:tc>
        <w:tc>
          <w:tcPr>
            <w:tcW w:type="dxa" w:w="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Réserve</w:t>
            </w:r>
          </w:p>
        </w:tc>
        <w:tc>
          <w:tcPr>
            <w:tcW w:type="dxa" w:w="7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KO</w:t>
            </w:r>
          </w:p>
        </w:tc>
        <w:tc>
          <w:tcPr>
            <w:tcW w:type="dxa" w:w="10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Visibilité temps réel : CA, résultat, trésorerie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Vue consolidée, multi-sociétés, décomposable</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SYSCOHADA révisé</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Analytique par centre de coût, chantier, activité</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 et rapprochement bancaire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 et amortissements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Budget, écarts réalisé et prévisionnel</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clients et fournisseurs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 TVA, déclarations</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engagements et paiements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Coûts et rentabilité transport</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 avancement, retenues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 locative et patrimoine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Traçabilité, piste d'audit</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Sécurité des accès par profil</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Disponibilité et sauvegardes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Interface simple et formation</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Support et accompagnement</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Solution évolutive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AxisPro Suite et portail des porteurs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80</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L'attente 20 (tarification claire) se vérifie sur l'offre, sans scénario.</w:t>
      </w:r>
    </w:p>
    <w:p>
      <w:pPr>
        <w:keepNext/>
        <w:pBdr>
          <w:bottom w:val="single" w:color="1A9E9E" w:sz="6" w:space="2"/>
        </w:pBdr>
        <w:spacing w:after="100" w:before="280"/>
      </w:pPr>
      <w:r>
        <w:rPr>
          <w:rFonts w:ascii="Calibri" w:cs="Calibri" w:eastAsia="Calibri" w:hAnsi="Calibri"/>
          <w:b/>
          <w:bCs/>
          <w:color w:val="1C1E6B"/>
          <w:sz w:val="26"/>
          <w:szCs w:val="26"/>
        </w:rPr>
        <w:t xml:space="preserve">5. Réserves</w:t>
      </w:r>
    </w:p>
    <w:p>
      <w:pPr>
        <w:spacing w:after="100"/>
        <w:jc w:val="both"/>
      </w:pPr>
      <w:r>
        <w:rPr>
          <w:rFonts w:ascii="Calibri" w:cs="Calibri" w:eastAsia="Calibri" w:hAnsi="Calibri"/>
          <w:sz w:val="20"/>
          <w:szCs w:val="20"/>
        </w:rPr>
        <w:t xml:space="preserve">Gravités et délais de la procédure de support (offre, chapitre 7.2)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4"/>
        <w:gridCol w:w="5052"/>
        <w:gridCol w:w="3342"/>
      </w:tblGrid>
      <w:tr>
        <w:trPr>
          <w:tblHeader/>
        </w:trPr>
        <w:tc>
          <w:tcPr>
            <w:tcW w:type="dxa" w:w="124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c>
          <w:tcPr>
            <w:tcW w:type="dxa" w:w="505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Définition</w:t>
            </w:r>
          </w:p>
        </w:tc>
        <w:tc>
          <w:tcPr>
            <w:tcW w:type="dxa" w:w="334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Résolution ou contournement</w:t>
            </w:r>
          </w:p>
        </w:tc>
      </w:tr>
      <w:tr>
        <w:tc>
          <w:tcPr>
            <w:tcW w:type="dxa" w:w="12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Bloquante</w:t>
            </w:r>
          </w:p>
        </w:tc>
        <w:tc>
          <w:tcPr>
            <w:tcW w:type="dxa" w:w="5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Application inaccessible ou saisie impossible pour tous</w:t>
            </w:r>
          </w:p>
        </w:tc>
        <w:tc>
          <w:tcPr>
            <w:tcW w:type="dxa" w:w="33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8 heures ouvrées</w:t>
            </w:r>
          </w:p>
        </w:tc>
      </w:tr>
      <w:tr>
        <w:tc>
          <w:tcPr>
            <w:tcW w:type="dxa" w:w="12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Majeure</w:t>
            </w:r>
          </w:p>
        </w:tc>
        <w:tc>
          <w:tcPr>
            <w:tcW w:type="dxa" w:w="505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Fonction essentielle indisponible pour un profil</w:t>
            </w:r>
          </w:p>
        </w:tc>
        <w:tc>
          <w:tcPr>
            <w:tcW w:type="dxa" w:w="334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 jours ouvrés</w:t>
            </w:r>
          </w:p>
        </w:tc>
      </w:tr>
      <w:tr>
        <w:tc>
          <w:tcPr>
            <w:tcW w:type="dxa" w:w="12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Mineure</w:t>
            </w:r>
          </w:p>
        </w:tc>
        <w:tc>
          <w:tcPr>
            <w:tcW w:type="dxa" w:w="505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Gêne sans blocage</w:t>
            </w:r>
          </w:p>
        </w:tc>
        <w:tc>
          <w:tcPr>
            <w:tcW w:type="dxa" w:w="334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prochaine livraison planifiée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3"/>
        <w:gridCol w:w="1025"/>
        <w:gridCol w:w="4101"/>
        <w:gridCol w:w="1230"/>
        <w:gridCol w:w="1333"/>
        <w:gridCol w:w="1435"/>
      </w:tblGrid>
      <w:tr>
        <w:trPr>
          <w:tblHeader/>
        </w:trPr>
        <w:tc>
          <w:tcPr>
            <w:tcW w:type="dxa" w:w="51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02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w:t>
            </w:r>
          </w:p>
        </w:tc>
        <w:tc>
          <w:tcPr>
            <w:tcW w:type="dxa" w:w="410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Description de l'écart</w:t>
            </w:r>
          </w:p>
        </w:tc>
        <w:tc>
          <w:tcPr>
            <w:tcW w:type="dxa" w:w="123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c>
          <w:tcPr>
            <w:tcW w:type="dxa" w:w="133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Délai de levée</w:t>
            </w:r>
          </w:p>
        </w:tc>
        <w:tc>
          <w:tcPr>
            <w:tcW w:type="dxa" w:w="14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Levée le, visa</w:t>
            </w:r>
          </w:p>
        </w:tc>
      </w:tr>
      <w:tr>
        <w:tc>
          <w:tcPr>
            <w:tcW w:type="dxa" w:w="51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02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02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02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02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02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02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102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1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102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410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3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3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4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Nombre de réserves : ______ (bloquantes : ______, majeures : ______, mineures : ______).</w:t>
      </w:r>
    </w:p>
    <w:p>
      <w:pPr>
        <w:keepNext/>
        <w:pBdr>
          <w:bottom w:val="single" w:color="1A9E9E" w:sz="6" w:space="2"/>
        </w:pBdr>
        <w:spacing w:after="100" w:before="280"/>
      </w:pPr>
      <w:r>
        <w:rPr>
          <w:rFonts w:ascii="Calibri" w:cs="Calibri" w:eastAsia="Calibri" w:hAnsi="Calibri"/>
          <w:b/>
          <w:bCs/>
          <w:color w:val="1C1E6B"/>
          <w:sz w:val="26"/>
          <w:szCs w:val="26"/>
        </w:rPr>
        <w:t xml:space="preserve">6. Contrôle de la reprise</w:t>
      </w:r>
    </w:p>
    <w:p>
      <w:pPr>
        <w:spacing w:after="100"/>
        <w:jc w:val="both"/>
      </w:pPr>
      <w:r>
        <w:rPr>
          <w:rFonts w:ascii="Calibri" w:cs="Calibri" w:eastAsia="Calibri" w:hAnsi="Calibri"/>
          <w:sz w:val="20"/>
          <w:szCs w:val="20"/>
        </w:rPr>
        <w:t xml:space="preserve">Résultat du contrôle de la reprise en recette (offre, chapitre 6.3), détaillé en annexe : EGUITRA GROUP SARLU ______ / ______ indicateurs conformes ; MB AxisPro Consulting ______ / ______.</w:t>
      </w:r>
    </w:p>
    <w:p>
      <w:pPr>
        <w:keepNext/>
        <w:pBdr>
          <w:bottom w:val="single" w:color="1A9E9E" w:sz="6" w:space="2"/>
        </w:pBdr>
        <w:spacing w:after="100" w:before="280"/>
      </w:pPr>
      <w:r>
        <w:rPr>
          <w:rFonts w:ascii="Calibri" w:cs="Calibri" w:eastAsia="Calibri" w:hAnsi="Calibri"/>
          <w:b/>
          <w:bCs/>
          <w:color w:val="1C1E6B"/>
          <w:sz w:val="26"/>
          <w:szCs w:val="26"/>
        </w:rPr>
        <w:t xml:space="preserve">7. Décision</w:t>
      </w:r>
    </w:p>
    <w:p>
      <w:pPr>
        <w:spacing w:after="100"/>
        <w:jc w:val="both"/>
      </w:pPr>
      <w:r>
        <w:rPr>
          <w:rFonts w:ascii="Calibri" w:cs="Calibri" w:eastAsia="Calibri" w:hAnsi="Calibri"/>
          <w:sz w:val="20"/>
          <w:szCs w:val="20"/>
        </w:rPr>
        <w:t xml:space="preserve">Recette prononcée : sans réserve / avec les réserves du point 5 / ajournée (rayer les mentions inutiles).</w:t>
      </w:r>
    </w:p>
    <w:p>
      <w:pPr>
        <w:spacing w:after="100"/>
        <w:jc w:val="both"/>
      </w:pPr>
      <w:r>
        <w:rPr>
          <w:rFonts w:ascii="Calibri" w:cs="Calibri" w:eastAsia="Calibri" w:hAnsi="Calibri"/>
          <w:sz w:val="20"/>
          <w:szCs w:val="20"/>
        </w:rPr>
        <w:t xml:space="preserve">Si la recette est ajournée : scénarios à rejouer ______ ; nouvelle date ______.</w:t>
      </w:r>
    </w:p>
    <w:p>
      <w:pPr>
        <w:spacing w:after="100"/>
        <w:jc w:val="both"/>
      </w:pPr>
      <w:r>
        <w:rPr>
          <w:rFonts w:ascii="Calibri" w:cs="Calibri" w:eastAsia="Calibri" w:hAnsi="Calibri"/>
          <w:sz w:val="20"/>
          <w:szCs w:val="20"/>
        </w:rPr>
        <w:t xml:space="preserve">La recette prononcée, avec ou sans réserves, ouvre la facturation du deuxième terme de paiement (offre, chapitre 8.3 : 30 %, soit 15 000 000 GNF HT ; TVA et retenues applicables en sus ; règlement à 30 jours date de facture, par virement bancaire).</w:t>
      </w:r>
    </w:p>
    <w:p>
      <w:pPr>
        <w:keepNext/>
        <w:pBdr>
          <w:bottom w:val="single" w:color="1A9E9E" w:sz="6" w:space="2"/>
        </w:pBdr>
        <w:spacing w:after="100" w:before="280"/>
      </w:pPr>
      <w:r>
        <w:rPr>
          <w:rFonts w:ascii="Calibri" w:cs="Calibri" w:eastAsia="Calibri" w:hAnsi="Calibri"/>
          <w:b/>
          <w:bCs/>
          <w:color w:val="1C1E6B"/>
          <w:sz w:val="26"/>
          <w:szCs w:val="26"/>
        </w:rPr>
        <w:t xml:space="preserve">8. 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2"/>
        <w:gridCol w:w="3556"/>
      </w:tblGrid>
      <w:tr>
        <w:trPr>
          <w:tblHeader/>
        </w:trPr>
        <w:tc>
          <w:tcPr>
            <w:tcW w:type="dxa" w:w="608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EGUITRA GROUP SARLU et MB AxisPro Consulting</w:t>
            </w:r>
          </w:p>
        </w:tc>
        <w:tc>
          <w:tcPr>
            <w:tcW w:type="dxa" w:w="35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E-VOLUTION XP</w:t>
            </w:r>
          </w:p>
        </w:tc>
      </w:tr>
      <w:tr>
        <w:tc>
          <w:tcPr>
            <w:tcW w:type="dxa" w:w="60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 Mohamed Nimaga, Directeur Général</w:t>
            </w:r>
          </w:p>
        </w:tc>
        <w:tc>
          <w:tcPr>
            <w:tcW w:type="dxa" w:w="35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r>
      <w:tr>
        <w:tc>
          <w:tcPr>
            <w:tcW w:type="dxa" w:w="608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Fait à ______, le ______</w:t>
            </w:r>
          </w:p>
        </w:tc>
        <w:tc>
          <w:tcPr>
            <w:tcW w:type="dxa" w:w="35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Fait à ______, le ______</w:t>
            </w:r>
          </w:p>
        </w:tc>
      </w:tr>
      <w:tr>
        <w:tc>
          <w:tcPr>
            <w:tcW w:type="dxa" w:w="60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et cachet :</w:t>
            </w:r>
          </w:p>
        </w:tc>
        <w:tc>
          <w:tcPr>
            <w:tcW w:type="dxa" w:w="35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Annexe. Contrôle de la reprise « n/26 »</w:t>
      </w:r>
    </w:p>
    <w:p>
      <w:pPr>
        <w:spacing w:after="100"/>
        <w:jc w:val="both"/>
      </w:pPr>
      <w:r>
        <w:rPr>
          <w:rFonts w:ascii="Calibri" w:cs="Calibri" w:eastAsia="Calibri" w:hAnsi="Calibri"/>
          <w:sz w:val="20"/>
          <w:szCs w:val="20"/>
        </w:rPr>
        <w:t xml:space="preserve">Source : Finance &gt; Clôtures et contrôles &gt; Validation de la reprise, en recette (export Excel à joindre). La plateforme recalcule les valeurs de référence du classeur avec les définitions du classeur ; tolérance de 10 GNF sur les montants, aucune sur les nombres (rotations, litres, kilomètres). Méthode : </w:t>
      </w:r>
      <w:r>
        <w:rPr>
          <w:rFonts w:ascii="Consolas" w:cs="Consolas" w:eastAsia="Consolas" w:hAnsi="Consolas"/>
          <w:color w:val="333333"/>
          <w:sz w:val="18"/>
          <w:szCs w:val="18"/>
        </w:rPr>
        <w:t xml:space="preserve">scripts/reprise/README.md</w:t>
      </w:r>
      <w:r>
        <w:rPr>
          <w:rFonts w:ascii="Calibri" w:cs="Calibri" w:eastAsia="Calibri" w:hAnsi="Calibri"/>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012"/>
        <w:gridCol w:w="3012"/>
      </w:tblGrid>
      <w:tr>
        <w:trPr>
          <w:tblHeader/>
        </w:trPr>
        <w:tc>
          <w:tcPr>
            <w:tcW w:type="dxa" w:w="361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3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EGUITRA GROUP SARLU</w:t>
            </w:r>
          </w:p>
        </w:tc>
        <w:tc>
          <w:tcPr>
            <w:tcW w:type="dxa" w:w="3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MB AxisPro Consulting</w:t>
            </w: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Source des valeurs de référence</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d'arrêté</w:t>
            </w: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Convention d'amortissement retenue (plateforme, fin de plan, prototype)</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Contrôle fait le (date et heure)</w:t>
            </w: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 conformes / indicateurs chargés</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Pour chaque indicateur, inscrire « oui » s'il est conforme, sinon l'écart relatif ; « sans objet » si la valeur de référence n'existe pas pour la société.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217"/>
        <w:gridCol w:w="2410"/>
        <w:gridCol w:w="2410"/>
      </w:tblGrid>
      <w:tr>
        <w:trPr>
          <w:tblHeader/>
        </w:trPr>
        <w:tc>
          <w:tcPr>
            <w:tcW w:type="dxa" w:w="60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421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Indicateur</w:t>
            </w:r>
          </w:p>
        </w:tc>
        <w:tc>
          <w:tcPr>
            <w:tcW w:type="dxa" w:w="241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EGUITRA GROUP SARLU</w:t>
            </w:r>
          </w:p>
        </w:tc>
        <w:tc>
          <w:tcPr>
            <w:tcW w:type="dxa" w:w="241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MB AxisPro Consulting</w:t>
            </w: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 débit = total crédit</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Produits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Charges d'exploitation</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EBITDA</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Dotations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d'exploitation</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Charges financières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net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Stocks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Créances clients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dont créances échues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Dettes fournisseurs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dont dettes échues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Chiffre d'affaires TTC</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Achats TTC</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Chiffre d'affaires transport</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Coûts directs du transport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20</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 non facturées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Volume transporté (L)</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Kilomètres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 actif</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 passif</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Capitaux propres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 crédit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Validé par le responsable financier (offre, chapitre 6.3) : nom ______, date ______, signature ______.</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Procès-verbal de recette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Procès-verbal de recette EGUITRA Finance et AxisPro Suite</dc:title>
  <dc:creator>E-VOLUTION XP</dc:creator>
  <cp:lastModifiedBy>Un-named</cp:lastModifiedBy>
  <cp:revision>1</cp:revision>
  <dcterms:created xsi:type="dcterms:W3CDTF">2026-10-25T14:31:30.362Z</dcterms:created>
  <dcterms:modified xsi:type="dcterms:W3CDTF">2026-10-25T14:31:30.363Z</dcterms:modified>
</cp:coreProperties>
</file>

<file path=docProps/custom.xml><?xml version="1.0" encoding="utf-8"?>
<Properties xmlns="http://schemas.openxmlformats.org/officeDocument/2006/custom-properties" xmlns:vt="http://schemas.openxmlformats.org/officeDocument/2006/docPropsVTypes"/>
</file>