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Guide des achats et des contrats</w:t>
      </w:r>
    </w:p>
    <w:p>
      <w:pPr>
        <w:keepNext/>
        <w:pBdr>
          <w:bottom w:val="single" w:color="1A9E9E" w:sz="6" w:space="2"/>
        </w:pBdr>
        <w:spacing w:after="100" w:before="280"/>
      </w:pPr>
      <w:r>
        <w:rPr>
          <w:rFonts w:ascii="Calibri" w:cs="Calibri" w:eastAsia="Calibri" w:hAnsi="Calibri"/>
          <w:b/>
          <w:bCs/>
          <w:color w:val="1C1E6B"/>
          <w:sz w:val="26"/>
          <w:szCs w:val="26"/>
        </w:rPr>
        <w:t xml:space="preserve">Pour tous : se connecter</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Ouvrir l'adresse de l'application (EGUITRA Finance, AxisPro Suite ou le portail) dans un navigateur récent.</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Saisir l'identifiant et le mot de passe remis par l'administrateur.</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Première connexion : activer la double authentification (installer une application d'authentification sur le téléphone, Google Authenticator, Microsoft Authenticator ou FreeOTP, scanner le code affiché et saisir le code à 6 chiffres), puis remplacer le mot de passe provisoire par un mot de passe personnel d'au moins 10 caractères.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Connexions suivantes : identifiant, mot de passe, puis le code à 6 chiffres du téléphone.</w:t>
      </w:r>
    </w:p>
    <w:p>
      <w:pPr>
        <w:spacing w:after="100"/>
        <w:jc w:val="both"/>
      </w:pPr>
      <w:r>
        <w:rPr>
          <w:rFonts w:ascii="Calibri" w:cs="Calibri" w:eastAsia="Calibri" w:hAnsi="Calibri"/>
          <w:sz w:val="20"/>
          <w:szCs w:val="20"/>
        </w:rPr>
        <w:t xml:space="preserve">Deux sociétés, un seul compte : si votre compte est ouvert à EGUITRA GROUP SARLU et à MB AxisPro Consulting, choisissez la société de travail avec le sélecteur en haut de l'écran ; l'écran se recharge sur les données de cette société. Les comptabilités restent séparées. La direction et la finance disposent aussi de la vue « Groupe consolidé » qui réunit les deux.</w:t>
      </w:r>
    </w:p>
    <w:p>
      <w:pPr>
        <w:spacing w:after="100"/>
        <w:jc w:val="both"/>
      </w:pPr>
      <w:r>
        <w:rPr>
          <w:rFonts w:ascii="Calibri" w:cs="Calibri" w:eastAsia="Calibri" w:hAnsi="Calibri"/>
          <w:sz w:val="20"/>
          <w:szCs w:val="20"/>
        </w:rPr>
        <w:t xml:space="preserve">Téléphone perdu ou changé : demander à l'administrateur de réinitialiser la double authentification. Mot de passe oublié : l'administrateur en remet un nouveau, provisoire. Les sessions expirent d'elles-mêmes au bout de quelques heures ; toutes les connexions sont journalisées.</w:t>
      </w:r>
    </w:p>
    <w:p>
      <w:pPr>
        <w:keepNext/>
        <w:pBdr>
          <w:bottom w:val="single" w:color="1A9E9E" w:sz="6" w:space="2"/>
        </w:pBdr>
        <w:spacing w:after="100" w:before="280"/>
      </w:pPr>
      <w:r>
        <w:rPr>
          <w:rFonts w:ascii="Calibri" w:cs="Calibri" w:eastAsia="Calibri" w:hAnsi="Calibri"/>
          <w:b/>
          <w:bCs/>
          <w:color w:val="1C1E6B"/>
          <w:sz w:val="26"/>
          <w:szCs w:val="26"/>
        </w:rPr>
        <w:t xml:space="preserve">Comptes internes : la discussion</w:t>
      </w:r>
    </w:p>
    <w:p>
      <w:pPr>
        <w:spacing w:after="100"/>
        <w:jc w:val="both"/>
      </w:pPr>
      <w:r>
        <w:rPr>
          <w:rFonts w:ascii="Calibri" w:cs="Calibri" w:eastAsia="Calibri" w:hAnsi="Calibri"/>
          <w:sz w:val="20"/>
          <w:szCs w:val="20"/>
        </w:rPr>
        <w:t xml:space="preserve">Pour échanger entre collègues sans quitter la plateforme (jamais avec les porteurs de projets, qui écrivent à leur consultant depuis le portail).</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L'icône à bulles, en haut de l'écran, ouvre le panneau de discussion ; le chiffre sur l'icône compte les messages non lus. « Pleine page » ouvre la même discussion en grand.</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 Nouvelle » : « À deux » (choisir un collègue) ou « Groupe » (un nom, des collègues). Seuls les collègues qui partagent au moins une société avec vous sont proposés. Le créateur d'un groupe en est le responsable : lui seul y ajoute ou en retire des membres ; chacun peut le quitter.</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Sur une fiche (dossier AxisPro, chantier, rotation, bien), le bouton « Discussion » ouvre la conversation de la fiche, ouverte à tous ceux qui peuvent lire la fiche.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Écrire : Entrée envoie, Maj + Entrée passe à la ligne ; le trombone joint jusqu'à cinq fichiers (PDF, JPEG, PNG, Word .docx ou Excel .xlsx, 20 Mo chacun). « Répondre » cite un message ; « Retirer » efface pour tous un message que vous avez envoyé (« Message retiré » reste affiché).</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Les nouveaux messages arrivent d'eux-mêmes en quelques secondes. Ils ne vous gardent pas connecté : sans geste de votre part, la déconnexion après inactivité s'applique.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Confidentialité : une conversation n'est lue que par ses membres, l'administration comprise.</w:t>
      </w:r>
    </w:p>
    <w:p>
      <w:pPr>
        <w:keepNext/>
        <w:pBdr>
          <w:bottom w:val="single" w:color="1A9E9E" w:sz="6" w:space="2"/>
        </w:pBdr>
        <w:spacing w:after="100" w:before="280"/>
      </w:pPr>
      <w:r>
        <w:rPr>
          <w:rFonts w:ascii="Calibri" w:cs="Calibri" w:eastAsia="Calibri" w:hAnsi="Calibri"/>
          <w:b/>
          <w:bCs/>
          <w:color w:val="1C1E6B"/>
          <w:sz w:val="26"/>
          <w:szCs w:val="26"/>
        </w:rPr>
        <w:t xml:space="preserve">Ce que vous faites</w:t>
      </w:r>
    </w:p>
    <w:p>
      <w:pPr>
        <w:spacing w:after="100"/>
        <w:jc w:val="both"/>
      </w:pPr>
      <w:r>
        <w:rPr>
          <w:rFonts w:ascii="Calibri" w:cs="Calibri" w:eastAsia="Calibri" w:hAnsi="Calibri"/>
          <w:sz w:val="20"/>
          <w:szCs w:val="20"/>
        </w:rPr>
        <w:t xml:space="preserve">Vous engagez les dépenses avant la commande, vous saisissez les factures et les avoirs des fournisseurs avec leurs justificatifs, vous les soumettez au circuit d'approbation et vous suivez leur état ; vous tenez les fiches des fournisseurs. Vous ne choisissez jamais un compte comptable : chaque ligne se saisit par </w:t>
      </w:r>
      <w:r>
        <w:rPr>
          <w:rFonts w:ascii="Calibri" w:cs="Calibri" w:eastAsia="Calibri" w:hAnsi="Calibri"/>
          <w:b/>
          <w:bCs/>
          <w:sz w:val="20"/>
          <w:szCs w:val="20"/>
        </w:rPr>
        <w:t xml:space="preserve">catégorie de dépense</w:t>
      </w:r>
      <w:r>
        <w:rPr>
          <w:rFonts w:ascii="Calibri" w:cs="Calibri" w:eastAsia="Calibri" w:hAnsi="Calibri"/>
          <w:sz w:val="20"/>
          <w:szCs w:val="20"/>
        </w:rPr>
        <w:t xml:space="preserve">, qui fixe le compte, la TVA et, pour un investissement, l'immobilisation. La finance valide, règle, comptabilise et tient le reste (ventes, trésorerie, états, clôtures, fiscalité, pilotage), qui ne vous est pas ouvert.</w:t>
      </w:r>
    </w:p>
    <w:p>
      <w:pPr>
        <w:keepNext/>
        <w:pBdr>
          <w:bottom w:val="single" w:color="1A9E9E" w:sz="6" w:space="2"/>
        </w:pBdr>
        <w:spacing w:after="100" w:before="280"/>
      </w:pPr>
      <w:r>
        <w:rPr>
          <w:rFonts w:ascii="Calibri" w:cs="Calibri" w:eastAsia="Calibri" w:hAnsi="Calibri"/>
          <w:b/>
          <w:bCs/>
          <w:color w:val="1C1E6B"/>
          <w:sz w:val="26"/>
          <w:szCs w:val="26"/>
        </w:rPr>
        <w:t xml:space="preserve">Vos écrans (EGUITRA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4"/>
        <w:gridCol w:w="6454"/>
      </w:tblGrid>
      <w:tr>
        <w:trPr>
          <w:tblHeader/>
        </w:trPr>
        <w:tc>
          <w:tcPr>
            <w:tcW w:type="dxa" w:w="318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Écran</w:t>
            </w:r>
          </w:p>
        </w:tc>
        <w:tc>
          <w:tcPr>
            <w:tcW w:type="dxa" w:w="645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Ce que vous y faites</w:t>
            </w:r>
          </w:p>
        </w:tc>
      </w:tr>
      <w:tr>
        <w:tc>
          <w:tcPr>
            <w:tcW w:type="dxa" w:w="318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Pilotage &gt; Engagements de dépense</w:t>
            </w:r>
          </w:p>
        </w:tc>
        <w:tc>
          <w:tcPr>
            <w:tcW w:type="dxa" w:w="645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Demander l'accord avant de commander, devis joint.</w:t>
            </w:r>
          </w:p>
        </w:tc>
      </w:tr>
      <w:tr>
        <w:tc>
          <w:tcPr>
            <w:tcW w:type="dxa" w:w="318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Comptabilité &gt; Achats et dépenses</w:t>
            </w:r>
          </w:p>
        </w:tc>
        <w:tc>
          <w:tcPr>
            <w:tcW w:type="dxa" w:w="645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Saisir la facture ou l'avoir du fournisseur, joindre la pièce, soumettre. C'est votre écran d'accueil.</w:t>
            </w:r>
          </w:p>
        </w:tc>
      </w:tr>
      <w:tr>
        <w:tc>
          <w:tcPr>
            <w:tcW w:type="dxa" w:w="318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Comptabilité &gt; Fournisseurs</w:t>
            </w:r>
          </w:p>
        </w:tc>
        <w:tc>
          <w:tcPr>
            <w:tcW w:type="dxa" w:w="645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Créer et tenir les fiches des fournisseurs.</w:t>
            </w:r>
          </w:p>
        </w:tc>
      </w:tr>
      <w:tr>
        <w:tc>
          <w:tcPr>
            <w:tcW w:type="dxa" w:w="318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Pilotage &gt; Mes demandes</w:t>
            </w:r>
          </w:p>
        </w:tc>
        <w:tc>
          <w:tcPr>
            <w:tcW w:type="dxa" w:w="645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Suivre vos pièces et engagements soumis : en validation, refusés, approuvés.</w:t>
            </w:r>
          </w:p>
        </w:tc>
      </w:tr>
      <w:tr>
        <w:tc>
          <w:tcPr>
            <w:tcW w:type="dxa" w:w="318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Pilotage &gt; Guide des achats</w:t>
            </w:r>
          </w:p>
        </w:tc>
        <w:tc>
          <w:tcPr>
            <w:tcW w:type="dxa" w:w="645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Ce guide.</w:t>
            </w:r>
          </w:p>
        </w:tc>
      </w:tr>
    </w:tbl>
    <w:p>
      <w:pPr>
        <w:spacing w:after="80"/>
      </w:pPr>
    </w:p>
    <w:p>
      <w:pPr>
        <w:spacing w:after="100"/>
        <w:jc w:val="both"/>
      </w:pPr>
      <w:r>
        <w:rPr>
          <w:rFonts w:ascii="Calibri" w:cs="Calibri" w:eastAsia="Calibri" w:hAnsi="Calibri"/>
          <w:sz w:val="20"/>
          <w:szCs w:val="20"/>
        </w:rPr>
        <w:t xml:space="preserve">Si votre compte est ouvert aux deux sociétés, choisissez d'abord la société de travail dans le sélecteur en haut de l'écran : catégories, fournisseurs proposés et pièces sont ceux de cette société.</w:t>
      </w:r>
    </w:p>
    <w:p>
      <w:pPr>
        <w:keepNext/>
        <w:pBdr>
          <w:bottom w:val="single" w:color="1A9E9E" w:sz="6" w:space="2"/>
        </w:pBdr>
        <w:spacing w:after="100" w:before="280"/>
      </w:pPr>
      <w:r>
        <w:rPr>
          <w:rFonts w:ascii="Calibri" w:cs="Calibri" w:eastAsia="Calibri" w:hAnsi="Calibri"/>
          <w:b/>
          <w:bCs/>
          <w:color w:val="1C1E6B"/>
          <w:sz w:val="26"/>
          <w:szCs w:val="26"/>
        </w:rPr>
        <w:t xml:space="preserve">Avant la commande : l'engagement de dépense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Nouvel engagement » : fournisseur (le choisir dans la liste ou le créer depuis le même champ), objet de la dépense (« Contrat de nettoyage des bureaux, octobre à décembre »), montant hors taxes, catégorie de dépense (elle fixe le compte ; à défaut, la finance le précisera), date de livraison ou d'exécution prévue, justification.</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 Enregistrer en brouillon », puis ouvrir l'engagement et « Joindre le devis » (PDF, JPEG, PNG, Word ou Excel, 20 Mo au plus).</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 Soumettre à l'approbation » : l'engagement part au circuit (la finance, puis la direction au-delà de 50 M GNF). Tant qu'il est en brouillon ou refusé, il se corrige ; soumis ou approuvé, il ne se modifie plus : l'annuler et en créer un autre.</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Approuvé, il devient « Engagé » : vous pouvez commander. Les factures du fournisseur rattachées à l'engagement le consomment ; la colonne « Reste » montre ce qu'il reste à facturer.</w:t>
      </w:r>
    </w:p>
    <w:p>
      <w:pPr>
        <w:spacing w:after="100"/>
        <w:jc w:val="both"/>
      </w:pPr>
      <w:r>
        <w:rPr>
          <w:rFonts w:ascii="Calibri" w:cs="Calibri" w:eastAsia="Calibri" w:hAnsi="Calibri"/>
          <w:sz w:val="20"/>
          <w:szCs w:val="20"/>
        </w:rPr>
        <w:t xml:space="preserve">Seules la finance et la direction soldent un engagement (plus aucune facture ne s'y rattache).</w:t>
      </w:r>
    </w:p>
    <w:p>
      <w:pPr>
        <w:keepNext/>
        <w:pBdr>
          <w:bottom w:val="single" w:color="1A9E9E" w:sz="6" w:space="2"/>
        </w:pBdr>
        <w:spacing w:after="100" w:before="280"/>
      </w:pPr>
      <w:r>
        <w:rPr>
          <w:rFonts w:ascii="Calibri" w:cs="Calibri" w:eastAsia="Calibri" w:hAnsi="Calibri"/>
          <w:b/>
          <w:bCs/>
          <w:color w:val="1C1E6B"/>
          <w:sz w:val="26"/>
          <w:szCs w:val="26"/>
        </w:rPr>
        <w:t xml:space="preserve">À réception de la facture : la pièce d'achat</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Nouvelle pièce d'achat » : fournisseur, date de la pièce, référence du fournisseur (son numéro de facture), contrat ou bon de commande, devise si la facture n'est pas en GNF. L'échéance se calcule selon les conditions du fournisseur.</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Si le fournisseur a un engagement approuvé, il est proposé : le choisir. Dans la limite du reste à engager (avec une tolérance de 5 %), la pièce ne repasse pas par le circuit.</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Une ligne par nature de dépense : désignation, </w:t>
      </w:r>
      <w:r>
        <w:rPr>
          <w:rFonts w:ascii="Calibri" w:cs="Calibri" w:eastAsia="Calibri" w:hAnsi="Calibri"/>
          <w:b/>
          <w:bCs/>
          <w:sz w:val="20"/>
          <w:szCs w:val="20"/>
        </w:rPr>
        <w:t xml:space="preserve">catégorie de dépense</w:t>
      </w:r>
      <w:r>
        <w:rPr>
          <w:rFonts w:ascii="Calibri" w:cs="Calibri" w:eastAsia="Calibri" w:hAnsi="Calibri"/>
          <w:sz w:val="20"/>
          <w:szCs w:val="20"/>
        </w:rPr>
        <w:t xml:space="preserve">, quantité, prix unitaire hors taxes. La TVA de la catégorie s'applique ; la changer seulement si la facture l'exige (taxes d'achat seulement). Sous la ligne, les axes analytiques (activité, centre de coût, chantier, ensemble routier…) : les renseigner quand vous les connaissez ; laissés vides, ils suivent les imputations automatiques.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 Enregistrer en brouillon » ou « Enregistrer et soumettre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Ouvrir la pièce et « Joindre un justificatif » : la facture numérisée (PDF, JPEG, PNG, Word ou Excel, 15 Mo au plus). Une pièce sans justificatif sera renvoyée par la finance.</w:t>
      </w:r>
    </w:p>
    <w:p>
      <w:pPr>
        <w:spacing w:after="100"/>
        <w:jc w:val="both"/>
      </w:pPr>
      <w:r>
        <w:rPr>
          <w:rFonts w:ascii="Calibri" w:cs="Calibri" w:eastAsia="Calibri" w:hAnsi="Calibri"/>
          <w:sz w:val="20"/>
          <w:szCs w:val="20"/>
        </w:rPr>
        <w:t xml:space="preserve">Les salaires, les cotisations sociales et les impôts ne passent pas par vous : leurs catégories ne vous sont pas proposées et la plateforme refuse ces dépenses à votre profil. Une contestation (prix, quantité, livraison) se signale à la finance, qui déclare le litige.</w:t>
      </w:r>
    </w:p>
    <w:p>
      <w:pPr>
        <w:keepNext/>
        <w:pBdr>
          <w:bottom w:val="single" w:color="1A9E9E" w:sz="6" w:space="2"/>
        </w:pBdr>
        <w:spacing w:after="100" w:before="280"/>
      </w:pPr>
      <w:r>
        <w:rPr>
          <w:rFonts w:ascii="Calibri" w:cs="Calibri" w:eastAsia="Calibri" w:hAnsi="Calibri"/>
          <w:b/>
          <w:bCs/>
          <w:color w:val="1C1E6B"/>
          <w:sz w:val="26"/>
          <w:szCs w:val="26"/>
        </w:rPr>
        <w:t xml:space="preserve">Un avoir du fournisseur</w:t>
      </w:r>
    </w:p>
    <w:p>
      <w:pPr>
        <w:spacing w:after="100"/>
        <w:jc w:val="both"/>
      </w:pPr>
      <w:r>
        <w:rPr>
          <w:rFonts w:ascii="Calibri" w:cs="Calibri" w:eastAsia="Calibri" w:hAnsi="Calibri"/>
          <w:sz w:val="20"/>
          <w:szCs w:val="20"/>
        </w:rPr>
        <w:t xml:space="preserve">« Avoir » en tête de l'écran Achats et dépenses : même saisie qu'une pièce d'achat (catégorie de la dépense annulée), référence de l'avoir du fournisseur, justificatif joint, puis soumission.</w:t>
      </w:r>
    </w:p>
    <w:p>
      <w:pPr>
        <w:keepNext/>
        <w:pBdr>
          <w:bottom w:val="single" w:color="1A9E9E" w:sz="6" w:space="2"/>
        </w:pBdr>
        <w:spacing w:after="100" w:before="280"/>
      </w:pPr>
      <w:r>
        <w:rPr>
          <w:rFonts w:ascii="Calibri" w:cs="Calibri" w:eastAsia="Calibri" w:hAnsi="Calibri"/>
          <w:b/>
          <w:bCs/>
          <w:color w:val="1C1E6B"/>
          <w:sz w:val="26"/>
          <w:szCs w:val="26"/>
        </w:rPr>
        <w:t xml:space="preserve">Soumettre, corriger, suivre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 Soumettre au circuit » sur un brouillon : la pièce part à la finance (et à la direction au-delà de 50 M GNF). Elle reste en brouillon, marquée « En validation » avec l'étape en cours ; elle est comptabilisée à la dernière approbation. Une pièce couverte par un engagement approuvé est comptabilisée dès la soumission.</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Refusée : le motif apparaît dans « Mes demandes ». Ouvrir la pièce, « Modifier », corriger, puis « Enregistrer et soumettre ». Toute modification d'une pièce soumise demande une nouvelle soumission : l'approbateur valide toujours ce qu'il voit.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Un brouillon saisi par erreur : « Supprimer le brouillon ». Une pièce déjà comptabilisée ne se supprime pas : demander à la finance de l'annuler ou de passer un avoir.</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États d'une pièce : Brouillon, En validation, Refusée, puis, une fois comptabilisée, Non payée, Partielle ou Payée. Le bouton « PDF » imprime la pièce.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 Mes demandes » : vos pièces et engagements « En validation », « Refusées » et l'ensemble ; un clic montre le circuit, qui a visé, quand, et son commentaire. Vous ne validez rien vous-même.</w:t>
      </w:r>
    </w:p>
    <w:p>
      <w:pPr>
        <w:keepNext/>
        <w:pBdr>
          <w:bottom w:val="single" w:color="1A9E9E" w:sz="6" w:space="2"/>
        </w:pBdr>
        <w:spacing w:after="100" w:before="280"/>
      </w:pPr>
      <w:r>
        <w:rPr>
          <w:rFonts w:ascii="Calibri" w:cs="Calibri" w:eastAsia="Calibri" w:hAnsi="Calibri"/>
          <w:b/>
          <w:bCs/>
          <w:color w:val="1C1E6B"/>
          <w:sz w:val="26"/>
          <w:szCs w:val="26"/>
        </w:rPr>
        <w:t xml:space="preserve">Les fiches des fournisseurs (Comptabilité &gt; Fournisseurs)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 Nouveau fournisseur » : raison sociale, code, NIF, RCCM, secteur, contact, téléphone, courriel, adresse, ville. Vérifier d'abord qu'il n'existe pas déjà (recherche par nom, NIF ou téléphone) : un fournisseur en double fausse le suivi de ses factures.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Un clic ouvre la fiche : coordonnées, conditions de paiement et ses dernières pièces d'achat. « Modifier » met à jour l'identité et les coordonnées.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Les soldes, les encours, les conditions de paiement, les retenues à la source, l'assujettissement à la TVA et les comptes bancaires des fournisseurs sont tenus par la finance : lui transmettre les changements (un nouveau RIB, par exemple, avec le justificatif du fournisseur).</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La fiche d'un tiers qui n'est que client ne se modifie pas depuis votre profil.</w:t>
      </w:r>
    </w:p>
    <w:p>
      <w:pPr>
        <w:keepNext/>
        <w:pBdr>
          <w:bottom w:val="single" w:color="1A9E9E" w:sz="6" w:space="2"/>
        </w:pBdr>
        <w:spacing w:after="100" w:before="280"/>
      </w:pPr>
      <w:r>
        <w:rPr>
          <w:rFonts w:ascii="Calibri" w:cs="Calibri" w:eastAsia="Calibri" w:hAnsi="Calibri"/>
          <w:b/>
          <w:bCs/>
          <w:color w:val="1C1E6B"/>
          <w:sz w:val="26"/>
          <w:szCs w:val="26"/>
        </w:rPr>
        <w:t xml:space="preserve">Ce que fait la finance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Vise ou refuse vos pièces et vos engagements (avec motif), puis comptabilise et règle les fournisseurs depuis la Trésorerie.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Tient les catégories de dépense : une catégorie manquante ou inadaptée se demande à la finance, jamais contournée par une autre catégorie.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Suit le budget : l'engagé et le disponible de chaque ligne budgétaire tiennent compte de vos engagements.</w:t>
      </w:r>
    </w:p>
    <w:p>
      <w:pPr>
        <w:keepNext/>
        <w:pBdr>
          <w:bottom w:val="single" w:color="1A9E9E" w:sz="6" w:space="2"/>
        </w:pBdr>
        <w:spacing w:after="100" w:before="280"/>
      </w:pPr>
      <w:r>
        <w:rPr>
          <w:rFonts w:ascii="Calibri" w:cs="Calibri" w:eastAsia="Calibri" w:hAnsi="Calibri"/>
          <w:b/>
          <w:bCs/>
          <w:color w:val="1C1E6B"/>
          <w:sz w:val="26"/>
          <w:szCs w:val="26"/>
        </w:rPr>
        <w:t xml:space="preserve">Trois règles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Engager avant de commander : une dépense engagée et approuvée ne repasse pas par le circuit à la facture, une dépense non engagée y passe toujours.</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Une pièce, un justificatif : la facture numérisée est jointe à chaque pièce et le devis à chaque engagement.</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La catégorie fait le compte : choisir la catégorie qui décrit la dépense ; en cas de doute, demander à la finance plutôt que d'en prendre une approchante.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E-VOLUTION XP · Guide des achats et des contrats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des achats et des contrats</dc:title>
  <dc:creator>E-VOLUTION XP</dc:creator>
  <cp:lastModifiedBy>Un-named</cp:lastModifiedBy>
  <cp:revision>1</cp:revision>
  <dcterms:created xsi:type="dcterms:W3CDTF">2026-10-26T12:57:53.351Z</dcterms:created>
  <dcterms:modified xsi:type="dcterms:W3CDTF">2026-10-26T12:57:53.353Z</dcterms:modified>
</cp:coreProperties>
</file>

<file path=docProps/custom.xml><?xml version="1.0" encoding="utf-8"?>
<Properties xmlns="http://schemas.openxmlformats.org/officeDocument/2006/custom-properties" xmlns:vt="http://schemas.openxmlformats.org/officeDocument/2006/docPropsVTypes"/>
</file>