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OTF-EGUITRA-2026-01</w:t>
      </w:r>
    </w:p>
    <w:p>
      <w:pPr>
        <w:spacing w:after="40" w:before="0"/>
      </w:pPr>
      <w:r>
        <w:rPr>
          <w:rFonts w:ascii="Calibri" w:cs="Calibri" w:eastAsia="Calibri" w:hAnsi="Calibri"/>
          <w:color w:val="666666"/>
          <w:sz w:val="20"/>
          <w:szCs w:val="20"/>
        </w:rPr>
        <w:t xml:space="preserve">15 septembre 2026, offre valable 60 jours</w:t>
      </w:r>
    </w:p>
    <w:p>
      <w:pPr>
        <w:spacing w:after="40" w:before="0"/>
      </w:pPr>
      <w:r>
        <w:rPr>
          <w:rFonts w:ascii="Calibri" w:cs="Calibri" w:eastAsia="Calibri" w:hAnsi="Calibri"/>
          <w:color w:val="666666"/>
          <w:sz w:val="20"/>
          <w:szCs w:val="20"/>
        </w:rPr>
        <w:t xml:space="preserve">E-VOLUTION XP, Transformation Numérique. Contact : [Téléphone et e-mail E-VOLUTION XP]</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présente deux propositions qui répondent toutes deux à ces deux projets, dans le même délai de 4 semaines et sur le même hébergement.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Approche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indépendantes développées entièrement sur mesure, EGUITRA Finance et AxisPro Suite, déployées sur un même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en totalité, six en partie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 par an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 par an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Notre recommandation est la proposition 1. Pour 12 000 000 GNF de plus, le groupe obtient un noyau comptable utilisé par des dizaines de milliers d'entreprises, le multi-sociétés, le rapprochement bancaire, les circuits d'approbation à plusieurs niveaux et une évolutivité sans nouveau développement. Les deux propositions sont détaillées et chiffrées ; le choix appartient à la direction.</w:t>
      </w:r>
    </w:p>
    <w:p>
      <w:pPr>
        <w:spacing w:after="140" w:before="0"/>
      </w:pPr>
      <w:r>
        <w:rPr>
          <w:rFonts w:ascii="Calibri" w:cs="Calibri" w:eastAsia="Calibri" w:hAnsi="Calibri"/>
          <w:sz w:val="22"/>
          <w:szCs w:val="22"/>
        </w:rPr>
        <w:t xml:space="preserve">Validité de l'offre : 60 jours à compter du 15 septembre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5.1 répond point par point pour chaque proposition.</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dans les deux propositions,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Les deux propositions conservent leurs règles et leur ergonomie, et y ajoutent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Proposition 1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Proposition 2 : deux applications indépendantes</w:t>
      </w:r>
    </w:p>
    <w:p>
      <w:pPr>
        <w:pStyle w:val="Heading2"/>
        <w:spacing w:after="120" w:before="280"/>
      </w:pPr>
      <w:r>
        <w:rPr>
          <w:rFonts w:ascii="Calibri" w:cs="Calibri" w:eastAsia="Calibri" w:hAnsi="Calibri"/>
          <w:b/>
          <w:bCs/>
          <w:color w:val="1C1E6B"/>
          <w:sz w:val="26"/>
          <w:szCs w:val="26"/>
        </w:rPr>
        <w:t xml:space="preserve">4.1 Principe</w:t>
      </w:r>
    </w:p>
    <w:p>
      <w:pPr>
        <w:spacing w:after="140" w:before="0"/>
      </w:pPr>
      <w:r>
        <w:rPr>
          <w:rFonts w:ascii="Calibri" w:cs="Calibri" w:eastAsia="Calibri" w:hAnsi="Calibri"/>
          <w:sz w:val="22"/>
          <w:szCs w:val="22"/>
        </w:rPr>
        <w:t xml:space="preserve">Deux applications web distinctes sont développées entièrement sur mesure par E-VOLUTION XP, chacune avec sa base de données, ses utilisateurs et ses droits. Elles sont déployées sur le même VPS, derrière le même proxy sécurisé, et partagent les mêmes mécanismes de sauvegarde et de supervision. Il n'y a pas de noyau de gestion tiers : chaque fonction est écrite pour vous, à partir des prototypes de la direction.</w:t>
      </w:r>
    </w:p>
    <w:p>
      <w:pPr>
        <w:pStyle w:val="Heading2"/>
        <w:spacing w:after="120" w:before="280"/>
      </w:pPr>
      <w:r>
        <w:rPr>
          <w:rFonts w:ascii="Calibri" w:cs="Calibri" w:eastAsia="Calibri" w:hAnsi="Calibri"/>
          <w:b/>
          <w:bCs/>
          <w:color w:val="1C1E6B"/>
          <w:sz w:val="26"/>
          <w:szCs w:val="26"/>
        </w:rPr>
        <w:t xml:space="preserve">4.2 Application EGUITRA Finance</w:t>
      </w:r>
    </w:p>
    <w:p>
      <w:pPr>
        <w:spacing w:after="140" w:before="0"/>
      </w:pPr>
      <w:r>
        <w:rPr>
          <w:rFonts w:ascii="Calibri" w:cs="Calibri" w:eastAsia="Calibri" w:hAnsi="Calibri"/>
          <w:sz w:val="22"/>
          <w:szCs w:val="22"/>
        </w:rPr>
        <w:t xml:space="preserve">L'application reprend le moteur comptable du prototype de la direction et le transpose en application multi-utilisateurs :</w:t>
      </w:r>
    </w:p>
    <w:p>
      <w:pPr>
        <w:pStyle w:val="ListParagraph"/>
        <w:numPr>
          <w:ilvl w:val="0"/>
          <w:numId w:val="2"/>
        </w:numPr>
        <w:spacing w:after="80"/>
      </w:pPr>
      <w:r>
        <w:rPr>
          <w:rFonts w:ascii="Calibri" w:cs="Calibri" w:eastAsia="Calibri" w:hAnsi="Calibri"/>
          <w:sz w:val="22"/>
          <w:szCs w:val="22"/>
        </w:rPr>
        <w:t xml:space="preserve">Référentiels : plan de comptes SYSCOHADA, activités, centres de coût, tiers, devises, catégories de dépense, types d'opération, comptes de trésorerie.</w:t>
      </w:r>
    </w:p>
    <w:p>
      <w:pPr>
        <w:pStyle w:val="ListParagraph"/>
        <w:numPr>
          <w:ilvl w:val="0"/>
          <w:numId w:val="2"/>
        </w:numPr>
        <w:spacing w:after="80"/>
      </w:pPr>
      <w:r>
        <w:rPr>
          <w:rFonts w:ascii="Calibri" w:cs="Calibri" w:eastAsia="Calibri" w:hAnsi="Calibri"/>
          <w:sz w:val="22"/>
          <w:szCs w:val="22"/>
        </w:rPr>
        <w:t xml:space="preserve">Journaux : ventes, achats et dépenses, trésorerie, rotations de transport, immobilisations, OD. Comptes de contrepartie déduits automatiquement, TVA calculée.</w:t>
      </w:r>
    </w:p>
    <w:p>
      <w:pPr>
        <w:pStyle w:val="ListParagraph"/>
        <w:numPr>
          <w:ilvl w:val="0"/>
          <w:numId w:val="2"/>
        </w:numPr>
        <w:spacing w:after="80"/>
      </w:pPr>
      <w:r>
        <w:rPr>
          <w:rFonts w:ascii="Calibri" w:cs="Calibri" w:eastAsia="Calibri" w:hAnsi="Calibri"/>
          <w:sz w:val="22"/>
          <w:szCs w:val="22"/>
        </w:rPr>
        <w:t xml:space="preserve">Trésorerie : position par compte et devise, virements internes par compte de passage, pointage des opérations rapprochées.</w:t>
      </w:r>
    </w:p>
    <w:p>
      <w:pPr>
        <w:pStyle w:val="ListParagraph"/>
        <w:numPr>
          <w:ilvl w:val="0"/>
          <w:numId w:val="2"/>
        </w:numPr>
        <w:spacing w:after="80"/>
      </w:pPr>
      <w:r>
        <w:rPr>
          <w:rFonts w:ascii="Calibri" w:cs="Calibri" w:eastAsia="Calibri" w:hAnsi="Calibri"/>
          <w:sz w:val="22"/>
          <w:szCs w:val="22"/>
        </w:rPr>
        <w:t xml:space="preserve">Immobilisations : registre, dotations mensuelles générées, cessions.</w:t>
      </w:r>
    </w:p>
    <w:p>
      <w:pPr>
        <w:pStyle w:val="ListParagraph"/>
        <w:numPr>
          <w:ilvl w:val="0"/>
          <w:numId w:val="2"/>
        </w:numPr>
        <w:spacing w:after="80"/>
      </w:pPr>
      <w:r>
        <w:rPr>
          <w:rFonts w:ascii="Calibri" w:cs="Calibri" w:eastAsia="Calibri" w:hAnsi="Calibri"/>
          <w:sz w:val="22"/>
          <w:szCs w:val="22"/>
        </w:rPr>
        <w:t xml:space="preserve">Budget : lignes mensuelles par nature, écarts face au réalisé, seuils d'alerte.</w:t>
      </w:r>
    </w:p>
    <w:p>
      <w:pPr>
        <w:pStyle w:val="ListParagraph"/>
        <w:numPr>
          <w:ilvl w:val="0"/>
          <w:numId w:val="2"/>
        </w:numPr>
        <w:spacing w:after="80"/>
      </w:pPr>
      <w:r>
        <w:rPr>
          <w:rFonts w:ascii="Calibri" w:cs="Calibri" w:eastAsia="Calibri" w:hAnsi="Calibri"/>
          <w:sz w:val="22"/>
          <w:szCs w:val="22"/>
        </w:rPr>
        <w:t xml:space="preserve">Clôtures mensuelles : contrôles bloquants, registre, scellement du dossier par empreinte.</w:t>
      </w:r>
    </w:p>
    <w:p>
      <w:pPr>
        <w:pStyle w:val="ListParagraph"/>
        <w:numPr>
          <w:ilvl w:val="0"/>
          <w:numId w:val="2"/>
        </w:numPr>
        <w:spacing w:after="80"/>
      </w:pPr>
      <w:r>
        <w:rPr>
          <w:rFonts w:ascii="Calibri" w:cs="Calibri" w:eastAsia="Calibri" w:hAnsi="Calibri"/>
          <w:sz w:val="22"/>
          <w:szCs w:val="22"/>
        </w:rPr>
        <w:t xml:space="preserve">États : balance, grand livre, bilan et compte de résultat SYSCOHADA, rapport mensuel de gestion, exports CSV et XLSX.</w:t>
      </w:r>
    </w:p>
    <w:p>
      <w:pPr>
        <w:pStyle w:val="ListParagraph"/>
        <w:numPr>
          <w:ilvl w:val="0"/>
          <w:numId w:val="2"/>
        </w:numPr>
        <w:spacing w:after="80"/>
      </w:pPr>
      <w:r>
        <w:rPr>
          <w:rFonts w:ascii="Calibri" w:cs="Calibri" w:eastAsia="Calibri" w:hAnsi="Calibri"/>
          <w:sz w:val="22"/>
          <w:szCs w:val="22"/>
        </w:rPr>
        <w:t xml:space="preserve">Métiers : rentabilité par camion et par route à partir des rotations ; suivi des chantiers avec situations d'avancement et retenues de garantie ; biens, baux et loyers pour l'immobilier.</w:t>
      </w:r>
    </w:p>
    <w:p>
      <w:pPr>
        <w:pStyle w:val="ListParagraph"/>
        <w:numPr>
          <w:ilvl w:val="0"/>
          <w:numId w:val="2"/>
        </w:numPr>
        <w:spacing w:after="80"/>
      </w:pPr>
      <w:r>
        <w:rPr>
          <w:rFonts w:ascii="Calibri" w:cs="Calibri" w:eastAsia="Calibri" w:hAnsi="Calibri"/>
          <w:sz w:val="22"/>
          <w:szCs w:val="22"/>
        </w:rPr>
        <w:t xml:space="preserve">Tableau de bord du dirigeant, alertes de gestion, dette et DSCR.</w:t>
      </w:r>
    </w:p>
    <w:p>
      <w:pPr>
        <w:pStyle w:val="ListParagraph"/>
        <w:numPr>
          <w:ilvl w:val="0"/>
          <w:numId w:val="2"/>
        </w:numPr>
        <w:spacing w:after="80"/>
      </w:pPr>
      <w:r>
        <w:rPr>
          <w:rFonts w:ascii="Calibri" w:cs="Calibri" w:eastAsia="Calibri" w:hAnsi="Calibri"/>
          <w:sz w:val="22"/>
          <w:szCs w:val="22"/>
        </w:rPr>
        <w:t xml:space="preserve">Utilisateurs, profils, journal des modifications.</w:t>
      </w:r>
    </w:p>
    <w:p>
      <w:pPr>
        <w:pStyle w:val="Heading2"/>
        <w:spacing w:after="120" w:before="280"/>
      </w:pPr>
      <w:r>
        <w:rPr>
          <w:rFonts w:ascii="Calibri" w:cs="Calibri" w:eastAsia="Calibri" w:hAnsi="Calibri"/>
          <w:b/>
          <w:bCs/>
          <w:color w:val="1C1E6B"/>
          <w:sz w:val="26"/>
          <w:szCs w:val="26"/>
        </w:rPr>
        <w:t xml:space="preserve">4.3 Application AxisPro Suite</w:t>
      </w:r>
    </w:p>
    <w:p>
      <w:pPr>
        <w:spacing w:after="140" w:before="0"/>
      </w:pPr>
      <w:r>
        <w:rPr>
          <w:rFonts w:ascii="Calibri" w:cs="Calibri" w:eastAsia="Calibri" w:hAnsi="Calibri"/>
          <w:sz w:val="22"/>
          <w:szCs w:val="22"/>
        </w:rPr>
        <w:t xml:space="preserve">L'application reprend le prototype MB AxisPro avec le même périmètre fonctionnel que dans la proposition 1 : portefeuille de dossiers, fiche projet, saisie guidée par gate, score et knock-outs, gaps prioritaires, data room, revues de comité, rapports PDF et XLSX, politique d'évaluation, portail des porteurs de projets.</w:t>
      </w:r>
    </w:p>
    <w:p>
      <w:pPr>
        <w:pStyle w:val="Heading2"/>
        <w:spacing w:after="120" w:before="280"/>
      </w:pPr>
      <w:r>
        <w:rPr>
          <w:rFonts w:ascii="Calibri" w:cs="Calibri" w:eastAsia="Calibri" w:hAnsi="Calibri"/>
          <w:b/>
          <w:bCs/>
          <w:color w:val="1C1E6B"/>
          <w:sz w:val="26"/>
          <w:szCs w:val="26"/>
        </w:rPr>
        <w:t xml:space="preserve">4.4 Limites à connaître</w:t>
      </w:r>
    </w:p>
    <w:p>
      <w:pPr>
        <w:spacing w:after="140" w:before="0"/>
      </w:pPr>
      <w:r>
        <w:rPr>
          <w:rFonts w:ascii="Calibri" w:cs="Calibri" w:eastAsia="Calibri" w:hAnsi="Calibri"/>
          <w:sz w:val="22"/>
          <w:szCs w:val="22"/>
        </w:rPr>
        <w:t xml:space="preserve">Cette proposition est plus légère et moins coûteuse. Elle comporte des limites que nous préférons énoncer avant la signature :</w:t>
      </w:r>
    </w:p>
    <w:p>
      <w:pPr>
        <w:pStyle w:val="ListParagraph"/>
        <w:numPr>
          <w:ilvl w:val="0"/>
          <w:numId w:val="2"/>
        </w:numPr>
        <w:spacing w:after="80"/>
      </w:pPr>
      <w:r>
        <w:rPr>
          <w:rFonts w:ascii="Calibri" w:cs="Calibri" w:eastAsia="Calibri" w:hAnsi="Calibri"/>
          <w:sz w:val="22"/>
          <w:szCs w:val="22"/>
        </w:rPr>
        <w:t xml:space="preserve">Le moteur comptable est développé pour vous : il n'a pas l'historique d'un noyau utilisé par des dizaines de milliers d'entreprises. La recette avec votre expert-comptable est d'autant plus importante.</w:t>
      </w:r>
    </w:p>
    <w:p>
      <w:pPr>
        <w:pStyle w:val="ListParagraph"/>
        <w:numPr>
          <w:ilvl w:val="0"/>
          <w:numId w:val="2"/>
        </w:numPr>
        <w:spacing w:after="80"/>
      </w:pPr>
      <w:r>
        <w:rPr>
          <w:rFonts w:ascii="Calibri" w:cs="Calibri" w:eastAsia="Calibri" w:hAnsi="Calibri"/>
          <w:sz w:val="22"/>
          <w:szCs w:val="22"/>
        </w:rPr>
        <w:t xml:space="preserve">Pas de multi-sociétés ni de consolidation automatique : la vue groupe se fait par activité, dans une seule entité juridique.</w:t>
      </w:r>
    </w:p>
    <w:p>
      <w:pPr>
        <w:pStyle w:val="ListParagraph"/>
        <w:numPr>
          <w:ilvl w:val="0"/>
          <w:numId w:val="2"/>
        </w:numPr>
        <w:spacing w:after="80"/>
      </w:pPr>
      <w:r>
        <w:rPr>
          <w:rFonts w:ascii="Calibri" w:cs="Calibri" w:eastAsia="Calibri" w:hAnsi="Calibri"/>
          <w:sz w:val="22"/>
          <w:szCs w:val="22"/>
        </w:rPr>
        <w:t xml:space="preserve">Rapprochement bancaire par pointage manuel, sans import de relevés électroniques.</w:t>
      </w:r>
    </w:p>
    <w:p>
      <w:pPr>
        <w:pStyle w:val="ListParagraph"/>
        <w:numPr>
          <w:ilvl w:val="0"/>
          <w:numId w:val="2"/>
        </w:numPr>
        <w:spacing w:after="80"/>
      </w:pPr>
      <w:r>
        <w:rPr>
          <w:rFonts w:ascii="Calibri" w:cs="Calibri" w:eastAsia="Calibri" w:hAnsi="Calibri"/>
          <w:sz w:val="22"/>
          <w:szCs w:val="22"/>
        </w:rPr>
        <w:t xml:space="preserve">Circuit d'approbation à un seul niveau de validation.</w:t>
      </w:r>
    </w:p>
    <w:p>
      <w:pPr>
        <w:pStyle w:val="ListParagraph"/>
        <w:numPr>
          <w:ilvl w:val="0"/>
          <w:numId w:val="2"/>
        </w:numPr>
        <w:spacing w:after="80"/>
      </w:pPr>
      <w:r>
        <w:rPr>
          <w:rFonts w:ascii="Calibri" w:cs="Calibri" w:eastAsia="Calibri" w:hAnsi="Calibri"/>
          <w:sz w:val="22"/>
          <w:szCs w:val="22"/>
        </w:rPr>
        <w:t xml:space="preserve">Chaque nouvelle fonction est un développement : l'évolutivité dépend entièrement du prestataire.</w:t>
      </w:r>
    </w:p>
    <w:p>
      <w:r>
        <w:br w:type="page"/>
      </w:r>
    </w:p>
    <w:p>
      <w:pPr>
        <w:pStyle w:val="Heading1"/>
        <w:spacing w:after="200" w:before="240"/>
      </w:pPr>
      <w:r>
        <w:rPr>
          <w:rFonts w:ascii="Calibri" w:cs="Calibri" w:eastAsia="Calibri" w:hAnsi="Calibri"/>
          <w:b/>
          <w:bCs/>
          <w:color w:val="1C1E6B"/>
          <w:sz w:val="32"/>
          <w:szCs w:val="32"/>
        </w:rPr>
        <w:t xml:space="preserve">5. Comparaison et recommandation</w:t>
      </w:r>
    </w:p>
    <w:p>
      <w:pPr>
        <w:pStyle w:val="Heading2"/>
        <w:spacing w:after="120" w:before="280"/>
      </w:pPr>
      <w:r>
        <w:rPr>
          <w:rFonts w:ascii="Calibri" w:cs="Calibri" w:eastAsia="Calibri" w:hAnsi="Calibri"/>
          <w:b/>
          <w:bCs/>
          <w:color w:val="1C1E6B"/>
          <w:sz w:val="26"/>
          <w:szCs w:val="26"/>
        </w:rPr>
        <w:t xml:space="preserve">5.1 Couverture des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multi-sociétés natif</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par activité, une seule société</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 de comptes du noyau</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moteur développé pour vous</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plans analytiques multi-axes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import des relevés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pointage manuel</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sans relances automatiques</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TVA ; déclarations en option</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plusieurs niveaux et seuils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un niveau</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baux et loyers, sans quittancement automatique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verrouillage par empreinte et journal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journal des modifications et empreinte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ajout de modules sans développement</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chaque évolution est un développement</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bl>
    <w:p>
      <w:pPr>
        <w:spacing w:after="160"/>
      </w:pPr>
    </w:p>
    <w:p>
      <w:pPr>
        <w:pStyle w:val="Heading2"/>
        <w:spacing w:after="120" w:before="280"/>
      </w:pPr>
      <w:r>
        <w:rPr>
          <w:rFonts w:ascii="Calibri" w:cs="Calibri" w:eastAsia="Calibri" w:hAnsi="Calibri"/>
          <w:b/>
          <w:bCs/>
          <w:color w:val="1C1E6B"/>
          <w:sz w:val="26"/>
          <w:szCs w:val="26"/>
        </w:rPr>
        <w:t xml:space="preserve">5.2 Critères de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Critère</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première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annuel à partir de la deuxième année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Robustesse comptable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éprouvé, mis à jour par une communauté mondiale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Moteur écrit pour le groupe, éprouvé par la recette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attentes sur vingt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complètes, six partielles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Évolutivité</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existants pour la paie, les stocks, les achats, la GMAO</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 spécifique à chaque besoin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Dépendance au prestataire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Faible : code ouvert, communauté, autres intégrateurs possibles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Forte : seul le prestataire connaît le code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Simplicité technique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Plus de composants à exploiter</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légères</w:t>
            </w:r>
          </w:p>
        </w:tc>
      </w:tr>
    </w:tbl>
    <w:p>
      <w:pPr>
        <w:spacing w:after="160"/>
      </w:pPr>
    </w:p>
    <w:p>
      <w:pPr>
        <w:pStyle w:val="Heading2"/>
        <w:spacing w:after="120" w:before="280"/>
      </w:pPr>
      <w:r>
        <w:rPr>
          <w:rFonts w:ascii="Calibri" w:cs="Calibri" w:eastAsia="Calibri" w:hAnsi="Calibri"/>
          <w:b/>
          <w:bCs/>
          <w:color w:val="1C1E6B"/>
          <w:sz w:val="26"/>
          <w:szCs w:val="26"/>
        </w:rPr>
        <w:t xml:space="preserve">5.3 Notre recommandation</w:t>
      </w:r>
    </w:p>
    <w:p>
      <w:pPr>
        <w:spacing w:after="140" w:before="0"/>
      </w:pPr>
      <w:r>
        <w:rPr>
          <w:rFonts w:ascii="Calibri" w:cs="Calibri" w:eastAsia="Calibri" w:hAnsi="Calibri"/>
          <w:sz w:val="22"/>
          <w:szCs w:val="22"/>
        </w:rPr>
        <w:t xml:space="preserve">Nous recommandons la proposition 1. L'écart de 12 000 000 GNF finance un noyau comptable dont la fiabilité n'a plus à être démontrée, et évite au groupe de payer, dans deux ans, le développement de fonctions que le noyau apporte déjà. La proposition 2 reste pertinente si la direction privilégie un outil minimal et un budget plus serré ; elle est présentée avec ses limites pour que la décision soit prise en connaissance de cause.</w:t>
      </w:r>
    </w:p>
    <w:p>
      <w:r>
        <w:br w:type="page"/>
      </w:r>
    </w:p>
    <w:p>
      <w:pPr>
        <w:pStyle w:val="Heading1"/>
        <w:spacing w:after="200" w:before="240"/>
      </w:pPr>
      <w:r>
        <w:rPr>
          <w:rFonts w:ascii="Calibri" w:cs="Calibri" w:eastAsia="Calibri" w:hAnsi="Calibri"/>
          <w:b/>
          <w:bCs/>
          <w:color w:val="1C1E6B"/>
          <w:sz w:val="32"/>
          <w:szCs w:val="32"/>
        </w:rPr>
        <w:t xml:space="preserve">6. Hébergement, sécurité et exploitation</w:t>
      </w:r>
    </w:p>
    <w:p>
      <w:pPr>
        <w:spacing w:after="140" w:before="0"/>
      </w:pPr>
      <w:r>
        <w:rPr>
          <w:rFonts w:ascii="Calibri" w:cs="Calibri" w:eastAsia="Calibri" w:hAnsi="Calibri"/>
          <w:sz w:val="22"/>
          <w:szCs w:val="22"/>
        </w:rPr>
        <w:t xml:space="preserve">Ce chapitre s'applique aux deux propositions.</w:t>
      </w:r>
    </w:p>
    <w:p>
      <w:pPr>
        <w:pStyle w:val="Heading2"/>
        <w:spacing w:after="120" w:before="280"/>
      </w:pPr>
      <w:r>
        <w:rPr>
          <w:rFonts w:ascii="Calibri" w:cs="Calibri" w:eastAsia="Calibri" w:hAnsi="Calibri"/>
          <w:b/>
          <w:bCs/>
          <w:color w:val="1C1E6B"/>
          <w:sz w:val="26"/>
          <w:szCs w:val="26"/>
        </w:rPr>
        <w:t xml:space="preserve">6.1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6.2 Sauvegardes et continuité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heures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6.3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6.4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7. Démarche et planning en quatre semaines</w:t>
      </w:r>
    </w:p>
    <w:p>
      <w:pPr>
        <w:pStyle w:val="Heading2"/>
        <w:spacing w:after="120" w:before="280"/>
      </w:pPr>
      <w:r>
        <w:rPr>
          <w:rFonts w:ascii="Calibri" w:cs="Calibri" w:eastAsia="Calibri" w:hAnsi="Calibri"/>
          <w:b/>
          <w:bCs/>
          <w:color w:val="1C1E6B"/>
          <w:sz w:val="26"/>
          <w:szCs w:val="26"/>
        </w:rPr>
        <w:t xml:space="preserve">7.1 Planning</w:t>
      </w:r>
    </w:p>
    <w:p>
      <w:pPr>
        <w:spacing w:after="140" w:before="0"/>
      </w:pPr>
      <w:r>
        <w:rPr>
          <w:rFonts w:ascii="Calibri" w:cs="Calibri" w:eastAsia="Calibri" w:hAnsi="Calibri"/>
          <w:sz w:val="22"/>
          <w:szCs w:val="22"/>
        </w:rPr>
        <w:t xml:space="preserve">Les deux propositions sont réalisées en 4 semaines à compter de la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3 mois.</w:t>
      </w:r>
    </w:p>
    <w:p>
      <w:pPr>
        <w:pStyle w:val="Heading2"/>
        <w:spacing w:after="120" w:before="280"/>
      </w:pPr>
      <w:r>
        <w:rPr>
          <w:rFonts w:ascii="Calibri" w:cs="Calibri" w:eastAsia="Calibri" w:hAnsi="Calibri"/>
          <w:b/>
          <w:bCs/>
          <w:color w:val="1C1E6B"/>
          <w:sz w:val="26"/>
          <w:szCs w:val="26"/>
        </w:rPr>
        <w:t xml:space="preserve">7.2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7.3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7.4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7.5 Équipe E-VOLUTION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Mission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Directeur de projet et architecte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Interlocuteur unique, conception, arbitrages, qualité des livraisons.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Consultant fonctionnel finance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analytique, états financiers, reprise des données, formation.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Développeurs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et API dans la proposition 1, moteur comptable dans la proposition 2 ; applications EGUITRA Finance et AxisPro Suite, application mobile, portail.</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Ingénieur exploitation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sécurité, sauvegardes, supervision, support.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Expert-comptable partenaire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Validation du plan de comptes, des états financiers et des déclarations fiscales guinéennes.</w:t>
            </w:r>
          </w:p>
        </w:tc>
      </w:tr>
    </w:tbl>
    <w:p>
      <w:pPr>
        <w:spacing w:after="160"/>
      </w:pPr>
    </w:p>
    <w:p>
      <w:pPr>
        <w:pStyle w:val="Heading2"/>
        <w:spacing w:after="120" w:before="280"/>
      </w:pPr>
      <w:r>
        <w:rPr>
          <w:rFonts w:ascii="Calibri" w:cs="Calibri" w:eastAsia="Calibri" w:hAnsi="Calibri"/>
          <w:b/>
          <w:bCs/>
          <w:color w:val="1C1E6B"/>
          <w:sz w:val="26"/>
          <w:szCs w:val="26"/>
        </w:rPr>
        <w:t xml:space="preserve">7.6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8. Offre financière</w:t>
      </w:r>
    </w:p>
    <w:p>
      <w:pPr>
        <w:pStyle w:val="Heading2"/>
        <w:spacing w:after="120" w:before="280"/>
      </w:pPr>
      <w:r>
        <w:rPr>
          <w:rFonts w:ascii="Calibri" w:cs="Calibri" w:eastAsia="Calibri" w:hAnsi="Calibri"/>
          <w:b/>
          <w:bCs/>
          <w:color w:val="1C1E6B"/>
          <w:sz w:val="26"/>
          <w:szCs w:val="26"/>
        </w:rPr>
        <w:t xml:space="preserve">8.1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forfaitaires : le montant de chaque proposition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 dans les deux propositions.</w:t>
      </w:r>
    </w:p>
    <w:p>
      <w:pPr>
        <w:pStyle w:val="ListParagraph"/>
        <w:numPr>
          <w:ilvl w:val="0"/>
          <w:numId w:val="2"/>
        </w:numPr>
        <w:spacing w:after="80"/>
      </w:pPr>
      <w:r>
        <w:rPr>
          <w:rFonts w:ascii="Calibri" w:cs="Calibri" w:eastAsia="Calibri" w:hAnsi="Calibri"/>
          <w:sz w:val="22"/>
          <w:szCs w:val="22"/>
        </w:rPr>
        <w:t xml:space="preserve">L'hébergement de la première année est compris dans le montant de chaque proposition.</w:t>
      </w:r>
    </w:p>
    <w:p>
      <w:pPr>
        <w:pStyle w:val="Heading2"/>
        <w:spacing w:after="120" w:before="280"/>
      </w:pPr>
      <w:r>
        <w:rPr>
          <w:rFonts w:ascii="Calibri" w:cs="Calibri" w:eastAsia="Calibri" w:hAnsi="Calibri"/>
          <w:b/>
          <w:bCs/>
          <w:color w:val="1C1E6B"/>
          <w:sz w:val="26"/>
          <w:szCs w:val="26"/>
        </w:rPr>
        <w:t xml:space="preserve">8.2 Proposition 1 : Plateforme intégrée EGUITRA Finance et AxisPro Suite sur noyau de gestion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8.3 Proposition 2 : Deux applications indépendantes, EGUITRA Finance et AxisPro Suite, sur un VPS commun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commun : VPS, base de données, authentification,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EGUITRA Finance : moteur comptable SYSCOHADA, ventes, achats, trésorerie, immobilisations, budget, clôtures, états, rotations transport, chantiers, gestion locative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23 %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2</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8.4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chaque proposition.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jours par mois de petites évolutions, cumulables sur le trimestre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1</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18 000 000 GNF HT, facturé par semestre d'avance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2</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15 000 000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8.5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38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29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 HT</w:t>
            </w:r>
          </w:p>
        </w:tc>
        <w:tc>
          <w:tcPr>
            <w:tcW w:type="dxa" w:w="29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80 000 000 GNF HT</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 HT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15 000 000 GNF HT</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128 000 000 GNF HT</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110 000 000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8.6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8.7 Engagements contractuels</w:t>
      </w:r>
    </w:p>
    <w:p>
      <w:pPr>
        <w:pStyle w:val="ListParagraph"/>
        <w:numPr>
          <w:ilvl w:val="0"/>
          <w:numId w:val="2"/>
        </w:numPr>
        <w:spacing w:after="80"/>
      </w:pPr>
      <w:r>
        <w:rPr>
          <w:rFonts w:ascii="Calibri" w:cs="Calibri" w:eastAsia="Calibri" w:hAnsi="Calibri"/>
          <w:sz w:val="22"/>
          <w:szCs w:val="22"/>
        </w:rPr>
        <w:t xml:space="preserve">Garantie corrective de 3 mois après la mise en production, incluse dans le prix.</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6.4.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60 jours à compter du 15 septembre 2026.</w:t>
      </w:r>
    </w:p>
    <w:p>
      <w:r>
        <w:br w:type="page"/>
      </w:r>
    </w:p>
    <w:p>
      <w:pPr>
        <w:pStyle w:val="Heading1"/>
        <w:spacing w:after="200" w:before="240"/>
      </w:pPr>
      <w:r>
        <w:rPr>
          <w:rFonts w:ascii="Calibri" w:cs="Calibri" w:eastAsia="Calibri" w:hAnsi="Calibri"/>
          <w:b/>
          <w:bCs/>
          <w:color w:val="1C1E6B"/>
          <w:sz w:val="32"/>
          <w:szCs w:val="32"/>
        </w:rPr>
        <w:t xml:space="preserve">9. Annexes</w:t>
      </w:r>
    </w:p>
    <w:p>
      <w:pPr>
        <w:pStyle w:val="Heading2"/>
        <w:spacing w:after="120" w:before="280"/>
      </w:pPr>
      <w:r>
        <w:rPr>
          <w:rFonts w:ascii="Calibri" w:cs="Calibri" w:eastAsia="Calibri" w:hAnsi="Calibri"/>
          <w:b/>
          <w:bCs/>
          <w:color w:val="1C1E6B"/>
          <w:sz w:val="26"/>
          <w:szCs w:val="26"/>
        </w:rPr>
        <w:t xml:space="preserve">9.1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bl>
    <w:p>
      <w:pPr>
        <w:spacing w:after="160"/>
      </w:pPr>
    </w:p>
    <w:p>
      <w:pPr>
        <w:pStyle w:val="Heading2"/>
        <w:spacing w:after="120" w:before="280"/>
      </w:pPr>
      <w:r>
        <w:rPr>
          <w:rFonts w:ascii="Calibri" w:cs="Calibri" w:eastAsia="Calibri" w:hAnsi="Calibri"/>
          <w:b/>
          <w:bCs/>
          <w:color w:val="1C1E6B"/>
          <w:sz w:val="26"/>
          <w:szCs w:val="26"/>
        </w:rPr>
        <w:t xml:space="preserve">9.2 Signature</w:t>
      </w:r>
    </w:p>
    <w:p>
      <w:pPr>
        <w:spacing w:after="140" w:before="0"/>
      </w:pPr>
      <w:r>
        <w:rPr>
          <w:rFonts w:ascii="Calibri" w:cs="Calibri" w:eastAsia="Calibri" w:hAnsi="Calibri"/>
          <w:sz w:val="22"/>
          <w:szCs w:val="22"/>
        </w:rPr>
        <w:t xml:space="preserve">Pour E-VOLUTION XP :</w:t>
      </w:r>
    </w:p>
    <w:p>
      <w:pPr>
        <w:spacing w:after="140" w:before="0"/>
      </w:pPr>
      <w:r>
        <w:rPr>
          <w:rFonts w:ascii="Calibri" w:cs="Calibri" w:eastAsia="Calibri" w:hAnsi="Calibri"/>
          <w:sz w:val="22"/>
          <w:szCs w:val="22"/>
        </w:rPr>
        <w:t xml:space="preserve">Nom, qualité, date et signature</w:t>
      </w:r>
    </w:p>
    <w:p>
      <w:pPr>
        <w:spacing w:after="140" w:before="0"/>
      </w:pPr>
      <w:r>
        <w:rPr>
          <w:rFonts w:ascii="Calibri" w:cs="Calibri" w:eastAsia="Calibri" w:hAnsi="Calibri"/>
          <w:sz w:val="22"/>
          <w:szCs w:val="22"/>
        </w:rPr>
        <w:t xml:space="preserve">Pour EGUITRA GROUP SARLU et MB AxisPro Consulting, bon pour accord sur la proposition retenue :</w:t>
      </w:r>
    </w:p>
    <w:p>
      <w:pPr>
        <w:spacing w:after="140" w:before="0"/>
      </w:pPr>
      <w:r>
        <w:rPr>
          <w:rFonts w:ascii="Calibri" w:cs="Calibri" w:eastAsia="Calibri" w:hAnsi="Calibri"/>
          <w:sz w:val="22"/>
          <w:szCs w:val="22"/>
        </w:rPr>
        <w:t xml:space="preserve">Proposition retenue :  1    2</w:t>
      </w:r>
    </w:p>
    <w:p>
      <w:pPr>
        <w:spacing w:after="140" w:before="0"/>
      </w:pPr>
      <w:r>
        <w:rPr>
          <w:rFonts w:ascii="Calibri" w:cs="Calibri" w:eastAsia="Calibri" w:hAnsi="Calibri"/>
          <w:sz w:val="22"/>
          <w:szCs w:val="22"/>
        </w:rPr>
        <w:t xml:space="preserve">Nom, qualité, date, signature et cachet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OTF-EGUITRA-2026-01,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2026-09-30T01:23:20.069Z</dcterms:created>
  <dcterms:modified xsi:type="dcterms:W3CDTF">2026-09-30T01:23:20.069Z</dcterms:modified>
</cp:coreProperties>
</file>

<file path=docProps/custom.xml><?xml version="1.0" encoding="utf-8"?>
<Properties xmlns="http://schemas.openxmlformats.org/officeDocument/2006/custom-properties" xmlns:vt="http://schemas.openxmlformats.org/officeDocument/2006/docPropsVTypes"/>
</file>