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finance et de la comptabilité</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Chaque opération se saisit </w:t>
      </w:r>
      <w:r>
        <w:rPr>
          <w:rFonts w:ascii="Calibri" w:cs="Calibri" w:eastAsia="Calibri" w:hAnsi="Calibri"/>
          <w:b/>
          <w:bCs/>
          <w:sz w:val="20"/>
          <w:szCs w:val="20"/>
        </w:rPr>
        <w:t xml:space="preserve">une seule fois, à un seul endroit</w:t>
      </w:r>
      <w:r>
        <w:rPr>
          <w:rFonts w:ascii="Calibri" w:cs="Calibri" w:eastAsia="Calibri" w:hAnsi="Calibri"/>
          <w:sz w:val="20"/>
          <w:szCs w:val="20"/>
        </w:rPr>
        <w:t xml:space="preserve"> : la plateforme déduit les comptes, la TVA et l'imputation analytique, et tout le reste en découle par calcul (états, tableau de bord, alertes, rapport mensuel). Si une information semble manquer quelque part, elle se saisit ailleurs : ne la retapez jamais. Les pièces d'achat passent par le circuit d'approbation selon les seuils ; les écritures validées ne se modifient plus (on passe un avoir ou une écriture de correction).</w:t>
      </w:r>
    </w:p>
    <w:p>
      <w:pPr>
        <w:keepNext/>
        <w:pBdr>
          <w:bottom w:val="single" w:color="1A9E9E" w:sz="6" w:space="2"/>
        </w:pBdr>
        <w:spacing w:after="100" w:before="280"/>
      </w:pPr>
      <w:r>
        <w:rPr>
          <w:rFonts w:ascii="Calibri" w:cs="Calibri" w:eastAsia="Calibri" w:hAnsi="Calibri"/>
          <w:b/>
          <w:bCs/>
          <w:color w:val="1C1E6B"/>
          <w:sz w:val="26"/>
          <w:szCs w:val="26"/>
        </w:rPr>
        <w:t xml:space="preserve">Où saisir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6"/>
        <w:gridCol w:w="2724"/>
        <w:gridCol w:w="4828"/>
      </w:tblGrid>
      <w:tr>
        <w:trPr>
          <w:tblHeader/>
        </w:trPr>
        <w:tc>
          <w:tcPr>
            <w:tcW w:type="dxa" w:w="20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Vous voulez enregistrer…</w:t>
            </w:r>
          </w:p>
        </w:tc>
        <w:tc>
          <w:tcPr>
            <w:tcW w:type="dxa" w:w="272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48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Point d'attention</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facture de vente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Ventes</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situations de chantier et loyers produisent leurs factures : ne pas les ressaisir.</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Une dépense à engager (commande, contrat)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Engagements de dépense</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Engager avant de commander, devis joint : l'engagement approuvé couvre ensuite les factures du fournisseur.</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achat ou une dépense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Achats et dépenses</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Joindre la pièce numérisée, puis « Soumettre » au circuit d'approbation.</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encaissement ou un paiement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Rapprocher chaque ligne du relevé de sa facture : c'est ce qui solde la créance ou la dette.</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échéance d'emprunt prélevée en banque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Rapprocher »</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L'échéance est proposée sur la ligne du relevé : capital et intérêts en contrepartie, la sortie n'est comptée qu'une fois.</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virement entre deux comptes</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Virement interne »</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Il passe par le compte de passage 585, qui doit être soldé.</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de camion</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 Transport &gt; Rotations (ou Rotations au parc)</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par voyage : source unique de la facturation et de la rentabilité par camion et par route.</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bien amortissable</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Immobilisations</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dotations échues sont comptabilisées chaque nuit.</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nouvel emprunt ou crédit-bail</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Dette et financement</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Renseigner l'objet, le compte de dette, le compte d'intérêts et le journal, puis « Mettre en service ».</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déblocage d'un emprunt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type « Déblocage d'emprunt »</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Désigner le financement : l'entrée de banque crédite son compte de dette.</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écriture diverse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Journaux et OD</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À-nouveaux et régularisations seulement ; droit « Saisie libre des comptes ».</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budget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Activités et budget</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montant par compte et par mois ; le réalisé se compare au budget cumulé.</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Trois règles à ne jamais enfreindre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Une opération diverse ne reprend jamais ce qu'un autre écran porte déjà : une facture ressaisie en OD serait comptée deux fois.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 virement interne passe par le compte de passage 585, soldé en permanence : un solde résiduel signale une saisie incomplète et bloque la clôture.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Aucun état ne se diffuse avec une alerte bloquante active : total des débits égal au total des crédits (affiché en haut de l'écran), actif égal au passif, compte de passage soldé.</w:t>
      </w:r>
    </w:p>
    <w:p>
      <w:pPr>
        <w:keepNext/>
        <w:pBdr>
          <w:bottom w:val="single" w:color="1A9E9E" w:sz="6" w:space="2"/>
        </w:pBdr>
        <w:spacing w:after="100" w:before="280"/>
      </w:pPr>
      <w:r>
        <w:rPr>
          <w:rFonts w:ascii="Calibri" w:cs="Calibri" w:eastAsia="Calibri" w:hAnsi="Calibri"/>
          <w:b/>
          <w:bCs/>
          <w:color w:val="1C1E6B"/>
          <w:sz w:val="26"/>
          <w:szCs w:val="26"/>
        </w:rPr>
        <w:t xml:space="preserve">Rythme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tblHeader/>
        </w:trPr>
        <w:tc>
          <w:tcPr>
            <w:tcW w:type="dxa" w:w="17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Quand</w:t>
            </w:r>
          </w:p>
        </w:tc>
        <w:tc>
          <w:tcPr>
            <w:tcW w:type="dxa" w:w="78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Quoi</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Au fil de l'eau</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trésorerie, rotations : saisir le jour même évite les oublis de pièces justificatives.</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semaine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Importer les relevés bancaires et rapprocher les lignes ; traiter les validations et les relances.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fin de mois</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Vérifier les alertes et les contrôles (pastilles de la navigation), puis lancer la clôture ; imprimer le rapport mensuel.</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trimestre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Actualiser les taux de change, revoir les seuils d'alerte avec la direction, contrôler les immobilisations totalement amorties.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année</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Clôture de l'exercice (voir plus bas) : douze mois clôturés, affectation du résultat après l'assemblée, verrouillage définitif ; révision du budget, inventaire de la flotte et des stocks. Aucun à-nouveau à passer : l'exercice suivant s'ouvre de lui-même.</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Pilotage (Pilotage &gt; Tableau de bord, Alertes, Rapport mensuel)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du dirigeant, à toute date (« Arrêté au ») et pour la société ou le groupe : chiffre d'affaires face au budget, marges d'EBE et nette, délai de recouvrement (DSO) face à la cible, couverture de la dette (DSCR) face au minimum, trésorerie prévue en fin de mois, besoin en fonds de roulement, trésorerie de fin de mois avec le seuil de sécurité, les onze questions du dirigeant et ce qui demande une décision. Le bouton « Imprimer » produit un document diffusable.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Alertes de gestion : chaque règle compare une valeur à un seuil, avec sa gravité (bloquante, critique, élevée, moyenne), son domaine et l'action recommandée. « Toutes les règles » montre aussi les règles conformes. Un seuil laissé à 0 éteint sa règle : la plateforme le signale, et les questions du dirigeant, le tableau de bord, le rapport mensuel, l'écran Dette et le transport affichent alors la valeur sans la juger (« Seuil non fixé »), au lieu de la comparer à une valeur par défaut. Seule une trésorerie négative reste signalée en rouge. La « Marge du mois » du transport se juge contre la marge minimale fixée (30 % par défaut).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de gestion : synthèse, lecture de la période rédigée (comparée au mois précédent et à l'an dernier), trésorerie et financement, clients et fournisseurs, transport, flux mensuels, alertes avec leurs actions.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Activités et budget : résultat par axe analytique, budget et écarts, trésorerie mensuelle (encaissements, décaissements, cash net, solde, prévision à trois mois), BFR et délais.</w:t>
      </w:r>
    </w:p>
    <w:p>
      <w:pPr>
        <w:keepNext/>
        <w:pBdr>
          <w:bottom w:val="single" w:color="1A9E9E" w:sz="6" w:space="2"/>
        </w:pBdr>
        <w:spacing w:after="100" w:before="280"/>
      </w:pPr>
      <w:r>
        <w:rPr>
          <w:rFonts w:ascii="Calibri" w:cs="Calibri" w:eastAsia="Calibri" w:hAnsi="Calibri"/>
          <w:b/>
          <w:bCs/>
          <w:color w:val="1C1E6B"/>
          <w:sz w:val="26"/>
          <w:szCs w:val="26"/>
        </w:rPr>
        <w:t xml:space="preserve">Ventes (Comptabilité &gt; Ventes)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facture » : client, date, contrat ou bon de commande, devise, lignes (désignation, quantité, prix, TVA) et, sous chaque ligne, un compte par axe analytique (activité, centre de coût, chantier, ensemble routier, route, bien ; dossier pour MB AxisPro Consulting). Sans compte saisi, la ligne prend le compte de produit de l'activité ; choisir un autre compte demande le droit « Saisie libre des comptes ». Les axes laissés vides suivent les imputations automatiques. « Avoir » pour annuler tout ou partie d'une facture.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Client non assujetti à la TVA (case de sa fiche) : ses factures sont émises en exonération.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Litige : « Déclarer un litige » (motif obligatoire) sur la fiche de la facture ; elle passe en statut « Litige » (vue Litiges) et sort des relances jusqu'à « Lever le litige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rotations de transport, les situations de chantier et les loyers génèrent leurs factures depuis leurs écrans : ne pas les ressaisir ici.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Impression PDF de la facture, pièces jointes, suivi du reste à encaisser.</w:t>
      </w:r>
    </w:p>
    <w:p>
      <w:pPr>
        <w:keepNext/>
        <w:pBdr>
          <w:bottom w:val="single" w:color="1A9E9E" w:sz="6" w:space="2"/>
        </w:pBdr>
        <w:spacing w:after="100" w:before="280"/>
      </w:pPr>
      <w:r>
        <w:rPr>
          <w:rFonts w:ascii="Calibri" w:cs="Calibri" w:eastAsia="Calibri" w:hAnsi="Calibri"/>
          <w:b/>
          <w:bCs/>
          <w:color w:val="1C1E6B"/>
          <w:sz w:val="26"/>
          <w:szCs w:val="26"/>
        </w:rPr>
        <w:t xml:space="preserve">Transport : paramètres, manquants et taxes (application NIMOVA · Transport)</w:t>
      </w:r>
    </w:p>
    <w:p>
      <w:pPr>
        <w:spacing w:after="100"/>
        <w:jc w:val="both"/>
      </w:pPr>
      <w:r>
        <w:rPr>
          <w:rFonts w:ascii="Calibri" w:cs="Calibri" w:eastAsia="Calibri" w:hAnsi="Calibri"/>
          <w:sz w:val="20"/>
          <w:szCs w:val="20"/>
        </w:rPr>
        <w:t xml:space="preserve">Le transport a sa propre application, NIMOVA · Transport (accueil NIMOVA, rayon Transport, ou adresse </w:t>
      </w:r>
      <w:r>
        <w:rPr>
          <w:rFonts w:ascii="Consolas" w:cs="Consolas" w:eastAsia="Consolas" w:hAnsi="Consolas"/>
          <w:color w:val="333333"/>
          <w:sz w:val="18"/>
          <w:szCs w:val="18"/>
        </w:rPr>
        <w:t xml:space="preserve">/transport</w:t>
      </w:r>
      <w:r>
        <w:rPr>
          <w:rFonts w:ascii="Calibri" w:cs="Calibri" w:eastAsia="Calibri" w:hAnsi="Calibri"/>
          <w:sz w:val="20"/>
          <w:szCs w:val="20"/>
        </w:rPr>
        <w:t xml:space="preserve">) ; l'ancienne entrée Finance &gt; Métiers &gt; Transport y mène.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tolérance de manquant par défaut (en % du volume chargé) et traitement du manquant hors tolérance (constat, déduction sur la facture du client, créance sur le chauffeur, ou les deux), comptes des manquants et des créances sur chauffeurs, option des manquants à 15 °C ; conditions propres à un client ou à un tarif ; produits transportés (masse volumique, prix du m³ qui valorise les manquants) ; barème des taxes spécifiques (nature, base, taux, produits, routes, période, compte de charge, refacturation avec ou sans TVA).</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la facturation : la déduction du manquant et les taxes refacturées s'ajoutent à la facture du client ; la créance sur un chauffeur devient une opération diverse en brouillon, à valider dans Journaux et OD (un chauffeur sans fiche tiers est signalé dans les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Taxes spécifiques : état mensuel par nature, rapproché des montants comptabilisés sur les comptes du barème, export XLSX.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 imputer les achats de la flotte (carburant, pneumatiques, entretien) sur l'activité Transport pétrolier et sur l'ensemble routier, pour que les coûts comptabilisés répondent aux coûts déclarés sur les rotations ; rattacher chaque ensemble à son immobilisation.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Export des rotations (XLSX ou CSV) : une colonne par frais (pneumatiques compris), puis kilométrage et ratios (distance, carburant, durée, chiffre d'affaires et coût au kilomètre, coût au litre, consommation aux 100 km).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standard (Routes et tarifs) : pour chaque route, les forfaits d'une rotation complète (litres de carburant aller et retour, prime de route, péages, autres frais), et les prix du litre de carburant avec leur date d'application. La rotation affiche dès la saisie son coût standard et sa marge estimée ; la validation les fige (un nouveau prix ne réécrit pas les rotations passées). La rentabilité montre côte à côte coûts standard, déclarés et comptabilisés ; les contrôles signalent une route dont le carburant au km s'écarte de plus de 40 % de la médiane.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Ensembles gérés pour des propriétaires (Flotte et chauffeurs) : propriété de chaque ensemble (propre, ou géré pour un propriétaire désigné) et ses charges mensuelles (assurance, géolocalisation, vignettes… ; une charge annuelle compte pour un douzième par mois).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Règles de répartition (onglet Propriétaires) : un bénéficiaire reçoit un pourcentage du chiffre d'affaires brut d'un ensemble ou de tous les ensembles propres ou gérés, rotation par rotation, même quand la marge est négative ; la règle d'un ensemble remplace la règle générale du même bénéficiaire. La part que la société retient sur un ensemble géré est une règle à son nom.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Relevés des propriétaires (onglet Propriétaires) : « Établir les relevés du mois » calcule, pour chaque ensemble géré ou visé par une règle, le chiffre d'affaires des rotations validées, les charges (frais déclarés et charges mensuelles, ou pièces comptabilisées sur l'ensemble, selon les paramètres ; les deux montants restent affichés), la marge, les commissions et la part du propriétaire (le résiduel, négatif quand l'ensemble n'a pas couvert ses charges). Le relevé s'imprime (PDF pour le propriétaire) et s'exporte (Excel). « Préparer les pièces » crée en brouillon la facture d'achat du propriétaire (part positive) ou la facture de refacturation (part négative) et la facture de chaque bénéficiaire tiers ; à valider dans Achats et Ventes. « Rouvrir » supprime des pièces restées en brouillon. Comptes (Paramètres) à valider avec l'expert-comptable.</w:t>
      </w:r>
    </w:p>
    <w:p>
      <w:pPr>
        <w:keepNext/>
        <w:pBdr>
          <w:bottom w:val="single" w:color="1A9E9E" w:sz="6" w:space="2"/>
        </w:pBdr>
        <w:spacing w:after="100" w:before="280"/>
      </w:pPr>
      <w:r>
        <w:rPr>
          <w:rFonts w:ascii="Calibri" w:cs="Calibri" w:eastAsia="Calibri" w:hAnsi="Calibri"/>
          <w:b/>
          <w:bCs/>
          <w:color w:val="1C1E6B"/>
          <w:sz w:val="26"/>
          <w:szCs w:val="26"/>
        </w:rPr>
        <w:t xml:space="preserve">Relances clients (Comptabilité &gt; Relances clients)</w:t>
      </w:r>
    </w:p>
    <w:p>
      <w:pPr>
        <w:spacing w:after="100"/>
        <w:jc w:val="both"/>
      </w:pPr>
      <w:r>
        <w:rPr>
          <w:rFonts w:ascii="Calibri" w:cs="Calibri" w:eastAsia="Calibri" w:hAnsi="Calibri"/>
          <w:sz w:val="20"/>
          <w:szCs w:val="20"/>
        </w:rPr>
        <w:t xml:space="preserve">Calculées chaque nuit selon le retard : rappel (dès le premier jour), relance ferme (15 jours), mise en demeure (30 jours). Ouvrir une relance pour voir la lettre, l'imprimer et la marquer « remise par courrier », ou l'envoyer par courriel si un serveur d'envoi est paramétré. La mise en demeure n'est jamais envoyée sans votre décision.</w:t>
      </w:r>
    </w:p>
    <w:p>
      <w:pPr>
        <w:keepNext/>
        <w:pBdr>
          <w:bottom w:val="single" w:color="1A9E9E" w:sz="6" w:space="2"/>
        </w:pBdr>
        <w:spacing w:after="100" w:before="280"/>
      </w:pPr>
      <w:r>
        <w:rPr>
          <w:rFonts w:ascii="Calibri" w:cs="Calibri" w:eastAsia="Calibri" w:hAnsi="Calibri"/>
          <w:b/>
          <w:bCs/>
          <w:color w:val="1C1E6B"/>
          <w:sz w:val="26"/>
          <w:szCs w:val="26"/>
        </w:rPr>
        <w:t xml:space="preserve">Engagements de dépense (Pilotage &gt; Engagements de dépense)</w:t>
      </w:r>
    </w:p>
    <w:p>
      <w:pPr>
        <w:spacing w:after="100"/>
        <w:jc w:val="both"/>
      </w:pPr>
      <w:r>
        <w:rPr>
          <w:rFonts w:ascii="Calibri" w:cs="Calibri" w:eastAsia="Calibri" w:hAnsi="Calibri"/>
          <w:sz w:val="20"/>
          <w:szCs w:val="20"/>
        </w:rPr>
        <w:t xml:space="preserve">Avant toute commande ou tout contrat : « Nouvel engagement » (fournisseur, objet, montant, axes analytiques, devis joint), puis « Soumettre ». L'engagement suit le circuit d'approbation (finance, direction au-delà de 50 M GNF). Une fois approuvé, les factures du fournisseur rattachées à l'engagement (il est proposé à la saisie) se comptabilisent sans refaire le circuit, tant qu'elles restent dans le reste à engager (tolérance de 5 %). Le suivi budgétaire montre l'engagé et le disponible de chaque ligne ; l'état « Engagements de dépense non soldés » est au registre des rapports. Solder un engagement libère son reste.</w:t>
      </w:r>
    </w:p>
    <w:p>
      <w:pPr>
        <w:keepNext/>
        <w:pBdr>
          <w:bottom w:val="single" w:color="1A9E9E" w:sz="6" w:space="2"/>
        </w:pBdr>
        <w:spacing w:after="100" w:before="280"/>
      </w:pPr>
      <w:r>
        <w:rPr>
          <w:rFonts w:ascii="Calibri" w:cs="Calibri" w:eastAsia="Calibri" w:hAnsi="Calibri"/>
          <w:b/>
          <w:bCs/>
          <w:color w:val="1C1E6B"/>
          <w:sz w:val="26"/>
          <w:szCs w:val="26"/>
        </w:rPr>
        <w:t xml:space="preserve">Achats et dépenses (Comptabilité &gt; Achats et dépenses)</w:t>
      </w:r>
    </w:p>
    <w:p>
      <w:pPr>
        <w:spacing w:after="100"/>
        <w:jc w:val="both"/>
      </w:pPr>
      <w:r>
        <w:rPr>
          <w:rFonts w:ascii="Calibri" w:cs="Calibri" w:eastAsia="Calibri" w:hAnsi="Calibri"/>
          <w:sz w:val="20"/>
          <w:szCs w:val="20"/>
        </w:rPr>
        <w:t xml:space="preserve">Saisir la pièce du fournisseur avec sa pièce jointe numérisée, puis « Soumettre » : elle part au circuit d'approbation et se comptabilise une fois approuvée. Chaque ligne se saisit par catégorie de dépense : la catégorie fixe le compte et la TVA (choisir un autre compte demande le droit « Saisie libre des comptes » ; sans lui, la catégorie est obligatoire). Une catégorie dont le compte de tiers n'est pas un compte fournisseur (salaires 422, cotisations 431, impôts 447) enregistre la dépense en opération diverse ; une catégorie d'investissement crée l'immobilisation à la validation.</w:t>
      </w:r>
    </w:p>
    <w:p>
      <w:pPr>
        <w:keepNext/>
        <w:pBdr>
          <w:bottom w:val="single" w:color="1A9E9E" w:sz="6" w:space="2"/>
        </w:pBdr>
        <w:spacing w:after="100" w:before="280"/>
      </w:pPr>
      <w:r>
        <w:rPr>
          <w:rFonts w:ascii="Calibri" w:cs="Calibri" w:eastAsia="Calibri" w:hAnsi="Calibri"/>
          <w:b/>
          <w:bCs/>
          <w:color w:val="1C1E6B"/>
          <w:sz w:val="26"/>
          <w:szCs w:val="26"/>
        </w:rPr>
        <w:t xml:space="preserve">Trésorerie (Comptabilité &gt; Trésorerie)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Position par compte et par devise.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Nouvelle opération : type d'opération (il fixe le sens et la contrepartie ; un type client ou fournisseur laisse l'opération à rapprocher de la facture), mode de paiement, référence, justificatif et, avec un compte d'imputation, les axes analytiques. Choisir soi-même le compte d'imputation demande le droit « Saisie libre des comptes » ; sans lui, l'opération prend le compte de son type, ou reste à rapprocher.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un type à part d'emprunt demande le financement concerné (Dette et financement, financement en service) et prend son compte. « Déblocage d'emprunt » : l'entrée de banque crédite le compte de dette ; c'est ainsi que le déblocage se comptabilise (plusieurs tranches possibles, dans la limite du montant emprunté). « Remboursement anticipé d'emprunt (capital) » et « Intérêts d'emprunt hors échéancier » : la sortie débite le compte de dette ou le compte de charges financières. Ces deux types ne règlent jamais une échéance de l'échéancier, qui se règle depuis la ligne du relevé (« Rapprocher ») ou par « Régler » : un montant égal à une échéance non réglée est refusé, l'échéance ne peut pas être comptée deux fois. Après un remboursement anticipé, l'écart avec l'échéancier est signalé à la clôture jusqu'à sa révision par la banque.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Import du relevé bancaire : CSV ou XLSX avec date, libellé et montant (ou débit et crédit), ou relevé normalisé ISO 20022 camt.053 (XML) fourni par la banque. Les soldes initial et final sont lus dans le fichier (lignes « Solde initial », « Nouveau solde », colonne de solde, soldes d'ouverture et de clôture du camt.053) ou saisis : un relevé qui ne s'équilibre pas est refusé, sauf confirmation. Les opérations en attente d'un camt.053 ne sont pas importées.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Sorties de caisse et de banque, règlement d'une échéance d'emprunt, virement interne : au-delà de 100 M GNF, l'opération reste en brouillon et part au circuit d'approbation (« À valider ») ; elle se comptabilise à la dernière approbation.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Rapprochement : pour chaque ligne du relevé, la plateforme propose les factures et règlements en attente, et pour une sortie de banque les échéances d'emprunt ; valider la proposition, imputer selon un type d'opération (frais bancaires, déblocage d'emprunt reçu en banque…, avec le financement pour un type d'emprunt) ou, avec le droit « Saisie libre des comptes », imputer directement à un compte, avec ses axes. Une échéance déjà réglée directement en banque et retrouvée sur le relevé voit ce règlement direct extourné : la sortie n'est jamais comptée deux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État de rapprochement (bouton du même nom) : solde du relevé, opérations comptabilisées absentes du relevé, solde comptable, écart résiduel et son explication ; imprimable et exportable en Excel. À la clôture, le solde des relevés doit égaler le solde 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Virements entre comptes : passent par le compte de passage 585, qui doit être soldé.</w:t>
      </w:r>
    </w:p>
    <w:p>
      <w:pPr>
        <w:keepNext/>
        <w:pBdr>
          <w:bottom w:val="single" w:color="1A9E9E" w:sz="6" w:space="2"/>
        </w:pBdr>
        <w:spacing w:after="100" w:before="280"/>
      </w:pPr>
      <w:r>
        <w:rPr>
          <w:rFonts w:ascii="Calibri" w:cs="Calibri" w:eastAsia="Calibri" w:hAnsi="Calibri"/>
          <w:b/>
          <w:bCs/>
          <w:color w:val="1C1E6B"/>
          <w:sz w:val="26"/>
          <w:szCs w:val="26"/>
        </w:rPr>
        <w:t xml:space="preserve">Tiers (Comptabilité &gt; Tiers)</w:t>
      </w:r>
    </w:p>
    <w:p>
      <w:pPr>
        <w:spacing w:after="100"/>
        <w:jc w:val="both"/>
      </w:pPr>
      <w:r>
        <w:rPr>
          <w:rFonts w:ascii="Calibri" w:cs="Calibri" w:eastAsia="Calibri" w:hAnsi="Calibri"/>
          <w:sz w:val="20"/>
          <w:szCs w:val="20"/>
        </w:rPr>
        <w:t xml:space="preserve">Fiches clients et fournisseurs : code, NIF, RCCM, secteur, contact, conditions de paiement (délai, fin de mois) côté client et côté fournisseur, non-assujettissement à la TVA, retenues à la source par défaut, limites de crédit, encours et historique. La vue « Balance âgée » donne, pour les clients comme pour les fournisseurs, l'ancienneté par tranche avec le nombre de pièces, et l'encours de chaque tiers avec son retard maximal et son statut : à jour, retard, contentieux (plus de 90 jours).</w:t>
      </w:r>
    </w:p>
    <w:p>
      <w:pPr>
        <w:keepNext/>
        <w:pBdr>
          <w:bottom w:val="single" w:color="1A9E9E" w:sz="6" w:space="2"/>
        </w:pBdr>
        <w:spacing w:after="100" w:before="280"/>
      </w:pPr>
      <w:r>
        <w:rPr>
          <w:rFonts w:ascii="Calibri" w:cs="Calibri" w:eastAsia="Calibri" w:hAnsi="Calibri"/>
          <w:b/>
          <w:bCs/>
          <w:color w:val="1C1E6B"/>
          <w:sz w:val="26"/>
          <w:szCs w:val="26"/>
        </w:rPr>
        <w:t xml:space="preserve">Journaux et OD (Comptabilité &gt; Journaux et OD)</w:t>
      </w:r>
    </w:p>
    <w:p>
      <w:pPr>
        <w:spacing w:after="100"/>
        <w:jc w:val="both"/>
      </w:pPr>
      <w:r>
        <w:rPr>
          <w:rFonts w:ascii="Calibri" w:cs="Calibri" w:eastAsia="Calibri" w:hAnsi="Calibri"/>
          <w:sz w:val="20"/>
          <w:szCs w:val="20"/>
        </w:rPr>
        <w:t xml:space="preserve">Écritures d'opérations diverses guidées et équilibrées, imputées sur les axes analytiques (comptes des classes 2, 6, 7 et 8) ; consultation des journaux. Chaque ligne d'une OD porte un compte choisi : la saisie des OD est réservée au droit « Saisie libre des comptes » (sans lui, le bouton « Nouvelle OD » est inactif et la plateforme refuse l'opération).</w:t>
      </w:r>
    </w:p>
    <w:p>
      <w:pPr>
        <w:keepNext/>
        <w:pBdr>
          <w:bottom w:val="single" w:color="1A9E9E" w:sz="6" w:space="2"/>
        </w:pBdr>
        <w:spacing w:after="100" w:before="280"/>
      </w:pPr>
      <w:r>
        <w:rPr>
          <w:rFonts w:ascii="Calibri" w:cs="Calibri" w:eastAsia="Calibri" w:hAnsi="Calibri"/>
          <w:b/>
          <w:bCs/>
          <w:color w:val="1C1E6B"/>
          <w:sz w:val="26"/>
          <w:szCs w:val="26"/>
        </w:rPr>
        <w:t xml:space="preserve">Plan comptable (Comptabilité &gt; Plan comptable)</w:t>
      </w:r>
    </w:p>
    <w:p>
      <w:pPr>
        <w:spacing w:after="100"/>
        <w:jc w:val="both"/>
      </w:pPr>
      <w:r>
        <w:rPr>
          <w:rFonts w:ascii="Calibri" w:cs="Calibri" w:eastAsia="Calibri" w:hAnsi="Calibri"/>
          <w:sz w:val="20"/>
          <w:szCs w:val="20"/>
        </w:rPr>
        <w:t xml:space="preserve">Un compte se crée sous une racine existante du plan SYSCOHADA : sa nature et son lettrage suivent le compte voisin. Un compte soldé se désactive (il ne se supprime jamais) ; « Imputation analytique obligatoire » exige l'axe Activité sur ses écritures.</w:t>
      </w:r>
    </w:p>
    <w:p>
      <w:pPr>
        <w:keepNext/>
        <w:pBdr>
          <w:bottom w:val="single" w:color="1A9E9E" w:sz="6" w:space="2"/>
        </w:pBdr>
        <w:spacing w:after="100" w:before="280"/>
      </w:pPr>
      <w:r>
        <w:rPr>
          <w:rFonts w:ascii="Calibri" w:cs="Calibri" w:eastAsia="Calibri" w:hAnsi="Calibri"/>
          <w:b/>
          <w:bCs/>
          <w:color w:val="1C1E6B"/>
          <w:sz w:val="26"/>
          <w:szCs w:val="26"/>
        </w:rPr>
        <w:t xml:space="preserve">Axes analytiques et imputations automatiques (Administration)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Axes analytiques : activités (avec leur compte de produit) et centres de coût (rattachés à une activité) ; les axes des métiers naissent avec leur fiche. À la clôture, une ligne qui porte un centre de coût avec une autre activité que la sienne est signalée.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Imputations automatiques : règles par préfixe de compte et par tiers (axes laissés vides à la saisie), axes obligatoires par préfixe, catégories de dépense, types d'opération de trésorerie (sens, compte de contrepartie ou part d'emprunt : déblocage, capital, intérêts), modes de paiement. Un essai montre l'imputation qu'appliqueraient les règles. « Proposer les types usuels » ajoute les types courants, dont les trois types des financements.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comptes des catégories de dépense, des types d'opération et des financements deviennent ceux des pièces des autres utilisateurs : les fixer ou les changer demande le droit « Saisie libre des comptes ».</w:t>
      </w:r>
    </w:p>
    <w:p>
      <w:pPr>
        <w:keepNext/>
        <w:pBdr>
          <w:bottom w:val="single" w:color="1A9E9E" w:sz="6" w:space="2"/>
        </w:pBdr>
        <w:spacing w:after="100" w:before="280"/>
      </w:pPr>
      <w:r>
        <w:rPr>
          <w:rFonts w:ascii="Calibri" w:cs="Calibri" w:eastAsia="Calibri" w:hAnsi="Calibri"/>
          <w:b/>
          <w:bCs/>
          <w:color w:val="1C1E6B"/>
          <w:sz w:val="26"/>
          <w:szCs w:val="26"/>
        </w:rPr>
        <w:t xml:space="preserve">Saisie libre des comptes (Administration &gt; Utilisateurs)</w:t>
      </w:r>
    </w:p>
    <w:p>
      <w:pPr>
        <w:spacing w:after="100"/>
        <w:jc w:val="both"/>
      </w:pPr>
      <w:r>
        <w:rPr>
          <w:rFonts w:ascii="Calibri" w:cs="Calibri" w:eastAsia="Calibri" w:hAnsi="Calibri"/>
          <w:sz w:val="20"/>
          <w:szCs w:val="20"/>
        </w:rPr>
        <w:t xml:space="preserve">Droit complémentaire aux profils, accordé d'office aux comptes finance, direction et administration (rien ne change pour eux) et retirable compte par compte (case « Saisie libre des comptes » de la fiche de l'utilisateur). Sans ce droit, l'utilisateur ne choisit plus de compte : la ligne prend le compte de sa catégorie de dépense, du type d'opération, de l'activité (compte de produit) ou du produit ; les opérations diverses, l'imputation directe à un compte au rapprochement et le paramétrage des comptes lui sont refusés, avec un message qui l'explique. Les écrans masquent alors le choix du compte.</w:t>
      </w:r>
    </w:p>
    <w:p>
      <w:pPr>
        <w:keepNext/>
        <w:pBdr>
          <w:bottom w:val="single" w:color="1A9E9E" w:sz="6" w:space="2"/>
        </w:pBdr>
        <w:spacing w:after="100" w:before="280"/>
      </w:pPr>
      <w:r>
        <w:rPr>
          <w:rFonts w:ascii="Calibri" w:cs="Calibri" w:eastAsia="Calibri" w:hAnsi="Calibri"/>
          <w:b/>
          <w:bCs/>
          <w:color w:val="1C1E6B"/>
          <w:sz w:val="26"/>
          <w:szCs w:val="26"/>
        </w:rPr>
        <w:t xml:space="preserve">Budget (Pilotage &gt; Activités et budget)</w:t>
      </w:r>
    </w:p>
    <w:p>
      <w:pPr>
        <w:spacing w:after="100"/>
        <w:jc w:val="both"/>
      </w:pPr>
      <w:r>
        <w:rPr>
          <w:rFonts w:ascii="Calibri" w:cs="Calibri" w:eastAsia="Calibri" w:hAnsi="Calibri"/>
          <w:sz w:val="20"/>
          <w:szCs w:val="20"/>
        </w:rPr>
        <w:t xml:space="preserve">Lignes budgétaires : nature (produits, charges, investissements), comptes (préfixes), douze mois, activité et centre de coût facultatifs, solde résiduel des charges non couvertes. Le réalisé se compare au budget cumulé à fin de mois, avec un statut par ligne (dépassement, au-dessus, sous-réalisation…), une synthèse et une lecture par activité ou par centre de coût. Le budget s'importe et s'exporte en Excel.</w:t>
      </w:r>
    </w:p>
    <w:p>
      <w:pPr>
        <w:keepNext/>
        <w:pBdr>
          <w:bottom w:val="single" w:color="1A9E9E" w:sz="6" w:space="2"/>
        </w:pBdr>
        <w:spacing w:after="100" w:before="280"/>
      </w:pPr>
      <w:r>
        <w:rPr>
          <w:rFonts w:ascii="Calibri" w:cs="Calibri" w:eastAsia="Calibri" w:hAnsi="Calibri"/>
          <w:b/>
          <w:bCs/>
          <w:color w:val="1C1E6B"/>
          <w:sz w:val="26"/>
          <w:szCs w:val="26"/>
        </w:rPr>
        <w:t xml:space="preserve">Immobilisations (Comptabilité &gt; Immobilisations)</w:t>
      </w:r>
    </w:p>
    <w:p>
      <w:pPr>
        <w:spacing w:after="100"/>
        <w:jc w:val="both"/>
      </w:pPr>
      <w:r>
        <w:rPr>
          <w:rFonts w:ascii="Calibri" w:cs="Calibri" w:eastAsia="Calibri" w:hAnsi="Calibri"/>
          <w:sz w:val="20"/>
          <w:szCs w:val="20"/>
        </w:rPr>
        <w:t xml:space="preserve">Registre, plans d'amortissement. Les dotations échues sont comptabilisées chaque nuit. « Sortir de l'actif » : cession (prix et acquéreur, créance 485 et produit 82x) ou mise au rebut (prix nul) ; la valeur nette comptable est portée en 81x. Le registre s'exporte en CSV ou XLSX, avec l'en-tête des états : société, exercice, date d'arrêté (dotations comptabilisées à ce jour) et date d'export.</w:t>
      </w:r>
    </w:p>
    <w:p>
      <w:pPr>
        <w:keepNext/>
        <w:pBdr>
          <w:bottom w:val="single" w:color="1A9E9E" w:sz="6" w:space="2"/>
        </w:pBdr>
        <w:spacing w:after="100" w:before="280"/>
      </w:pPr>
      <w:r>
        <w:rPr>
          <w:rFonts w:ascii="Calibri" w:cs="Calibri" w:eastAsia="Calibri" w:hAnsi="Calibri"/>
          <w:b/>
          <w:bCs/>
          <w:color w:val="1C1E6B"/>
          <w:sz w:val="26"/>
          <w:szCs w:val="26"/>
        </w:rPr>
        <w:t xml:space="preserve">Dette et financement (Comptabilité &gt; Dette et financement)</w:t>
      </w:r>
    </w:p>
    <w:p>
      <w:pPr>
        <w:spacing w:after="100"/>
        <w:jc w:val="both"/>
      </w:pPr>
      <w:r>
        <w:rPr>
          <w:rFonts w:ascii="Calibri" w:cs="Calibri" w:eastAsia="Calibri" w:hAnsi="Calibri"/>
          <w:sz w:val="20"/>
          <w:szCs w:val="20"/>
        </w:rPr>
        <w:t xml:space="preserve">Emprunts et crédits-bails, objet du financement, échéanciers, service de la dette. L'écran compare l'encours comptable (comptes 16 et 17) au capital restant dû des échéanciers : un écart signale un déblocage ou une échéance non comptabilisé. Il donne aussi la dette nette, le gearing (dette sur capitaux propres), la dette rapportée à l'EBE des douze derniers mois et le DSCR, jugé contre le minimum fixé dans les seuils (sans minimum : « seuil non fixé »). Le déblocage se comptabilise depuis la Trésorerie (type « Déblocage d'emprunt », voir plus haut), comme les remboursements anticipés et les intérêts hors échéancier. « Régler » est réservé à la caisse et aux comptes sans relevé : une échéance prélevée en banque se règle depuis la ligne du relevé.</w:t>
      </w:r>
    </w:p>
    <w:p>
      <w:pPr>
        <w:keepNext/>
        <w:pBdr>
          <w:bottom w:val="single" w:color="1A9E9E" w:sz="6" w:space="2"/>
        </w:pBdr>
        <w:spacing w:after="100" w:before="280"/>
      </w:pPr>
      <w:r>
        <w:rPr>
          <w:rFonts w:ascii="Calibri" w:cs="Calibri" w:eastAsia="Calibri" w:hAnsi="Calibri"/>
          <w:b/>
          <w:bCs/>
          <w:color w:val="1C1E6B"/>
          <w:sz w:val="26"/>
          <w:szCs w:val="26"/>
        </w:rPr>
        <w:t xml:space="preserve">Clôtures et contrôles (Comptabilité &gt; Clôtures et contrôles)</w:t>
      </w:r>
    </w:p>
    <w:p>
      <w:pPr>
        <w:spacing w:after="100"/>
        <w:jc w:val="both"/>
      </w:pPr>
      <w:r>
        <w:rPr>
          <w:rFonts w:ascii="Calibri" w:cs="Calibri" w:eastAsia="Calibri" w:hAnsi="Calibri"/>
          <w:sz w:val="20"/>
          <w:szCs w:val="20"/>
        </w:rPr>
        <w:t xml:space="preserve">Clôture mensuelle : un mois se clôture une fois terminé, à partir du lendemain de son dernier jour. La plateforme exécute les contrôles (équilibres, compte de passage, relevés rapprochés et soldes des relevés égaux au solde comptable, pièces en attente, alertes bloquantes au dernier jour du mois, encours de dette conforme aux échéanciers, échéances rapprochées des relevés, centres de coût imputés avec leur activité, références et numérotation…). Une anomalie bloquante empêche la clôture. La clôture passe ensuite, chacune une seule fois : les dotations aux amortissements du mois, la liquidation de la TVA (pièce « TVA-mm/aaaa » datée de la fin du mois, TVA due au 4441 ou crédit reporté au 4449, à défaut gardé au 445), les factures à établir des rotations validées non facturées (pièce « FAE-mm/aaaa », extournée le premier jour du mois suivant) et, si des comptes sont en devise, la réévaluation au cours de clôture : banques en devise, écarts de conversion des créances et dettes encore dues à la fin du mois (478, 479, extournés le mois suivant) et, au dernier mois de l'exercice, la provision pour perte de change (pièce « PDC-mm/aaaa », 6971 et 194, reprise le premier jour de l'exercice suivant). Elle verrouille enfin les écritures et scelle la période : l'empreinte figure sur le procès-verbal de clôture, à imprimer et conserver hors du système ; les contrôles d'intégrité la recalculent (un nouveau journal ou un changement de raison sociale ne la modifient pas, toute retouche d'une écriture du mois la fait signaler). La réouverture est réservée et tracée dans le registre.</w:t>
      </w:r>
    </w:p>
    <w:p>
      <w:pPr>
        <w:spacing w:after="100"/>
        <w:jc w:val="both"/>
      </w:pPr>
      <w:r>
        <w:rPr>
          <w:rFonts w:ascii="Calibri" w:cs="Calibri" w:eastAsia="Calibri" w:hAnsi="Calibri"/>
          <w:sz w:val="20"/>
          <w:szCs w:val="20"/>
        </w:rPr>
        <w:t xml:space="preserve">Validation de la reprise (même écran) : la valeur de référence de chaque indicateur du classeur est chargée depuis le fichier fourni à la reprise ; la plateforme recalcule les 26 indicateurs (équilibre, produits, charges, EBITDA, résultat, trésorerie, stocks, créances et dettes dont échues, CA et achats TTC, transport, bilan, capitaux propres) et donne l'écart de chacun. Le résultat « n/26 », horodaté, s'imprime en annexe du procès-verbal de bascule.</w:t>
      </w:r>
    </w:p>
    <w:p>
      <w:pPr>
        <w:keepNext/>
        <w:pBdr>
          <w:bottom w:val="single" w:color="1A9E9E" w:sz="6" w:space="2"/>
        </w:pBdr>
        <w:spacing w:after="100" w:before="280"/>
      </w:pPr>
      <w:r>
        <w:rPr>
          <w:rFonts w:ascii="Calibri" w:cs="Calibri" w:eastAsia="Calibri" w:hAnsi="Calibri"/>
          <w:b/>
          <w:bCs/>
          <w:color w:val="1C1E6B"/>
          <w:sz w:val="26"/>
          <w:szCs w:val="26"/>
        </w:rPr>
        <w:t xml:space="preserve">Clôture de l'exercice (Comptabilité &gt; Clôtures et contrôles)</w:t>
      </w:r>
    </w:p>
    <w:p>
      <w:pPr>
        <w:spacing w:after="100"/>
        <w:jc w:val="both"/>
      </w:pPr>
      <w:r>
        <w:rPr>
          <w:rFonts w:ascii="Calibri" w:cs="Calibri" w:eastAsia="Calibri" w:hAnsi="Calibri"/>
          <w:sz w:val="20"/>
          <w:szCs w:val="20"/>
        </w:rPr>
        <w:t xml:space="preserve">Choisir l'exercice en haut de l'écran : le bloc « Clôture de l'exercice » donne l'état des douze mois, le résultat de l'exercice, ce qui est déjà affecté et ce qui reste à affecter, puis le verrouillage définitif.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Rien à passer pour ouvrir l'exercice suivant.</w:t>
      </w:r>
      <w:r>
        <w:rPr>
          <w:rFonts w:ascii="Calibri" w:cs="Calibri" w:eastAsia="Calibri" w:hAnsi="Calibri"/>
          <w:sz w:val="20"/>
          <w:szCs w:val="20"/>
        </w:rPr>
        <w:t xml:space="preserve"> Les comptes de charges et de produits (classes 6 à 8) repartent d'eux-mêmes de zéro au 1er janvier ; le résultat de l'exercice clos figure au bilan en « Report à nouveau » (CH) tant qu'il n'est pas affecté, et « Résultat net de l'exercice » (CJ) ne porte que l'exercice en cours. La balance, le grand livre et le fichier SAF-T de l'exercice suivant reprennent ce résultat à l'ouverture du compte 999999 « Affectation du résultat ». Ne saisissez pas d'à-nouveaux.</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Clôturer les douze mois</w:t>
      </w:r>
      <w:r>
        <w:rPr>
          <w:rFonts w:ascii="Calibri" w:cs="Calibri" w:eastAsia="Calibri" w:hAnsi="Calibri"/>
          <w:sz w:val="20"/>
          <w:szCs w:val="20"/>
        </w:rPr>
        <w:t xml:space="preserve">, dans l'ordre, comme chaque mois (section précédente).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Affecter le résultat après l'assemblée.</w:t>
      </w:r>
      <w:r>
        <w:rPr>
          <w:rFonts w:ascii="Calibri" w:cs="Calibri" w:eastAsia="Calibri" w:hAnsi="Calibri"/>
          <w:sz w:val="20"/>
          <w:szCs w:val="20"/>
        </w:rPr>
        <w:t xml:space="preserve"> Profil finance (ou administration), avec le droit « Saisie libre des comptes ». Saisir la date de l'assemblée (après la fin de l'exercice, dans un mois encore ouvert : passez l'affectation avant de clôturer le mois de l'assemblée), puis une ligne par décision : réserve légale (111), réserves statutaires (112) ou autres réserves (118), report à nouveau (121 créditeur, 129 débiteur), dividendes à payer (465, avec l'associé si besoin). Le total doit être égal au résultat restant à affecter. Une perte s'impute sur les réserves ou se reporte à nouveau (129), jamais en dividendes. Rappel à faire confirmer par l'expert-comptable : la réserve légale reçoit au moins un dixième du bénéfice (diminué des pertes antérieures) tant qu'elle n'atteint pas le cinquième du capital.</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Valider l'OD.</w:t>
      </w:r>
      <w:r>
        <w:rPr>
          <w:rFonts w:ascii="Calibri" w:cs="Calibri" w:eastAsia="Calibri" w:hAnsi="Calibri"/>
          <w:sz w:val="20"/>
          <w:szCs w:val="20"/>
        </w:rPr>
        <w:t xml:space="preserve"> La plateforme crée l'OD « Affectation du résultat AAAA » en brouillon, dans le journal des opérations diverses, en contrepartie du compte 999999. Ouvrez-la (dans le bloc ou dans Journaux et OD), joignez le procès-verbal de l'assemblée, puis « Valider » : elle suit le circuit d'approbation des OD. Une fois validée, le report à nouveau du bilan passe en réserves, en report à nouveau décidé et en dividendes à payer, sans déséquilibre. Pour corriger un brouillon, supprimez-le et recommencez ; une seconde OD n'est acceptée que pour un reste à affecter. Passez toujours l'affectation par ce bloc, jamais par une OD libre.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Verrouiller définitivement l'exercice.</w:t>
      </w:r>
      <w:r>
        <w:rPr>
          <w:rFonts w:ascii="Calibri" w:cs="Calibri" w:eastAsia="Calibri" w:hAnsi="Calibri"/>
          <w:sz w:val="20"/>
          <w:szCs w:val="20"/>
        </w:rPr>
        <w:t xml:space="preserve"> Réservé à la direction et à l'administration, une fois l'exercice terminé, les douze mois clôturés et aucune pièce en brouillon jusqu'au 31 décembre : le bloc dit ce qui manque. Le verrouillage est </w:t>
      </w:r>
      <w:r>
        <w:rPr>
          <w:rFonts w:ascii="Calibri" w:cs="Calibri" w:eastAsia="Calibri" w:hAnsi="Calibri"/>
          <w:b/>
          <w:bCs/>
          <w:sz w:val="20"/>
          <w:szCs w:val="20"/>
        </w:rPr>
        <w:t xml:space="preserve">irréversible</w:t>
      </w:r>
      <w:r>
        <w:rPr>
          <w:rFonts w:ascii="Calibri" w:cs="Calibri" w:eastAsia="Calibri" w:hAnsi="Calibri"/>
          <w:sz w:val="20"/>
          <w:szCs w:val="20"/>
        </w:rPr>
        <w:t xml:space="preserve"> : plus aucune écriture ne peut être passée, modifiée ou supprimée jusqu'au 31 décembre, même par l'administration, et aucun mois de l'exercice ne peut plus être rouvert. Il est tracé au registre des clôtures. Il n'empêche pas l'affectation du résultat, passée à la date de l'assemblée dans l'exercice suivant.</w:t>
      </w:r>
    </w:p>
    <w:p>
      <w:pPr>
        <w:keepNext/>
        <w:pBdr>
          <w:bottom w:val="single" w:color="1A9E9E" w:sz="6" w:space="2"/>
        </w:pBdr>
        <w:spacing w:after="100" w:before="280"/>
      </w:pPr>
      <w:r>
        <w:rPr>
          <w:rFonts w:ascii="Calibri" w:cs="Calibri" w:eastAsia="Calibri" w:hAnsi="Calibri"/>
          <w:b/>
          <w:bCs/>
          <w:color w:val="1C1E6B"/>
          <w:sz w:val="26"/>
          <w:szCs w:val="26"/>
        </w:rPr>
        <w:t xml:space="preserve">Balance et états (Comptabilité &gt; Balance et états)</w:t>
      </w:r>
    </w:p>
    <w:p>
      <w:pPr>
        <w:spacing w:after="100"/>
        <w:jc w:val="both"/>
      </w:pPr>
      <w:r>
        <w:rPr>
          <w:rFonts w:ascii="Calibri" w:cs="Calibri" w:eastAsia="Calibri" w:hAnsi="Calibri"/>
          <w:sz w:val="20"/>
          <w:szCs w:val="20"/>
        </w:rPr>
        <w:t xml:space="preserve">Bilan, compte de résultat et tableau des flux de trésorerie SYSCOHADA ; balance, grand livre, rapports paramétrables, passerelle IFRS et export d'audit (SAF-T), en CSV ou XLSX. Les flux mensuels exportés sont ceux du tableau de bord (un seul calcul), arrêtés à la date d'arrêté, avec la colonne « Contrôle » de chaque mois (à venir, sous le seuil de sécurité, cash net négatif, conforme). L'onglet « Consolidé du groupe » donne le compte de résultat et le bilan de chaque société, les éliminations des opérations entre sociétés du groupe (ventes et achats réciproques, créances et dettes, comptes courants) et le total du groupe ; il demande un compte ouvert aux deux sociétés.</w:t>
      </w:r>
    </w:p>
    <w:p>
      <w:pPr>
        <w:spacing w:after="100"/>
        <w:jc w:val="both"/>
      </w:pPr>
      <w:r>
        <w:rPr>
          <w:rFonts w:ascii="Calibri" w:cs="Calibri" w:eastAsia="Calibri" w:hAnsi="Calibri"/>
          <w:sz w:val="20"/>
          <w:szCs w:val="20"/>
        </w:rPr>
        <w:t xml:space="preserve">Au tableau des flux, une immobilisation achetée et non encore payée n'est ni un décaissement d'investissement ni une ressource d'exploitation : seule la part payée passe en acquisitions ; de même, une cession non encaissée (créance 485) ne compte pas encore en encaissement. Le fichier SAF-T porte sur une période d'un seul exercice.</w:t>
      </w:r>
    </w:p>
    <w:p>
      <w:pPr>
        <w:keepNext/>
        <w:pBdr>
          <w:bottom w:val="single" w:color="1A9E9E" w:sz="6" w:space="2"/>
        </w:pBdr>
        <w:spacing w:after="100" w:before="280"/>
      </w:pPr>
      <w:r>
        <w:rPr>
          <w:rFonts w:ascii="Calibri" w:cs="Calibri" w:eastAsia="Calibri" w:hAnsi="Calibri"/>
          <w:b/>
          <w:bCs/>
          <w:color w:val="1C1E6B"/>
          <w:sz w:val="26"/>
          <w:szCs w:val="26"/>
        </w:rPr>
        <w:t xml:space="preserve">Fiscalité (Comptabilité &gt; Fiscalité)</w:t>
      </w:r>
    </w:p>
    <w:p>
      <w:pPr>
        <w:spacing w:after="100"/>
        <w:jc w:val="both"/>
      </w:pPr>
      <w:r>
        <w:rPr>
          <w:rFonts w:ascii="Calibri" w:cs="Calibri" w:eastAsia="Calibri" w:hAnsi="Calibri"/>
          <w:sz w:val="20"/>
          <w:szCs w:val="20"/>
        </w:rPr>
        <w:t xml:space="preserve">TVA collectée et déductible par période, préparation des déclarations à partir des écritures, historique des déclarations. Retenues à la source : taux et comptes paramétrables, appliqués à la saisie d'une pièce d'achat (ou par défaut depuis la fiche du fournisseur) et repris dans la déclaration du mois. IFRS : matrice des pertes attendues par ancienneté des créances (retraitement hors des livres SYSCOHADA) et passerelle des retraitements.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finance et de la comptabilité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finance et de la comptabilité</dc:title>
  <dc:creator>E-VOLUTION XP</dc:creator>
  <cp:lastModifiedBy>Un-named</cp:lastModifiedBy>
  <cp:revision>1</cp:revision>
  <dcterms:created xsi:type="dcterms:W3CDTF">2026-10-26T11:36:40.696Z</dcterms:created>
  <dcterms:modified xsi:type="dcterms:W3CDTF">2026-10-26T11:36:40.696Z</dcterms:modified>
</cp:coreProperties>
</file>

<file path=docProps/custom.xml><?xml version="1.0" encoding="utf-8"?>
<Properties xmlns="http://schemas.openxmlformats.org/officeDocument/2006/custom-properties" xmlns:vt="http://schemas.openxmlformats.org/officeDocument/2006/docPropsVTypes"/>
</file>