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version du 25 octobre 2026, à relire par le gérant avant envoi au client. Il remplace le projet du 17 octobre 2026, qui n'a pas été signé.</w:t>
      </w:r>
    </w:p>
    <w:p>
      <w:pPr>
        <w:spacing w:after="100"/>
        <w:jc w:val="both"/>
      </w:pPr>
      <w:r>
        <w:rPr>
          <w:rFonts w:ascii="Calibri" w:cs="Calibri" w:eastAsia="Calibri" w:hAnsi="Calibri"/>
          <w:sz w:val="20"/>
          <w:szCs w:val="20"/>
        </w:rPr>
        <w:t xml:space="preserve">Référence : offre OTF-EGUITRA-2026-37 du 29 septembre 2026. Objet : arrêter la conception (offre, chapitre 6.2, jalon de la semaine 1) et la liste définitive des composants du noyau (chapitre 3.8). Le document décrit la plateforme telle qu'elle est au 25 octobre 2026 et signale chaque écart avec l'offre. Les montants et les délais de l'offre ne changent pas.</w:t>
      </w:r>
    </w:p>
    <w:p>
      <w:pPr>
        <w:spacing w:after="100"/>
        <w:jc w:val="both"/>
      </w:pPr>
      <w:r>
        <w:rPr>
          <w:rFonts w:ascii="Calibri" w:cs="Calibri" w:eastAsia="Calibri" w:hAnsi="Calibri"/>
          <w:sz w:val="20"/>
          <w:szCs w:val="20"/>
        </w:rPr>
        <w:t xml:space="preserve">Il s'appuie sur les prototypes de la direction (M. Diallo, DGA), adoptés comme cahier des charges (offre, 2.3), et sur le courrier du responsable financier (M. Kalissa) et ses vingt attentes.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Consulting, sur un noyau de gestion que les utilisateurs ne voient jamais. Les applications prévues par l'offre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EGUITRA Finance : pilotage du dirigeant, comptabilité SYSCOHADA révisé, analytique, trésorerie et rapprochement bancaire, approbations, clôtures, états financiers, fiscalité, dette, immobilisations, budget, consolidation, BTP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Transport pétrolier : flotte, chauffeurs, routes et tarifs, rotations, facturation, manquants, taxes spécifiques, rentabilité par ensemble routier et par route.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application de saisie au parc, installable sur téléphone, utilisable sans réseau.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Suite : évaluation des projets selon la méthode de MB AxisPro Consulting (stage gates, scores, knock-outs, écarts prioritaires), data room, comités et décisions scellées, rapports,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des porteurs de projets : dépôt des pièces, suivi du dossier, échanges avec le cabinet.</w:t>
      </w:r>
    </w:p>
    <w:p>
      <w:pPr>
        <w:spacing w:after="100"/>
        <w:jc w:val="both"/>
      </w:pPr>
      <w:r>
        <w:rPr>
          <w:rFonts w:ascii="Calibri" w:cs="Calibri" w:eastAsia="Calibri" w:hAnsi="Calibri"/>
          <w:sz w:val="20"/>
          <w:szCs w:val="20"/>
        </w:rPr>
        <w:t xml:space="preserve">Une seule application web sert toutes les surfaces. Les écrans portent la marque NIMOVA, identité transmise par la direction générale le 15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2635"/>
        <w:gridCol w:w="2208"/>
        <w:gridCol w:w="4014"/>
      </w:tblGrid>
      <w:tr>
        <w:trPr>
          <w:tblHeader/>
        </w:trPr>
        <w:tc>
          <w:tcPr>
            <w:tcW w:type="dxa" w:w="78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w:t>
            </w:r>
          </w:p>
        </w:tc>
        <w:tc>
          <w:tcPr>
            <w:tcW w:type="dxa" w:w="26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22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 servie</w:t>
            </w:r>
          </w:p>
        </w:tc>
        <w:tc>
          <w:tcPr>
            <w:tcW w:type="dxa" w:w="401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Profils</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Finance</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l'une ou l'autre, au choix ; vue consolidée</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achats, exploitation, BTP, immobilier</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à part entière depuis le 22 octobre 2026</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exploitation</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/mobile</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utilisable hors ligne</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exploitation</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cabinet</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 (ajout, point 2)</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analyses propres à chacune</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cabinet</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 (ajout, point 2)</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ressources humaines ; « Mon espace » pour un salarié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2. Ajouts réalisés hors du périmètre de l'offre initiale</w:t>
      </w:r>
    </w:p>
    <w:p>
      <w:pPr>
        <w:spacing w:after="100"/>
        <w:jc w:val="both"/>
      </w:pPr>
      <w:r>
        <w:rPr>
          <w:rFonts w:ascii="Calibri" w:cs="Calibri" w:eastAsia="Calibri" w:hAnsi="Calibri"/>
          <w:sz w:val="20"/>
          <w:szCs w:val="20"/>
        </w:rPr>
        <w:t xml:space="preserve">Les éléments suivants ont été réalisés en plus de l'offre. Ils ne font pas partie du périmètre décrit aux chapitres 3 et 4. Tous sont en production, sauf le module HSSEQ, à venir.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7"/>
        <w:gridCol w:w="1350"/>
        <w:gridCol w:w="6161"/>
      </w:tblGrid>
      <w:tr>
        <w:trPr>
          <w:tblHeader/>
        </w:trPr>
        <w:tc>
          <w:tcPr>
            <w:tcW w:type="dxa" w:w="212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Ajout</w:t>
            </w:r>
          </w:p>
        </w:tc>
        <w:tc>
          <w:tcPr>
            <w:tcW w:type="dxa" w:w="135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Réalisé le</w:t>
            </w:r>
          </w:p>
        </w:tc>
        <w:tc>
          <w:tcPr>
            <w:tcW w:type="dxa" w:w="61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qui dépasse l'offre</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à part entière</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séparée d'EGUITRA Finance ; ensembles gérés pour des propriétaires, règles de répartition et relevés mensuels ; coûts standard des routes et marge estimée des rotations.</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enrichi (module </w:t>
            </w:r>
            <w:r>
              <w:rPr>
                <w:rFonts w:ascii="Consolas" w:cs="Consolas" w:eastAsia="Consolas" w:hAnsi="Consolas"/>
                <w:color w:val="333333"/>
                <w:sz w:val="15"/>
                <w:szCs w:val="15"/>
              </w:rPr>
              <w:t xml:space="preserve">eguitra_portail</w:t>
            </w:r>
            <w:r>
              <w:rPr>
                <w:rFonts w:ascii="Calibri" w:cs="Calibri" w:eastAsia="Calibri" w:hAnsi="Calibri"/>
                <w:sz w:val="17"/>
                <w:szCs w:val="17"/>
              </w:rPr>
              <w:t xml:space="preserve">)</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Communications du cabinet, centre de ressources, événements et formations, rendez-vous, notifications, simulateurs, avis des porteurs.</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mode expert</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16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Modèle financier prévisionnel (VAN, TRI, DSCR, sensibilités, scénarios), registre des risques, plan d'actions, financements recherchés, pilotage du portefeuille.</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 octobre 2026</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Analyses statistiques et prévisions propres à chaque société (trésorerie à 13 semaines, rentabilité, clients, portefeuille du cabinet), constats classés par impact.</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Personnel, absences et congés, avances et prêts, paie et bulletins, déclarations sociales. La paie figure parmi les évolutions facturables de l'offre (chapitre 7.4).</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HSSEQ</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 venir</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Module à réaliser sous avenant, à partir de la spécification v1.0 du 24 octobre 2026.</w:t>
            </w:r>
          </w:p>
        </w:tc>
      </w:tr>
    </w:tbl>
    <w:p>
      <w:pPr>
        <w:spacing w:after="80"/>
      </w:pPr>
    </w:p>
    <w:p>
      <w:pPr>
        <w:spacing w:after="100"/>
        <w:jc w:val="both"/>
      </w:pPr>
      <w:r>
        <w:rPr>
          <w:rFonts w:ascii="Calibri" w:cs="Calibri" w:eastAsia="Calibri" w:hAnsi="Calibri"/>
          <w:sz w:val="20"/>
          <w:szCs w:val="20"/>
        </w:rPr>
        <w:t xml:space="preserve">Les fonctions prévues par l'offre restent dues et garanties, quelle que soit l'application qui les porte : le transport pétrolier des chapitres 3.4 et 3.5 dans l'application Transport ; le dépôt des pièces, le suivi du dossier et les échanges du chapitre 3.7 dans le portail.</w:t>
      </w:r>
    </w:p>
    <w:p>
      <w:pPr>
        <w:spacing w:after="100"/>
        <w:jc w:val="both"/>
      </w:pPr>
      <w:r>
        <w:rPr>
          <w:rFonts w:ascii="Calibri" w:cs="Calibri" w:eastAsia="Calibri" w:hAnsi="Calibri"/>
          <w:sz w:val="20"/>
          <w:szCs w:val="20"/>
        </w:rPr>
        <w:t xml:space="preserve">Garantie. Le chapitre 7.1 de l'offre garantit la plateforme six mois à compter du procès-verbal de mise en production, pour les anomalies par rapport au périmètre recetté. Il exclut les évolutions de périmètre, qui relèvent du chapitre 7.4. Toute évolution de périmètre fait l'objet d'un avenant chiffré (chapitre 8.1). Sauf accord écrit, la garantie, le support et la maintenance ne s'étendent donc pas aux ajouts ci-dessus.</w:t>
      </w:r>
    </w:p>
    <w:p>
      <w:pPr>
        <w:keepNext/>
        <w:pBdr>
          <w:bottom w:val="single" w:color="1A9E9E" w:sz="6" w:space="2"/>
        </w:pBdr>
        <w:spacing w:after="100" w:before="280"/>
      </w:pPr>
      <w:r>
        <w:rPr>
          <w:rFonts w:ascii="Calibri" w:cs="Calibri" w:eastAsia="Calibri" w:hAnsi="Calibri"/>
          <w:b/>
          <w:bCs/>
          <w:color w:val="1C1E6B"/>
          <w:sz w:val="26"/>
          <w:szCs w:val="26"/>
        </w:rPr>
        <w:t xml:space="preserve">3.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(Next.js) pour toutes les surfaces du point 1, en français, à l'image du groupe et du cabinet.</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parle qu'à la passerelle </w:t>
            </w:r>
            <w:r>
              <w:rPr>
                <w:rFonts w:ascii="Consolas" w:cs="Consolas" w:eastAsia="Consolas" w:hAnsi="Consolas"/>
                <w:color w:val="333333"/>
                <w:sz w:val="15"/>
                <w:szCs w:val="15"/>
              </w:rPr>
              <w:t xml:space="preserve">/api/odoo</w:t>
            </w:r>
            <w:r>
              <w:rPr>
                <w:rFonts w:ascii="Calibri" w:cs="Calibri" w:eastAsia="Calibri" w:hAnsi="Calibri"/>
                <w:sz w:val="17"/>
                <w:szCs w:val="17"/>
              </w:rPr>
              <w:t xml:space="preserve"> et ne détient jamais les jetons d'accès (cookies protégés) ; contrôle d'origine contre la falsification de requêtes ; politique de sécurité du contenu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Routes </w:t>
            </w:r>
            <w:r>
              <w:rPr>
                <w:rFonts w:ascii="Consolas" w:cs="Consolas" w:eastAsia="Consolas" w:hAnsi="Consolas"/>
                <w:color w:val="333333"/>
                <w:sz w:val="15"/>
                <w:szCs w:val="15"/>
              </w:rPr>
              <w:t xml:space="preserve">/api/v1</w:t>
            </w:r>
            <w:r>
              <w:rPr>
                <w:rFonts w:ascii="Calibri" w:cs="Calibri" w:eastAsia="Calibri" w:hAnsi="Calibri"/>
                <w:sz w:val="17"/>
                <w:szCs w:val="17"/>
              </w:rPr>
              <w:t xml:space="preserve"> exécutées dans le noyau (module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sous l'identité de l'utilisateur et avec ses droits.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19.0 Community, localisation guinéenne (plan SYSCOHADA en GNF), dix modules OCA, onze modules spécifiques.</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supervision (état exact au point 9).</w:t>
            </w:r>
          </w:p>
        </w:tc>
      </w:tr>
    </w:tbl>
    <w:p>
      <w:pPr>
        <w:spacing w:after="80"/>
      </w:pPr>
    </w:p>
    <w:p>
      <w:pPr>
        <w:spacing w:after="100"/>
        <w:jc w:val="both"/>
      </w:pPr>
      <w:r>
        <w:rPr>
          <w:rFonts w:ascii="Calibri" w:cs="Calibri" w:eastAsia="Calibri" w:hAnsi="Calibri"/>
          <w:sz w:val="20"/>
          <w:szCs w:val="20"/>
        </w:rPr>
        <w:t xml:space="preserve">Deux environnements complets et séparés sur le même serveur : la production (données réelles) et la recette (essais, formation, validation de chaque évolution). Chacun a sa base, son noyau, ses applications web, ses secrets et ses cookies ; ils ne partagent que le serveur et le proxy. Une évolution est installée en recette, essayée par les référents, puis mise en production par une procédure unique : la version validée est figée, la base sauvegardée juste avant, le noyau mis à jour, le résultat contrôlé ; en cas d'échec, la version précédente revient en service.</w:t>
      </w:r>
    </w:p>
    <w:p>
      <w:pPr>
        <w:keepNext/>
        <w:pBdr>
          <w:bottom w:val="single" w:color="1A9E9E" w:sz="6" w:space="2"/>
        </w:pBdr>
        <w:spacing w:after="100" w:before="280"/>
      </w:pPr>
      <w:r>
        <w:rPr>
          <w:rFonts w:ascii="Calibri" w:cs="Calibri" w:eastAsia="Calibri" w:hAnsi="Calibri"/>
          <w:b/>
          <w:bCs/>
          <w:color w:val="1C1E6B"/>
          <w:sz w:val="26"/>
          <w:szCs w:val="26"/>
        </w:rPr>
        <w:t xml:space="preserve">4. Composants du noyau : liste définitive</w:t>
      </w:r>
    </w:p>
    <w:p>
      <w:pPr>
        <w:spacing w:after="100"/>
        <w:jc w:val="both"/>
      </w:pPr>
      <w:r>
        <w:rPr>
          <w:rFonts w:ascii="Calibri" w:cs="Calibri" w:eastAsia="Calibri" w:hAnsi="Calibri"/>
          <w:sz w:val="20"/>
          <w:szCs w:val="20"/>
        </w:rPr>
        <w:t xml:space="preserve">Liste arrêtée le 14 octobre 2026, lendemain de la réunion de cadrage, après installation et tests de chaque module sur la version 19.0 du noyau. Les modules OCA sont figés à un commit précis (</w:t>
      </w:r>
      <w:r>
        <w:rPr>
          <w:rFonts w:ascii="Consolas" w:cs="Consolas" w:eastAsia="Consolas" w:hAnsi="Consolas"/>
          <w:color w:val="333333"/>
          <w:sz w:val="18"/>
          <w:szCs w:val="18"/>
        </w:rPr>
        <w:t xml:space="preserve">infra/oca/lock.txt</w:t>
      </w:r>
      <w:r>
        <w:rPr>
          <w:rFonts w:ascii="Calibri" w:cs="Calibri" w:eastAsia="Calibri" w:hAnsi="Calibri"/>
          <w:sz w:val="20"/>
          <w:szCs w:val="20"/>
        </w:rPr>
        <w:t xml:space="preserve">) ; une mise à jour se décide et se teste en recette.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54"/>
        <w:gridCol w:w="4784"/>
      </w:tblGrid>
      <w:tr>
        <w:trPr>
          <w:tblHeader/>
        </w:trPr>
        <w:tc>
          <w:tcPr>
            <w:tcW w:type="dxa" w:w="48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47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19.0 Community (standard), localisation </w:t>
            </w:r>
            <w:r>
              <w:rPr>
                <w:rFonts w:ascii="Consolas" w:cs="Consolas" w:eastAsia="Consolas" w:hAnsi="Consolas"/>
                <w:color w:val="333333"/>
                <w:sz w:val="15"/>
                <w:szCs w:val="15"/>
              </w:rPr>
              <w:t xml:space="preserve">l10n_gn</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politique des mots de passe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auth_totp</w:t>
            </w:r>
            <w:r>
              <w:rPr>
                <w:rFonts w:ascii="Calibri" w:cs="Calibri" w:eastAsia="Calibri" w:hAnsi="Calibri"/>
                <w:sz w:val="17"/>
                <w:szCs w:val="17"/>
              </w:rPr>
              <w:t xml:space="preserve">, </w:t>
            </w:r>
            <w:r>
              <w:rPr>
                <w:rFonts w:ascii="Consolas" w:cs="Consolas" w:eastAsia="Consolas" w:hAnsi="Consolas"/>
                <w:color w:val="333333"/>
                <w:sz w:val="15"/>
                <w:szCs w:val="15"/>
              </w:rPr>
              <w:t xml:space="preserve">auth_password_policy</w:t>
            </w:r>
            <w:r>
              <w:rPr>
                <w:rFonts w:ascii="Calibri" w:cs="Calibri" w:eastAsia="Calibri" w:hAnsi="Calibri"/>
                <w:sz w:val="17"/>
                <w:szCs w:val="17"/>
              </w:rPr>
              <w:t xml:space="preserve"> (Odoo Community)</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p>
        </w:tc>
      </w:tr>
    </w:tbl>
    <w:p>
      <w:pPr>
        <w:spacing w:after="80"/>
      </w:pPr>
    </w:p>
    <w:p>
      <w:pPr>
        <w:spacing w:after="100"/>
        <w:jc w:val="both"/>
      </w:pPr>
      <w:r>
        <w:rPr>
          <w:rFonts w:ascii="Calibri" w:cs="Calibri" w:eastAsia="Calibri" w:hAnsi="Calibri"/>
          <w:sz w:val="20"/>
          <w:szCs w:val="20"/>
        </w:rPr>
        <w:t xml:space="preserve">Les dépendances techniques de ces modules viennent des mêmes dépôts OCA (douze dépôts, branche 19.0, commits figés).</w:t>
      </w:r>
    </w:p>
    <w:p>
      <w:pPr>
        <w:spacing w:after="100"/>
        <w:jc w:val="both"/>
      </w:pPr>
      <w:r>
        <w:rPr>
          <w:rFonts w:ascii="Calibri" w:cs="Calibri" w:eastAsia="Calibri" w:hAnsi="Calibri"/>
          <w:sz w:val="20"/>
          <w:szCs w:val="20"/>
        </w:rPr>
        <w:t xml:space="preserve">Écart avec l'offre, sans surcoût.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cités au chapitre 3.8 n'existent pas pour la version 19.0 du noyau, retenue parce qu'elle est maintenue plus longtemps (jusqu'à l'automne 2028). Le besoin (corbeille de validation à plusieurs niveaux, seuils par montant et par nature) est couvert par le moteur spécifique : niveaux successifs, approbateurs par profil, seuils par nature de pièce, journal des décisions, nouvelle approbation si la pièce est modifiée, aucun contournement hors du moteur ; un même compte ne tranche qu'une étape d'une demande.</w:t>
      </w:r>
    </w:p>
    <w:p>
      <w:pPr>
        <w:spacing w:after="100"/>
        <w:jc w:val="both"/>
      </w:pPr>
      <w:r>
        <w:rPr>
          <w:rFonts w:ascii="Calibri" w:cs="Calibri" w:eastAsia="Calibri" w:hAnsi="Calibri"/>
          <w:sz w:val="20"/>
          <w:szCs w:val="20"/>
        </w:rPr>
        <w:t xml:space="preserve">Les onze modules spécifiques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Module</w:t>
            </w:r>
          </w:p>
        </w:tc>
        <w:tc>
          <w:tcPr>
            <w:tcW w:type="dxa" w:w="76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Sociétés, profils, axes analytiques, règles de la piste d'audit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eguitra_api</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 authentification, double authentification, sessions, administration des comptes et des sociétés, contrôle des fichiers reçus</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eguitra_finance</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Finance : pilotage, comptabilité, trésorerie, clôtures, états, fiscalité, dette, immobilisations, budget, consolidation, validation de la reprise</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eguitra_approval</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 : engagements de dépense, pièces d'achat, règlements et décaissements</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eguitra_transport</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 flotte, chauffeurs, routes et tarifs, rotations, facturation, manquants, taxes spécifiques, rentabilité, synchronisation de Rotations ; ensembles gérés et coûts standard (ajout)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eguitra_chantier</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BTP : chantiers, situations d'avancement, facturation, retenues de garantie</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eguitra_immobilier</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 : biens, baux, loyers, quittancement, impayés</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eguitra_axispro</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 grille versionnée, dossiers, évaluation, data room, comités, rapports, temps et honoraires, portail de base ; mode expert (ajout)</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eguitra_portail</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enrichi (ajout)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eguitra_analytics</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 en lecture seule (ajout)</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eguitra_rh</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 (ajout)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5.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 EGUITRA GROUP SARLU et MB AxisPro Consulting vivent dans la même base, avec des comptabilités séparées. Chacune a son plan de comptes SYSCOHADA, ses journaux, ses taxes, sa numérotation des pièces, ses exercices et ses clôtures.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compte pour les deux sociétés : l'administration ouvre à chaque utilisateur une société ou les deux. Un utilisateur ouvert aux deux passe de l'une à l'autre par le sélecteur de l'écran, sans se reconnecter. La direction et la finance disposent de la vue « Groupe consolidé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Applications et sociétés : Transport, BTP, immobilier et Rotations ne servent qu'EGUITRA GROUP SARLU ; AxisPro Suite et le portail ne servent que MB AxisPro Consulting ; Finance, Analyse et RH servent les deux. Le noyau refuse qu'un module réservé à une société travaille dans l'autre.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comptes : plan SYSCOHADA de la localisation guinéenne (1 142 comptes par société), à valider par l'expert-comptable (offre, chapitre 6.5), avec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 centre de coût, chantier, ensemble routier, route, bien immobilier, dossier AxisPro. Les axes chantier, ensemble, route, bien et dossier se créent avec leur objet. Activités du cabinet : gestion de projets, formation et coaching, conseil, audit d'évaluation des transporteurs, certification.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Journaux : ventes (FAC), achats (FACTU), banques et caisses, opérations diverses (OD), à-nouveaux (AN, situation d'ouverture du tableau des flux), différences de change, salaires (SAL, créé par le module RH).</w:t>
      </w:r>
    </w:p>
    <w:p>
      <w:pPr>
        <w:keepNext/>
        <w:pBdr>
          <w:bottom w:val="single" w:color="1A9E9E" w:sz="6" w:space="2"/>
        </w:pBdr>
        <w:spacing w:after="100" w:before="280"/>
      </w:pPr>
      <w:r>
        <w:rPr>
          <w:rFonts w:ascii="Calibri" w:cs="Calibri" w:eastAsia="Calibri" w:hAnsi="Calibri"/>
          <w:b/>
          <w:bCs/>
          <w:color w:val="1C1E6B"/>
          <w:sz w:val="26"/>
          <w:szCs w:val="26"/>
        </w:rPr>
        <w:t xml:space="preserve">6. Profils et droits</w:t>
      </w:r>
    </w:p>
    <w:p>
      <w:pPr>
        <w:spacing w:after="100"/>
        <w:jc w:val="both"/>
      </w:pPr>
      <w:r>
        <w:rPr>
          <w:rFonts w:ascii="Calibri" w:cs="Calibri" w:eastAsia="Calibri" w:hAnsi="Calibri"/>
          <w:sz w:val="20"/>
          <w:szCs w:val="20"/>
        </w:rPr>
        <w:t xml:space="preserve">Dix profils. L'offre (chapitre 5.3) en cite sept ; s'y ajoutent l'administration (prévue au chapitre 3.4), les achats (21 octobre 2026) et les ressources humaines (22 octobre 2026, avec le module RH). Un utilisateur peut cumuler plusieurs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9"/>
        <w:gridCol w:w="1645"/>
        <w:gridCol w:w="1500"/>
        <w:gridCol w:w="5323"/>
      </w:tblGrid>
      <w:tr>
        <w:trPr>
          <w:tblHeader/>
        </w:trPr>
        <w:tc>
          <w:tcPr>
            <w:tcW w:type="dxa" w:w="116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164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5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c>
          <w:tcPr>
            <w:tcW w:type="dxa" w:w="532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Périmètre</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AxisPro Suite, Analyse, RH</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consolidation, dernier niveau d'approbation ; lecture seule dans AxisPro Suite</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et comptabilité</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Analyse</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immobilisations, budget, clôtures, états, déclarations</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Achats</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partie achats</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 et devis, pièces d'achat et avoirs fournisseurs, fiches fournisseurs ; ni ventes, ni trésorerie, ni états</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transport</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Flotte, chauffeurs, routes et tarifs, rotations, rentabilité</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situations d'avancement, retenues de garantie</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loyers et quittancement, patrimoine</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Analyse</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évaluations, data room, comités, rapports, temps et honoraires</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Ressources humaines</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RH</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Personnel, absences et congés, avances, paie et bulletins</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 sauf le portail</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Référentiels, seuils, taux de change, comptes et profils, journal d'audit</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Ses dossiers seulement</w:t>
            </w:r>
          </w:p>
        </w:tc>
      </w:tr>
    </w:tbl>
    <w:p>
      <w:pPr>
        <w:spacing w:after="80"/>
      </w:pPr>
    </w:p>
    <w:p>
      <w:pPr>
        <w:spacing w:after="100"/>
        <w:jc w:val="both"/>
      </w:pPr>
      <w:r>
        <w:rPr>
          <w:rFonts w:ascii="Calibri" w:cs="Calibri" w:eastAsia="Calibri" w:hAnsi="Calibri"/>
          <w:sz w:val="20"/>
          <w:szCs w:val="20"/>
        </w:rPr>
        <w:t xml:space="preserve">Un compte lié à un dossier du personnel ouvre aussi RH, réduit à « Mon espace » : son dossier, ses absences, ses bulletins.</w:t>
      </w:r>
    </w:p>
    <w:p>
      <w:pPr>
        <w:spacing w:after="100"/>
        <w:jc w:val="both"/>
      </w:pPr>
      <w:r>
        <w:rPr>
          <w:rFonts w:ascii="Calibri" w:cs="Calibri" w:eastAsia="Calibri" w:hAnsi="Calibri"/>
          <w:sz w:val="20"/>
          <w:szCs w:val="20"/>
        </w:rPr>
        <w:t xml:space="preserve">Règles de séparation, issues de l'audit des rôles du 22 octobre 2026 et en production depuis le même jour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compte ne tranche qu'une étape d'une même demande d'approbation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personne ne modifie son propre dossier du personnel, ses éléments de paie ni ses avances ; la paie n'est validée que par la direction, jamais par le compte qui l'a préparée ; aucune absence n'est approuvée par son bénéficiaire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Suite : un consultant n'évalue que les compartiments qui lui sont confiés (le responsable du dossier, tout le dossier) ; la décision du comité et le passage forcé d'un gate demandent deux personnes au moins ; une décision verrouillée est rouverte par un autre compte ; un porteur déjà suivi pour un autre promoteur ne peut pas être rattaché à un dossier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route de l'API est réservée à des profils, et les refus sont testés.</w:t>
      </w:r>
    </w:p>
    <w:p>
      <w:pPr>
        <w:keepNext/>
        <w:pBdr>
          <w:bottom w:val="single" w:color="1A9E9E" w:sz="6" w:space="2"/>
        </w:pBdr>
        <w:spacing w:after="100" w:before="280"/>
      </w:pPr>
      <w:r>
        <w:rPr>
          <w:rFonts w:ascii="Calibri" w:cs="Calibri" w:eastAsia="Calibri" w:hAnsi="Calibri"/>
          <w:b/>
          <w:bCs/>
          <w:color w:val="1C1E6B"/>
          <w:sz w:val="26"/>
          <w:szCs w:val="26"/>
        </w:rPr>
        <w:t xml:space="preserve">7. Règles de gestion paramétrées</w:t>
      </w:r>
    </w:p>
    <w:p>
      <w:pPr>
        <w:spacing w:after="100"/>
        <w:jc w:val="both"/>
      </w:pPr>
      <w:r>
        <w:rPr>
          <w:rFonts w:ascii="Calibri" w:cs="Calibri" w:eastAsia="Calibri" w:hAnsi="Calibri"/>
          <w:sz w:val="20"/>
          <w:szCs w:val="20"/>
        </w:rPr>
        <w:t xml:space="preserve">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7"/>
        <w:gridCol w:w="6231"/>
      </w:tblGrid>
      <w:tr>
        <w:trPr>
          <w:tblHeader/>
        </w:trPr>
        <w:tc>
          <w:tcPr>
            <w:tcW w:type="dxa" w:w="340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623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approuvés avant la commande, devis joint : contrôle de la finance ; au-delà de 50 M GNF : accord de la direction ; les factures du fournisseur consomment l'engagement sans refaire le circuit, dans la limite du reste à engager (tolérance 5 %)</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 et décaissements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règlements, sorties de caisse et de banque, échéances d'emprunt, virements internes : au-delà de 100 M GNF, accord de la direction ; l'opération reste en brouillon jusqu'à la dernière approbation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de gestion (gravités bloquante, critique, élevée, moyenne, avec l'action recommandée)</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passage 585 non soldé (bloquant) ; trésorerie sous le minimum (à fixer par société) et compte de banque ou de caisse négatif ; DSCR &lt; 1,20 ; créances échues depuis plus de 90 jours, part échue &gt; 20 %, délai de recouvrement &gt; 60 jours, concentration sur un client &gt; 40 % ; dettes fournisseurs échues ; résultat net cumulé négatif ; marge transport &lt; 30 %, rotations non facturées, ensembles routiers déficitaires après charges de structure ; dépassement budgétaire &gt; 10 % ; clôture en retard de plus de 10 jours ; validation en attente depuis plus de 3 jours</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Pertes attendues (IFRS 9, retraitement hors livres SYSCOHADA)</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non échu 1 %, 1 à 30 jours 3 %, 31 à 60 jours 10 %, 61 à 90 jours 25 %, au-delà 50 %</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 standard d'une rotation (ajout)</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forfaits de la route (litres de carburant aller et retour × prix du litre à la date de chargement, prime de route, péages, autres frais) ; mis à jour tant que la rotation est saisie, figé à sa validation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Ensembles gérés pour des propriétaires (ajout)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règles de répartition en % du chiffre d'affaires brut, par ensemble ou par catégorie ; part du propriétaire = marge − commissions ; relevé mensuel figé, pièces en brouillon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 impayés relancés comme les autres créances</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méthode MB AxisPro Consulting (réf. MBAP/PROJECT-DEVELOPMENT/SC-01)</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outil de scoring du cabinet, version 3, importé et en vigueur en production depuis le 22 octobre 2026 : 104 critères, 14 domaines, 8 compartiments d'expertise (C0 à C7, un consultant par compartiment), 7 gates, 9 knock-outs, 39 pièces de data room ; disponible et exploitable 1 point, incomplet 0,5, non disponible 0, non applicable 1, non évalué compté non disponible ; critère déclaré disponible sans la preuve exigée, ou avec une preuve périmée : retenu incomplet ; knock-out actif s'il est non disponible ; complétude documentaire minimale pour examiner un gate (40 % au gate 1, HOLD en dessous) ; scores Project Readiness, APD Readiness et Bankability ; seuils de classement lus dans l'onglet Paramètres de l'outil ; décision du comité scellée, dossier figé jusqu'à une nouvelle révision</w:t>
            </w:r>
          </w:p>
        </w:tc>
      </w:tr>
    </w:tbl>
    <w:p>
      <w:pPr>
        <w:spacing w:after="80"/>
      </w:pPr>
    </w:p>
    <w:p>
      <w:pPr>
        <w:spacing w:after="100"/>
        <w:jc w:val="both"/>
      </w:pPr>
      <w:r>
        <w:rPr>
          <w:rFonts w:ascii="Calibri" w:cs="Calibri" w:eastAsia="Calibri" w:hAnsi="Calibri"/>
          <w:sz w:val="20"/>
          <w:szCs w:val="20"/>
        </w:rPr>
        <w:t xml:space="preserve">La grille de 111 critères tirée du prototype (15 domaines, 8 gates, 42 pièces) n'est plus en vigueur : l'outil de la version 3 la remplace. La grille reste une donnée, modifiable par le cabinet sans intervention technique (offre, chapitre 3.7).</w:t>
      </w:r>
    </w:p>
    <w:p>
      <w:pPr>
        <w:keepNext/>
        <w:pBdr>
          <w:bottom w:val="single" w:color="1A9E9E" w:sz="6" w:space="2"/>
        </w:pBdr>
        <w:spacing w:after="100" w:before="280"/>
      </w:pPr>
      <w:r>
        <w:rPr>
          <w:rFonts w:ascii="Calibri" w:cs="Calibri" w:eastAsia="Calibri" w:hAnsi="Calibri"/>
          <w:b/>
          <w:bCs/>
          <w:color w:val="1C1E6B"/>
          <w:sz w:val="26"/>
          <w:szCs w:val="26"/>
        </w:rPr>
        <w:t xml:space="preserve">8. Sécurité</w:t>
      </w:r>
    </w:p>
    <w:p>
      <w:pPr>
        <w:spacing w:after="100"/>
        <w:jc w:val="both"/>
      </w:pPr>
      <w:r>
        <w:rPr>
          <w:rFonts w:ascii="Calibri" w:cs="Calibri" w:eastAsia="Calibri" w:hAnsi="Calibri"/>
          <w:sz w:val="20"/>
          <w:szCs w:val="20"/>
        </w:rPr>
        <w:t xml:space="preserve">En place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mots de passe d'au moins 10 caractères ; mot de passe provisoire à remplacer avant tout accès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sessions courtes et révocables : accès de 15 minutes, session de 7 jours au plus, 90 jours pour les agents du parc dans Rotations ; la déconnexion ferme toute la session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limitation des essais par identifiant et par adresse ; journal des accès conservé 12 mois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piste d'audit avec valeurs avant et après ; écritures verrouillées après clôture, avec empreinte de chaînage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chiffrés (TLS) ; noyau et base jamais exposés sur Internet ; client web du noyau réservé aux adresses de l'équipe technique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cloisonnement par société, jusque dans les pièces de la data room, les revues de comité et les grilles du cabinet ; une pièce approuvée puis modifiée doit être approuvée à nouveau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fichiers déposés contrôlés d'après leur contenu (documents à macros refusés) ; exports pour tableur sans formule ; le téléphone d'un agent du parc ne garde ni tarifs ni marges et s'efface à la déconnexion ; aucune ressource chargée depuis un site tiers.</w:t>
      </w:r>
    </w:p>
    <w:p>
      <w:pPr>
        <w:spacing w:after="100"/>
        <w:jc w:val="both"/>
      </w:pPr>
      <w:r>
        <w:rPr>
          <w:rFonts w:ascii="Calibri" w:cs="Calibri" w:eastAsia="Calibri" w:hAnsi="Calibri"/>
          <w:sz w:val="20"/>
          <w:szCs w:val="20"/>
        </w:rPr>
        <w:t xml:space="preserve">Double authentification : en place, exigée par l'offre pour tous les utilisateurs (chapitre 5.3). Elle est suspendue en production depuis le 21 octobre 2026, à la demande du gérant d'E-VOLUTION XP, pendant la prise en main des comptes du client. Elle est à rétablir avant la reprise des données réelles. Elle est aussi suspendue en recette pendant les tests. Tant qu'elle est suspendue, la plateforme n'est pas conforme au chapitre 5.3.</w:t>
      </w:r>
    </w:p>
    <w:p>
      <w:pPr>
        <w:keepNext/>
        <w:pBdr>
          <w:bottom w:val="single" w:color="1A9E9E" w:sz="6" w:space="2"/>
        </w:pBdr>
        <w:spacing w:after="100" w:before="280"/>
      </w:pPr>
      <w:r>
        <w:rPr>
          <w:rFonts w:ascii="Calibri" w:cs="Calibri" w:eastAsia="Calibri" w:hAnsi="Calibri"/>
          <w:b/>
          <w:bCs/>
          <w:color w:val="1C1E6B"/>
          <w:sz w:val="26"/>
          <w:szCs w:val="26"/>
        </w:rPr>
        <w:t xml:space="preserve">9. Hébergement, sauvegardes et exploitation</w:t>
      </w:r>
    </w:p>
    <w:p>
      <w:pPr>
        <w:spacing w:after="100"/>
        <w:jc w:val="both"/>
      </w:pPr>
      <w:r>
        <w:rPr>
          <w:rFonts w:ascii="Calibri" w:cs="Calibri" w:eastAsia="Calibri" w:hAnsi="Calibri"/>
          <w:sz w:val="20"/>
          <w:szCs w:val="20"/>
        </w:rPr>
        <w:t xml:space="preserve">Serveur dédié chez OVHcloud (Gravelines, France), Ubuntu 26.04 LTS : 6 vCPU et 12 Go de mémoire (l'offre en prévoit 4 et 8), 100 Go de disque NVMe. L'option de sauvegarde automatique de l'hébergeur est activée.</w:t>
      </w:r>
    </w:p>
    <w:p>
      <w:pPr>
        <w:spacing w:after="100"/>
        <w:jc w:val="both"/>
      </w:pPr>
      <w:r>
        <w:rPr>
          <w:rFonts w:ascii="Calibri" w:cs="Calibri" w:eastAsia="Calibri" w:hAnsi="Calibri"/>
          <w:sz w:val="20"/>
          <w:szCs w:val="20"/>
        </w:rPr>
        <w:t xml:space="preserve">Écart à l'offre : 100 Go de disque au lieu des 160 Go du chapitre 5.1. Le modèle commandé n'en propose pas davantage ; le modèle supérieur était indisponible. Deux issues, à trancher au point 13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le client accepte l'écart par écrit, et E-VOLUTION XP ajoute du disque sans surcoût dès que l'occupation l'exige (alerte de la supervision à 85 %)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E-VOLUTION XP ajoute un disque pour porter la capacité à 160 Go au moins, sans surcoût.</w:t>
      </w:r>
    </w:p>
    <w:p>
      <w:pPr>
        <w:spacing w:after="100"/>
        <w:jc w:val="both"/>
      </w:pPr>
      <w:r>
        <w:rPr>
          <w:rFonts w:ascii="Calibri" w:cs="Calibri" w:eastAsia="Calibri" w:hAnsi="Calibri"/>
          <w:sz w:val="20"/>
          <w:szCs w:val="20"/>
        </w:rPr>
        <w:t xml:space="preserve">Sauvegardes de la production, état au 25 octobre 2026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7"/>
        <w:gridCol w:w="3559"/>
        <w:gridCol w:w="4792"/>
      </w:tblGrid>
      <w:tr>
        <w:trPr>
          <w:tblHeader/>
        </w:trPr>
        <w:tc>
          <w:tcPr>
            <w:tcW w:type="dxa" w:w="12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Mesure</w:t>
            </w:r>
          </w:p>
        </w:tc>
        <w:tc>
          <w:tcPr>
            <w:tcW w:type="dxa" w:w="355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Engagement de l'offre (5.2)</w:t>
            </w:r>
          </w:p>
        </w:tc>
        <w:tc>
          <w:tcPr>
            <w:tcW w:type="dxa" w:w="479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État au 25 octobre 2026</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Journalisation continue</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copie hors site chiffrée toutes les 15 minutes ; restauration à tout instant des 14 derniers jours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archivage des journaux de transactions (WAL) sur le serveur, toutes les 5 minutes au plus</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Sauvegarde complète</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quotidienne, chiffrée, copiée hors site chez un second fournisseur</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quotidienne (01 h 30), sur le serveur</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jointes</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synchronisées hors site toutes les heures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miroir sur le serveur toutes les 15 minutes, instantané chaque nuit</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Rétention</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30 sauvegardes quotidiennes, 12 mensuelles, journaux sur 14 jours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 jours sur le serveur ; les rétentions de l'offre s'appliqueront à la copie hors site</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 de données maximale</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 minutes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tenue tant que le serveur et ses disques restent disponibles ; pas garantie en cas de perte du serveur</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 de reprise</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 heures ouvrées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écrite ; restauration du 25 octobre faite en 15 secondes, sur une base encore vide</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 de restauration</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 dont un à un instant donné, avec compte rendu</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 mensuel de l'état le plus récent réussi ; premier test trimestriel à un instant donné réussi le 25 octobre 2026, avec compte rendu ; tests programmés chaque mois et chaque trimestre</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99,5 % par mois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mesurée chaque mois sur le journal de la supervision</w:t>
            </w:r>
          </w:p>
        </w:tc>
      </w:tr>
    </w:tbl>
    <w:p>
      <w:pPr>
        <w:spacing w:after="80"/>
      </w:pPr>
    </w:p>
    <w:p>
      <w:pPr>
        <w:spacing w:after="100"/>
        <w:jc w:val="both"/>
      </w:pPr>
      <w:r>
        <w:rPr>
          <w:rFonts w:ascii="Calibri" w:cs="Calibri" w:eastAsia="Calibri" w:hAnsi="Calibri"/>
          <w:sz w:val="20"/>
          <w:szCs w:val="20"/>
        </w:rPr>
        <w:t xml:space="preserve">Copie hors site chiffrée : outillée (chiffrement avant envoi, rétentions de l'offre), mais pas en service tant que le stockage chez un second hébergeur n'est pas souscrit. Ce stockage fait partie de l'hébergement compris dans l'offre (chapitre 5.1). Sa mise en service, suivie d'un test de restauration depuis la copie hors site, est une condition de la mise en production (plan de bascule). Jusque-là, l'engagement du chapitre 5.2 n'est pas tenu pour une perte totale du serveur.</w:t>
      </w:r>
    </w:p>
    <w:p>
      <w:pPr>
        <w:spacing w:after="100"/>
        <w:jc w:val="both"/>
      </w:pPr>
      <w:r>
        <w:rPr>
          <w:rFonts w:ascii="Calibri" w:cs="Calibri" w:eastAsia="Calibri" w:hAnsi="Calibri"/>
          <w:sz w:val="20"/>
          <w:szCs w:val="20"/>
        </w:rPr>
        <w:t xml:space="preserve">Supervision : un contrôle toutes les 5 minutes porte sur les services des deux environnements, les noyaux, les applications web, le disque, les sauvegardes, les tests de restauration et la double authentification. Les alertes sont outillées (messagerie d'équipe, notification sur téléphone, sonde externe), mais aucune destination n'est configurée : elles ne sont aujourd'hui inscrites qu'au journal du serveur. Les destinations sont à convenir avec le client (point 12).</w:t>
      </w:r>
    </w:p>
    <w:p>
      <w:pPr>
        <w:spacing w:after="100"/>
        <w:jc w:val="both"/>
      </w:pPr>
      <w:r>
        <w:rPr>
          <w:rFonts w:ascii="Calibri" w:cs="Calibri" w:eastAsia="Calibri" w:hAnsi="Calibri"/>
          <w:sz w:val="20"/>
          <w:szCs w:val="20"/>
        </w:rPr>
        <w:t xml:space="preserve">Mises à jour de sécurité : celles du système s'appliquent automatiquement, sans redémarrage automatique ; celles des composants de la plateforme passent par la recette puis par la procédure de mise en production.</w:t>
      </w:r>
    </w:p>
    <w:p>
      <w:pPr>
        <w:keepNext/>
        <w:pBdr>
          <w:bottom w:val="single" w:color="1A9E9E" w:sz="6" w:space="2"/>
        </w:pBdr>
        <w:spacing w:after="100" w:before="280"/>
      </w:pPr>
      <w:r>
        <w:rPr>
          <w:rFonts w:ascii="Calibri" w:cs="Calibri" w:eastAsia="Calibri" w:hAnsi="Calibri"/>
          <w:b/>
          <w:bCs/>
          <w:color w:val="1C1E6B"/>
          <w:sz w:val="26"/>
          <w:szCs w:val="26"/>
        </w:rPr>
        <w:t xml:space="preserve">10.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immobilisations, emprunts, budget mensuel, rotations. Chaque chargement est d'abord contrôlé (aucune écriture en cas d'anomalie), rejoué autant que nécessaire en recette, puis appliqué en production. Les relevés bancaires se chargent par l'écran Trésorerie, à partir du lendemain de la date d'arrêté de la reprise. Les rotations suivies dans Datakö Fleet depuis mai 2026 se convertissent au même format.</w:t>
      </w:r>
    </w:p>
    <w:p>
      <w:pPr>
        <w:spacing w:after="100"/>
        <w:jc w:val="both"/>
      </w:pPr>
      <w:r>
        <w:rPr>
          <w:rFonts w:ascii="Calibri" w:cs="Calibri" w:eastAsia="Calibri" w:hAnsi="Calibri"/>
          <w:sz w:val="20"/>
          <w:szCs w:val="20"/>
        </w:rPr>
        <w:t xml:space="preserve">Les balances obtenues sont confrontées au classeur et validées par le responsable financier avant la mise en production (offre, chapitre 6.3) : les 26 valeurs de référence du classeur (équilibre, résultat, trésorerie, créances, dettes, transport, bilan) sont recalculées par la plateforme ; leur conformité (« n/26 ») est annexée aux procès-verbaux de recette et de mise en production.</w:t>
      </w:r>
    </w:p>
    <w:p>
      <w:pPr>
        <w:spacing w:after="100"/>
        <w:jc w:val="both"/>
      </w:pPr>
      <w:r>
        <w:rPr>
          <w:rFonts w:ascii="Calibri" w:cs="Calibri" w:eastAsia="Calibri" w:hAnsi="Calibri"/>
          <w:sz w:val="20"/>
          <w:szCs w:val="20"/>
        </w:rPr>
        <w:t xml:space="preserve">État au 25 octobre 2026 : la reprise a été essayée de bout en bout sur une base jetable de la recette, avec le dossier du prototype. 18 valeurs sur 26 sont conformes. Les 8 autres ont une seule cause, la convention d'amortissement des biens repris : trois conventions sont prêtes, le choix revient à l'expert-comptable. La base de production reste vide jusqu'à la reprise définitive, qui attend le classeur 2026 définitif.</w:t>
      </w:r>
    </w:p>
    <w:p>
      <w:pPr>
        <w:keepNext/>
        <w:pBdr>
          <w:bottom w:val="single" w:color="1A9E9E" w:sz="6" w:space="2"/>
        </w:pBdr>
        <w:spacing w:after="100" w:before="280"/>
      </w:pPr>
      <w:r>
        <w:rPr>
          <w:rFonts w:ascii="Calibri" w:cs="Calibri" w:eastAsia="Calibri" w:hAnsi="Calibri"/>
          <w:b/>
          <w:bCs/>
          <w:color w:val="1C1E6B"/>
          <w:sz w:val="26"/>
          <w:szCs w:val="26"/>
        </w:rPr>
        <w:t xml:space="preserve">11. Cahier de recette : les vingt attentes du département Finance</w:t>
      </w:r>
    </w:p>
    <w:p>
      <w:pPr>
        <w:spacing w:after="100"/>
        <w:jc w:val="both"/>
      </w:pPr>
      <w:r>
        <w:rPr>
          <w:rFonts w:ascii="Calibri" w:cs="Calibri" w:eastAsia="Calibri" w:hAnsi="Calibri"/>
          <w:sz w:val="20"/>
          <w:szCs w:val="20"/>
        </w:rPr>
        <w:t xml:space="preserve">Le cahier de recette (</w:t>
      </w:r>
      <w:r>
        <w:rPr>
          <w:rFonts w:ascii="Consolas" w:cs="Consolas" w:eastAsia="Consolas" w:hAnsi="Consolas"/>
          <w:color w:val="333333"/>
          <w:sz w:val="18"/>
          <w:szCs w:val="18"/>
        </w:rPr>
        <w:t xml:space="preserve">Cahier_de_recette.xlsx</w:t>
      </w:r>
      <w:r>
        <w:rPr>
          <w:rFonts w:ascii="Calibri" w:cs="Calibri" w:eastAsia="Calibri" w:hAnsi="Calibri"/>
          <w:sz w:val="20"/>
          <w:szCs w:val="20"/>
        </w:rPr>
        <w:t xml:space="preserve">) compte 80 scénarios : 66 pour les vingt attentes du département Finance, 14 pour AxisPro Suite et le portail. Le tableau dit où vérifier chaque attente. La recette est constatée par le procès-verbal de recette, la mise en production par le procès-verbal de mise en production (modèles dans </w:t>
      </w:r>
      <w:r>
        <w:rPr>
          <w:rFonts w:ascii="Consolas" w:cs="Consolas" w:eastAsia="Consolas" w:hAnsi="Consolas"/>
          <w:color w:val="333333"/>
          <w:sz w:val="18"/>
          <w:szCs w:val="18"/>
        </w:rPr>
        <w:t xml:space="preserve">docs/projet/</w:t>
      </w:r>
      <w:r>
        <w:rPr>
          <w:rFonts w:ascii="Calibri" w:cs="Calibri" w:eastAsia="Calibri" w:hAnsi="Calibri"/>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2"/>
        <w:gridCol w:w="2225"/>
        <w:gridCol w:w="1868"/>
        <w:gridCol w:w="4893"/>
      </w:tblGrid>
      <w:tr>
        <w:trPr>
          <w:tblHeader/>
        </w:trPr>
        <w:tc>
          <w:tcPr>
            <w:tcW w:type="dxa" w:w="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22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86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89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Rapport mensuel</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 ; questions du dirigeant avec leur verdict ; « ce qui demande une décision » ; arrêté à une date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vue Groupe ; États &gt; Consolidé du groupe ; Activités et budget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compte de résultat et bilan par société, éliminations intra-groupe, groupe ; marge par activité, centre de coût, chantier, ensemble, route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Clôtures</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 ; clôture mensuelle complète ; exports XLSX et CSV des états ; SAF-T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saisie des pièces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 catégories de dépense ; saisie sur plusieurs axes par ligne ; imputation obligatoire contrôlée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(CSV, XLSX ou camt.053), soldes contrôlés, rapprochement, état de rapprochement ; flux mensuels et prévision</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ventilées par activité, sortie d'actif, registre exporté</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par ligne budgétaire, réalisé, engagé, disponible, écarts, alerte de dépassement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 ; litige qui suspend les relances ; balance âgée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et liquidée à la clôture, retenues à la source, déclarations et historique, modèle validé par l'expert-comptable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À valider</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approuvé avant la commande ; pièce, règlement ou décaissement au-delà du seuil bloqué jusqu'à approbation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Rotations</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 coût au km, charges de structure ; volumes, manquants et taxes spécifiques au barème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 connexion</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12.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Convention d'amortissement des biens repris (expert-comptable) ; taux des emprunts et à-nouveau du compte 162.</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Seuils d'approbation et d'alerte (point 7).</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Charte graphique de MB AxisPro Consulting ; celle d'EGUITRA GROUP SARLU est reçue et appliquée.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Noms de domaine définitifs : nimova.gn, commandé le 21 octobre 2026, attend sa finalisation ; la production est servie d'ici là sur des adresses provisoires.</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Classeur 2026 définitif, relevés bancaires 2026, modèles de déclarations fiscales, export complet de Datakö Fleet.</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Identité des sociétés (raison sociale, adresse, NIF, RCCM), reprise sur les factures.</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Destinations des alertes de supervision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9.	</w:t>
      </w:r>
      <w:r>
        <w:rPr>
          <w:rFonts w:ascii="Calibri" w:cs="Calibri" w:eastAsia="Calibri" w:hAnsi="Calibri"/>
          <w:sz w:val="20"/>
          <w:szCs w:val="20"/>
        </w:rPr>
        <w:t xml:space="preserve">Téléphones des agents du parc, pour la double authentification de Rotations.</w:t>
      </w:r>
    </w:p>
    <w:p>
      <w:pPr>
        <w:tabs>
          <w:tab w:val="left" w:pos="360"/>
        </w:tabs>
        <w:spacing w:after="60"/>
        <w:ind w:left="360" w:hanging="360"/>
        <w:jc w:val="both"/>
      </w:pPr>
      <w:r>
        <w:rPr>
          <w:rFonts w:ascii="Calibri" w:cs="Calibri" w:eastAsia="Calibri" w:hAnsi="Calibri"/>
          <w:b/>
          <w:bCs/>
          <w:color w:val="1A9E9E"/>
          <w:sz w:val="20"/>
          <w:szCs w:val="20"/>
        </w:rPr>
        <w:t xml:space="preserve">10.	</w:t>
      </w:r>
      <w:r>
        <w:rPr>
          <w:rFonts w:ascii="Calibri" w:cs="Calibri" w:eastAsia="Calibri" w:hAnsi="Calibri"/>
          <w:sz w:val="20"/>
          <w:szCs w:val="20"/>
        </w:rPr>
        <w:t xml:space="preserve">Confidentialité entre consultants du cabinet : aujourd'hui, tout le cabinet voit tous les dossiers.</w:t>
      </w:r>
    </w:p>
    <w:p>
      <w:pPr>
        <w:tabs>
          <w:tab w:val="left" w:pos="360"/>
        </w:tabs>
        <w:spacing w:after="60"/>
        <w:ind w:left="360" w:hanging="360"/>
        <w:jc w:val="both"/>
      </w:pPr>
      <w:r>
        <w:rPr>
          <w:rFonts w:ascii="Calibri" w:cs="Calibri" w:eastAsia="Calibri" w:hAnsi="Calibri"/>
          <w:b/>
          <w:bCs/>
          <w:color w:val="1A9E9E"/>
          <w:sz w:val="20"/>
          <w:szCs w:val="20"/>
        </w:rPr>
        <w:t xml:space="preserve">11.	</w:t>
      </w:r>
      <w:r>
        <w:rPr>
          <w:rFonts w:ascii="Calibri" w:cs="Calibri" w:eastAsia="Calibri" w:hAnsi="Calibri"/>
          <w:sz w:val="20"/>
          <w:szCs w:val="20"/>
        </w:rPr>
        <w:t xml:space="preserve">Frais communs aux deux sociétés et leur clé de répartition.</w:t>
      </w:r>
    </w:p>
    <w:p>
      <w:pPr>
        <w:tabs>
          <w:tab w:val="left" w:pos="360"/>
        </w:tabs>
        <w:spacing w:after="60"/>
        <w:ind w:left="360" w:hanging="360"/>
        <w:jc w:val="both"/>
      </w:pPr>
      <w:r>
        <w:rPr>
          <w:rFonts w:ascii="Calibri" w:cs="Calibri" w:eastAsia="Calibri" w:hAnsi="Calibri"/>
          <w:b/>
          <w:bCs/>
          <w:color w:val="1A9E9E"/>
          <w:sz w:val="20"/>
          <w:szCs w:val="20"/>
        </w:rPr>
        <w:t xml:space="preserve">12.	</w:t>
      </w:r>
      <w:r>
        <w:rPr>
          <w:rFonts w:ascii="Calibri" w:cs="Calibri" w:eastAsia="Calibri" w:hAnsi="Calibri"/>
          <w:sz w:val="20"/>
          <w:szCs w:val="20"/>
        </w:rPr>
        <w:t xml:space="preserve">Écart de disque (point 9) : acceptation écrite ou ajout de disque.</w:t>
      </w:r>
    </w:p>
    <w:p>
      <w:pPr>
        <w:spacing w:after="100"/>
        <w:jc w:val="both"/>
      </w:pPr>
      <w:r>
        <w:rPr>
          <w:rFonts w:ascii="Calibri" w:cs="Calibri" w:eastAsia="Calibri" w:hAnsi="Calibri"/>
          <w:sz w:val="20"/>
          <w:szCs w:val="20"/>
        </w:rPr>
        <w:t xml:space="preserve">Le registre des prérequis (</w:t>
      </w:r>
      <w:r>
        <w:rPr>
          <w:rFonts w:ascii="Consolas" w:cs="Consolas" w:eastAsia="Consolas" w:hAnsi="Consolas"/>
          <w:color w:val="333333"/>
          <w:sz w:val="18"/>
          <w:szCs w:val="18"/>
        </w:rPr>
        <w:t xml:space="preserve">docs/projet/registre-des-prerequis.md</w:t>
      </w:r>
      <w:r>
        <w:rPr>
          <w:rFonts w:ascii="Calibri" w:cs="Calibri" w:eastAsia="Calibri" w:hAnsi="Calibri"/>
          <w:sz w:val="20"/>
          <w:szCs w:val="20"/>
        </w:rPr>
        <w:t xml:space="preserve">) date chaque demande et sa réception.</w:t>
      </w:r>
    </w:p>
    <w:p>
      <w:pPr>
        <w:keepNext/>
        <w:pBdr>
          <w:bottom w:val="single" w:color="1A9E9E" w:sz="6" w:space="2"/>
        </w:pBdr>
        <w:spacing w:after="100" w:before="280"/>
      </w:pPr>
      <w:r>
        <w:rPr>
          <w:rFonts w:ascii="Calibri" w:cs="Calibri" w:eastAsia="Calibri" w:hAnsi="Calibri"/>
          <w:b/>
          <w:bCs/>
          <w:color w:val="1C1E6B"/>
          <w:sz w:val="26"/>
          <w:szCs w:val="26"/>
        </w:rPr>
        <w:t xml:space="preserve">13. Validation</w:t>
      </w:r>
    </w:p>
    <w:p>
      <w:pPr>
        <w:spacing w:after="100"/>
        <w:jc w:val="both"/>
      </w:pPr>
      <w:r>
        <w:rPr>
          <w:rFonts w:ascii="Calibri" w:cs="Calibri" w:eastAsia="Calibri" w:hAnsi="Calibri"/>
          <w:sz w:val="20"/>
          <w:szCs w:val="20"/>
        </w:rPr>
        <w:t xml:space="preserve">Le client approuve la conception décrite et la liste des composants du point 4.</w:t>
      </w:r>
    </w:p>
    <w:p>
      <w:pPr>
        <w:spacing w:after="100"/>
        <w:jc w:val="both"/>
      </w:pPr>
      <w:r>
        <w:rPr>
          <w:rFonts w:ascii="Calibri" w:cs="Calibri" w:eastAsia="Calibri" w:hAnsi="Calibri"/>
          <w:sz w:val="20"/>
          <w:szCs w:val="20"/>
        </w:rPr>
        <w:t xml:space="preserve">Écart de disque (point 9) : issue 1, écart accepté / issue 2, disque ajouté (rayer la mention inutile).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2"/>
        <w:gridCol w:w="3526"/>
      </w:tblGrid>
      <w:tr>
        <w:trPr>
          <w:tblHeader/>
        </w:trPr>
        <w:tc>
          <w:tcPr>
            <w:tcW w:type="dxa" w:w="61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 Consulting</w:t>
            </w:r>
          </w:p>
        </w:tc>
        <w:tc>
          <w:tcPr>
            <w:tcW w:type="dxa" w:w="35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61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5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61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5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2026-10-25T14:25:33.899Z</dcterms:created>
  <dcterms:modified xsi:type="dcterms:W3CDTF">2026-10-25T14:25:33.900Z</dcterms:modified>
</cp:coreProperties>
</file>

<file path=docProps/custom.xml><?xml version="1.0" encoding="utf-8"?>
<Properties xmlns="http://schemas.openxmlformats.org/officeDocument/2006/custom-properties" xmlns:vt="http://schemas.openxmlformats.org/officeDocument/2006/docPropsVTypes"/>
</file>