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60"/>
      </w:pPr>
      <w:r>
        <w:drawing>
          <wp:inline distT="0" distB="0" distL="0" distR="0">
            <wp:extent cx="990600" cy="5810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90600" cy="581025"/>
                    </a:xfrm>
                    <a:prstGeom prst="rect">
                      <a:avLst/>
                    </a:prstGeom>
                  </pic:spPr>
                </pic:pic>
              </a:graphicData>
            </a:graphic>
          </wp:inline>
        </w:drawing>
      </w:r>
    </w:p>
    <w:p>
      <w:pPr>
        <w:spacing w:after="360" w:before="0" w:line="276"/>
        <w:jc w:val="left"/>
      </w:pPr>
      <w:r>
        <w:rPr>
          <w:rFonts w:ascii="Garamond" w:cs="Garamond" w:eastAsia="Garamond" w:hAnsi="Garamond"/>
          <w:color w:val="1D1D69"/>
          <w:sz w:val="40"/>
          <w:szCs w:val="40"/>
        </w:rPr>
        <w:t xml:space="preserve">Engagement de confidentialité</w:t>
      </w:r>
    </w:p>
    <w:p>
      <w:pPr>
        <w:spacing w:after="240" w:before="0" w:line="276"/>
        <w:jc w:val="left"/>
      </w:pPr>
      <w:r>
        <w:rPr>
          <w:rFonts w:ascii="Garamond" w:cs="Garamond" w:eastAsia="Garamond" w:hAnsi="Garamond"/>
          <w:color w:val="222222"/>
          <w:sz w:val="23"/>
          <w:szCs w:val="23"/>
        </w:rPr>
        <w:t xml:space="preserve">E-volution Experience (E-VOLUTION XP), représentée par M. Madigbè KOUYATÉ, gérant, s’engage envers EGUITRA GROUP SARLU et MB AxisPro Consulting, représentées par M. Mohamed NIMAGA, directeur général (ensemble « le Client »), à protéger les données que le Client lui confie pour la plateforme NIMOVA (offre OTF-EGUITRA-2026-37 du 29 septembre 2026), dans les conditions suivantes. Cet engagement complète l’accord de confidentialité réciproque ; en cas de différence, la règle la plus protectrice pour le Client s’applique.</w:t>
      </w:r>
    </w:p>
    <w:p>
      <w:pPr>
        <w:spacing w:after="150" w:before="0" w:line="276"/>
        <w:jc w:val="left"/>
      </w:pPr>
      <w:r>
        <w:rPr>
          <w:rFonts w:ascii="Garamond" w:cs="Garamond" w:eastAsia="Garamond" w:hAnsi="Garamond"/>
          <w:b/>
          <w:bCs/>
          <w:color w:val="222222"/>
          <w:sz w:val="23"/>
          <w:szCs w:val="23"/>
        </w:rPr>
        <w:t xml:space="preserve">1. Données concernées. </w:t>
      </w:r>
      <w:r>
        <w:rPr>
          <w:rFonts w:ascii="Garamond" w:cs="Garamond" w:eastAsia="Garamond" w:hAnsi="Garamond"/>
          <w:color w:val="222222"/>
          <w:sz w:val="23"/>
          <w:szCs w:val="23"/>
        </w:rPr>
        <w:t xml:space="preserve">Toutes les données du Client, quel qu’en soit le support : comptabilité, banque et trésorerie, transport, contrats, clients et fournisseurs, données personnelles des salariés, des chauffeurs et des porteurs de projets, dossiers de projets et méthode d’évaluation de MB AxisPro Consulting (grille, pondérations, étapes de validation et politique d’évaluation), identifiants et accès.</w:t>
      </w:r>
    </w:p>
    <w:p>
      <w:pPr>
        <w:spacing w:after="150" w:before="0" w:line="276"/>
        <w:jc w:val="left"/>
      </w:pPr>
      <w:r>
        <w:rPr>
          <w:rFonts w:ascii="Garamond" w:cs="Garamond" w:eastAsia="Garamond" w:hAnsi="Garamond"/>
          <w:b/>
          <w:bCs/>
          <w:color w:val="222222"/>
          <w:sz w:val="23"/>
          <w:szCs w:val="23"/>
        </w:rPr>
        <w:t xml:space="preserve">2. Usage. </w:t>
      </w:r>
      <w:r>
        <w:rPr>
          <w:rFonts w:ascii="Garamond" w:cs="Garamond" w:eastAsia="Garamond" w:hAnsi="Garamond"/>
          <w:color w:val="222222"/>
          <w:sz w:val="23"/>
          <w:szCs w:val="23"/>
        </w:rPr>
        <w:t xml:space="preserve">Ces données servent uniquement au projet : reprise de l’historique, paramétrage, essais et support. Elles ne sont ni vendues, ni communiquées à un tiers, ni réutilisées pour un autre client.</w:t>
      </w:r>
    </w:p>
    <w:p>
      <w:pPr>
        <w:spacing w:after="150" w:before="0" w:line="276"/>
        <w:jc w:val="left"/>
      </w:pPr>
      <w:r>
        <w:rPr>
          <w:rFonts w:ascii="Garamond" w:cs="Garamond" w:eastAsia="Garamond" w:hAnsi="Garamond"/>
          <w:b/>
          <w:bCs/>
          <w:color w:val="222222"/>
          <w:sz w:val="23"/>
          <w:szCs w:val="23"/>
        </w:rPr>
        <w:t xml:space="preserve">3. Accès et conservation. </w:t>
      </w:r>
      <w:r>
        <w:rPr>
          <w:rFonts w:ascii="Garamond" w:cs="Garamond" w:eastAsia="Garamond" w:hAnsi="Garamond"/>
          <w:color w:val="222222"/>
          <w:sz w:val="23"/>
          <w:szCs w:val="23"/>
        </w:rPr>
        <w:t xml:space="preserve">Seules les personnes désignées par le prestataire, tenues par le même engagement, y ont accès. Les données sont hébergées sur le serveur dédié du projet, dans l’Union européenne, avec une connexion et des sauvegardes chiffrées. Les copies de travail restent sur un poste chiffré le temps nécessaire. Les démonstrations utilisent des données fictives, et un essai sur données réelles se fait sur une base temporaire, effacée ensuite.</w:t>
      </w:r>
    </w:p>
    <w:p>
      <w:pPr>
        <w:spacing w:after="150" w:before="0" w:line="276"/>
        <w:jc w:val="left"/>
      </w:pPr>
      <w:r>
        <w:rPr>
          <w:rFonts w:ascii="Garamond" w:cs="Garamond" w:eastAsia="Garamond" w:hAnsi="Garamond"/>
          <w:b/>
          <w:bCs/>
          <w:color w:val="222222"/>
          <w:sz w:val="23"/>
          <w:szCs w:val="23"/>
        </w:rPr>
        <w:t xml:space="preserve">4. Outils. </w:t>
      </w:r>
      <w:r>
        <w:rPr>
          <w:rFonts w:ascii="Garamond" w:cs="Garamond" w:eastAsia="Garamond" w:hAnsi="Garamond"/>
          <w:color w:val="222222"/>
          <w:sz w:val="23"/>
          <w:szCs w:val="23"/>
        </w:rPr>
        <w:t xml:space="preserve">Les outils d’assistance, y compris d’intelligence artificielle, sont utilisés dans un cadre professionnel et réglés pour que les données ne servent pas à entraîner leurs modèles.</w:t>
      </w:r>
    </w:p>
    <w:p>
      <w:pPr>
        <w:spacing w:after="150" w:before="0" w:line="276"/>
        <w:jc w:val="left"/>
      </w:pPr>
      <w:r>
        <w:rPr>
          <w:rFonts w:ascii="Garamond" w:cs="Garamond" w:eastAsia="Garamond" w:hAnsi="Garamond"/>
          <w:b/>
          <w:bCs/>
          <w:color w:val="222222"/>
          <w:sz w:val="23"/>
          <w:szCs w:val="23"/>
        </w:rPr>
        <w:t xml:space="preserve">5. Incident. </w:t>
      </w:r>
      <w:r>
        <w:rPr>
          <w:rFonts w:ascii="Garamond" w:cs="Garamond" w:eastAsia="Garamond" w:hAnsi="Garamond"/>
          <w:color w:val="222222"/>
          <w:sz w:val="23"/>
          <w:szCs w:val="23"/>
        </w:rPr>
        <w:t xml:space="preserve">Toute perte, erreur d’envoi ou tout accès non autorisé est signalé par écrit au Client dans les 48 heures.</w:t>
      </w:r>
    </w:p>
    <w:p>
      <w:pPr>
        <w:spacing w:after="150" w:before="0" w:line="276"/>
        <w:jc w:val="left"/>
      </w:pPr>
      <w:r>
        <w:rPr>
          <w:rFonts w:ascii="Garamond" w:cs="Garamond" w:eastAsia="Garamond" w:hAnsi="Garamond"/>
          <w:b/>
          <w:bCs/>
          <w:color w:val="222222"/>
          <w:sz w:val="23"/>
          <w:szCs w:val="23"/>
        </w:rPr>
        <w:t xml:space="preserve">6. Fin de mission et durée. </w:t>
      </w:r>
      <w:r>
        <w:rPr>
          <w:rFonts w:ascii="Garamond" w:cs="Garamond" w:eastAsia="Garamond" w:hAnsi="Garamond"/>
          <w:color w:val="222222"/>
          <w:sz w:val="23"/>
          <w:szCs w:val="23"/>
        </w:rPr>
        <w:t xml:space="preserve">Les copies de travail sont supprimées dans les 30 jours qui suivent la validation de la reprise, ou à la demande du Client. Les données de la plateforme restent sa propriété et lui sont remises sur demande. L’engagement vaut dès sa signature, pendant tout le projet puis cinq ans après ; sans limite de durée pour cette méthode et les secrets d’affaires du Client.</w:t>
      </w:r>
    </w:p>
    <w:p>
      <w:pPr>
        <w:spacing w:after="420" w:before="360" w:line="276"/>
        <w:jc w:val="left"/>
      </w:pPr>
      <w:r>
        <w:rPr>
          <w:rFonts w:ascii="Garamond" w:cs="Garamond" w:eastAsia="Garamond" w:hAnsi="Garamond"/>
          <w:color w:val="222222"/>
          <w:sz w:val="23"/>
          <w:szCs w:val="23"/>
        </w:rPr>
        <w:t xml:space="preserve">Fait à Conakry, le ____________________, en deux exemplaires.</w:t>
      </w:r>
    </w:p>
    <w:tbl>
      <w:tblPr>
        <w:tblW w:type="dxa" w:w="8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53"/>
        <w:gridCol w:w="4453"/>
      </w:tblGrid>
      <w:tr>
        <w:trPr>
          <w:cantSplit/>
        </w:trPr>
        <w:tc>
          <w:tcPr>
            <w:tcW w:type="dxa" w:w="4453"/>
            <w:tcBorders>
              <w:top w:val="none" w:color="FFFFFF" w:sz="0"/>
              <w:left w:val="none" w:color="FFFFFF" w:sz="0"/>
              <w:bottom w:val="none" w:color="FFFFFF" w:sz="0"/>
              <w:right w:val="none" w:color="FFFFFF" w:sz="0"/>
            </w:tcBorders>
          </w:tcPr>
          <w:p>
            <w:pPr>
              <w:spacing w:after="20" w:before="0" w:line="276"/>
              <w:jc w:val="left"/>
            </w:pPr>
            <w:r>
              <w:rPr>
                <w:rFonts w:ascii="Garamond" w:cs="Garamond" w:eastAsia="Garamond" w:hAnsi="Garamond"/>
                <w:b/>
                <w:bCs/>
                <w:color w:val="222222"/>
                <w:sz w:val="23"/>
                <w:szCs w:val="23"/>
              </w:rPr>
              <w:t xml:space="preserve">Pour E-VOLUTION XP</w:t>
            </w:r>
          </w:p>
          <w:p>
            <w:pPr>
              <w:spacing w:after="20" w:before="0" w:line="276"/>
              <w:jc w:val="left"/>
            </w:pPr>
            <w:r>
              <w:rPr>
                <w:rFonts w:ascii="Garamond" w:cs="Garamond" w:eastAsia="Garamond" w:hAnsi="Garamond"/>
                <w:color w:val="6B6B6B"/>
                <w:sz w:val="23"/>
                <w:szCs w:val="23"/>
              </w:rPr>
              <w:t xml:space="preserve">Madigbè KOUYATÉ, gérant</w:t>
            </w:r>
          </w:p>
        </w:tc>
        <w:tc>
          <w:tcPr>
            <w:tcW w:type="dxa" w:w="4453"/>
            <w:tcBorders>
              <w:top w:val="none" w:color="FFFFFF" w:sz="0"/>
              <w:left w:val="none" w:color="FFFFFF" w:sz="0"/>
              <w:bottom w:val="none" w:color="FFFFFF" w:sz="0"/>
              <w:right w:val="none" w:color="FFFFFF" w:sz="0"/>
            </w:tcBorders>
          </w:tcPr>
          <w:p>
            <w:pPr>
              <w:spacing w:after="20" w:before="0" w:line="276"/>
              <w:jc w:val="left"/>
            </w:pPr>
            <w:r>
              <w:rPr>
                <w:rFonts w:ascii="Garamond" w:cs="Garamond" w:eastAsia="Garamond" w:hAnsi="Garamond"/>
                <w:b/>
                <w:bCs/>
                <w:color w:val="222222"/>
                <w:sz w:val="23"/>
                <w:szCs w:val="23"/>
              </w:rPr>
              <w:t xml:space="preserve">Pour le Client, pris connaissance</w:t>
            </w:r>
          </w:p>
          <w:p>
            <w:pPr>
              <w:spacing w:after="20" w:before="0" w:line="276"/>
              <w:jc w:val="left"/>
            </w:pPr>
            <w:r>
              <w:rPr>
                <w:rFonts w:ascii="Garamond" w:cs="Garamond" w:eastAsia="Garamond" w:hAnsi="Garamond"/>
                <w:color w:val="6B6B6B"/>
                <w:sz w:val="23"/>
                <w:szCs w:val="23"/>
              </w:rPr>
              <w:t xml:space="preserve">Mohamed NIMAGA, directeur général</w:t>
            </w:r>
          </w:p>
        </w:tc>
      </w:tr>
    </w:tbl>
    <w:p>
      <w:pPr>
        <w:spacing w:after="0" w:before="0" w:line="20" w:lineRule="exact"/>
      </w:pPr>
      <w:r>
        <w:rPr>
          <w:rFonts w:ascii="Garamond" w:cs="Garamond" w:eastAsia="Garamond" w:hAnsi="Garamond"/>
          <w:color w:val="222222"/>
          <w:sz w:val="2"/>
          <w:szCs w:val="2"/>
        </w:rPr>
        <w:t xml:space="preserve"/>
      </w:r>
    </w:p>
    <w:sectPr>
      <w:footerReference w:type="default" r:id="rId6"/>
      <w:pgSz w:w="11906" w:h="16838" w:orient="portrait"/>
      <w:pgMar w:top="1100" w:right="1500" w:bottom="1100" w:left="1500" w:header="708"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Garamond" w:cs="Garamond" w:eastAsia="Garamond" w:hAnsi="Garamond"/>
        <w:color w:val="6B6B6B"/>
        <w:sz w:val="16"/>
        <w:szCs w:val="16"/>
      </w:rPr>
      <w:t xml:space="preserve">E-volution Experience, Conakry, République de Guinée, +224 628 86 22 55, emkouyate@e-volutionxp.com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22222"/>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3d60bf2863ae68d19d7f81d505e42dde5c918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de confidentialité</dc:title>
  <dc:creator>E-VOLUTION XP</dc:creator>
  <cp:lastModifiedBy>Un-named</cp:lastModifiedBy>
  <cp:revision>1</cp:revision>
  <dcterms:created xsi:type="dcterms:W3CDTF">2026-10-22T19:36:25.790Z</dcterms:created>
  <dcterms:modified xsi:type="dcterms:W3CDTF">2026-10-22T19:36:25.791Z</dcterms:modified>
</cp:coreProperties>
</file>

<file path=docProps/custom.xml><?xml version="1.0" encoding="utf-8"?>
<Properties xmlns="http://schemas.openxmlformats.org/officeDocument/2006/custom-properties" xmlns:vt="http://schemas.openxmlformats.org/officeDocument/2006/docPropsVTypes"/>
</file>