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et les frais (carburant, péages, frais du chauffeur, entretien, taxes spécifiques). Le tarif vient du tarif du client sur la route, à défaut du tarif de la route. La plateforme en déduit le chiffre d'affaires, le manquant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(EGUITRA Finance &gt;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chauffeurs, routes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frais éventuels, puis « Enregistrer la rotation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2026-10-14T15:16:33.771Z</dcterms:created>
  <dcterms:modified xsi:type="dcterms:W3CDTF">2026-10-14T15:16:33.772Z</dcterms:modified>
</cp:coreProperties>
</file>

<file path=docProps/custom.xml><?xml version="1.0" encoding="utf-8"?>
<Properties xmlns="http://schemas.openxmlformats.org/officeDocument/2006/custom-properties" xmlns:vt="http://schemas.openxmlformats.org/officeDocument/2006/docPropsVTypes"/>
</file>