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 la direction générale</w:t>
      </w:r>
    </w:p>
    <w:p>
      <w:pPr>
        <w:keepNext/>
        <w:pBdr>
          <w:bottom w:val="single" w:color="1A9E9E" w:sz="6" w:space="2"/>
        </w:pBdr>
        <w:spacing w:after="100" w:before="280"/>
      </w:pPr>
      <w:r>
        <w:rPr>
          <w:rFonts w:ascii="Calibri" w:cs="Calibri" w:eastAsia="Calibri" w:hAnsi="Calibri"/>
          <w:b/>
          <w:bCs/>
          <w:color w:val="1C1E6B"/>
          <w:sz w:val="26"/>
          <w:szCs w:val="26"/>
        </w:rPr>
        <w:t xml:space="preserve">Pour tous : se connecter</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Ouvrir l'adresse de l'application (EGUITRA Finance, AxisPro Suite ou le portail) dans un navigateur récent.</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Saisir l'identifiant et le mot de passe remis par l'administrateur.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Première connexion : activer la double authentification (installer une application d'authentification sur le téléphone, Google Authenticator, Microsoft Authenticator ou FreeOTP, scanner le code affiché et saisir le code à 6 chiffres), puis remplacer le mot de passe provisoire par un mot de passe personnel d'au moins 10 caractères.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Connexions suivantes : identifiant, mot de passe, puis le code à 6 chiffres du téléphone.</w:t>
      </w:r>
    </w:p>
    <w:p>
      <w:pPr>
        <w:spacing w:after="100"/>
        <w:jc w:val="both"/>
      </w:pPr>
      <w:r>
        <w:rPr>
          <w:rFonts w:ascii="Calibri" w:cs="Calibri" w:eastAsia="Calibri" w:hAnsi="Calibri"/>
          <w:sz w:val="20"/>
          <w:szCs w:val="20"/>
        </w:rPr>
        <w:t xml:space="preserve">Deux sociétés, un seul compte : si votre compte est ouvert à EGUITRA GROUP SARLU et à MB AxisPro Consulting, choisissez la société de travail avec le sélecteur en haut de l'écran ; l'écran se recharge sur les données de cette société. Les comptabilités restent séparées. La direction et la finance disposent aussi de la vue « Groupe consolidé » qui réunit les deux.</w:t>
      </w:r>
    </w:p>
    <w:p>
      <w:pPr>
        <w:spacing w:after="100"/>
        <w:jc w:val="both"/>
      </w:pPr>
      <w:r>
        <w:rPr>
          <w:rFonts w:ascii="Calibri" w:cs="Calibri" w:eastAsia="Calibri" w:hAnsi="Calibri"/>
          <w:sz w:val="20"/>
          <w:szCs w:val="20"/>
        </w:rPr>
        <w:t xml:space="preserve">Téléphone perdu ou changé : demander à l'administrateur de réinitialiser la double authentification. Mot de passe oublié : l'administrateur en remet un nouveau, provisoire. Les sessions expirent d'elles-mêmes au bout de quelques heures ; toutes les connexions sont journalisées.</w:t>
      </w:r>
    </w:p>
    <w:p>
      <w:pPr>
        <w:spacing w:after="100"/>
        <w:jc w:val="both"/>
      </w:pPr>
      <w:r>
        <w:rPr>
          <w:rFonts w:ascii="Calibri" w:cs="Calibri" w:eastAsia="Calibri" w:hAnsi="Calibri"/>
          <w:sz w:val="20"/>
          <w:szCs w:val="20"/>
        </w:rPr>
        <w:t xml:space="preserve">EGUITRA Finance donne à la direction une vue à jour du groupe, calculée à chaque saisie.</w:t>
      </w:r>
    </w:p>
    <w:p>
      <w:pPr>
        <w:keepNext/>
        <w:pBdr>
          <w:bottom w:val="single" w:color="1A9E9E" w:sz="6" w:space="2"/>
        </w:pBdr>
        <w:spacing w:after="100" w:before="280"/>
      </w:pPr>
      <w:r>
        <w:rPr>
          <w:rFonts w:ascii="Calibri" w:cs="Calibri" w:eastAsia="Calibri" w:hAnsi="Calibri"/>
          <w:b/>
          <w:bCs/>
          <w:color w:val="1C1E6B"/>
          <w:sz w:val="26"/>
          <w:szCs w:val="26"/>
        </w:rPr>
        <w:t xml:space="preserve">Tableau de bord (Pilotage &gt; Tableau de bord)</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Arrêté au » : le tableau de bord se recalcule à la date choisie (aujourd'hui par défaut).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Chiffre d'affaires du mois et de l'exercice face au budget, excédent brut d'exploitation et marge d'EBE, résultat net et marge nette, résultat après dépréciation des créances (IFRS 9).</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Délai de recouvrement (DSO) face à la cible, couverture de la dette (DSCR) face au minimum fixé, besoin en fonds de roulement (DSO, DPO, cycle, part échue, concentration sur le premier client).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Trésorerie par compte, trésorerie de fin de mois avec le seuil de sécurité et le point bas, trésorerie prévue en fin de mois (créances à encaisser, fournisseurs et échéances d'emprunt à payer), réalisé contre budget cumulé, dette nette et gearing.</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onze questions du dirigeant (gagnons-nous de l'argent, ai-je de quoi payer le mois prochain, à quelle vitesse suis-je payé, puis-je honorer mes échéances bancaires, quels camions me coûtent de l'argent, mes comptes sont-ils diffusables…), chacune avec sa réponse, son verdict et sa lecture.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 Ce qui demande une décision » : les six alertes les plus graves, avec l'action recommandée.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 bouton « Société / Groupe » passe de la société de travail à la vue consolidée du groupe ; « Imprimer » produit un tableau de bord diffusable.</w:t>
      </w:r>
    </w:p>
    <w:p>
      <w:pPr>
        <w:keepNext/>
        <w:pBdr>
          <w:bottom w:val="single" w:color="1A9E9E" w:sz="6" w:space="2"/>
        </w:pBdr>
        <w:spacing w:after="100" w:before="280"/>
      </w:pPr>
      <w:r>
        <w:rPr>
          <w:rFonts w:ascii="Calibri" w:cs="Calibri" w:eastAsia="Calibri" w:hAnsi="Calibri"/>
          <w:b/>
          <w:bCs/>
          <w:color w:val="1C1E6B"/>
          <w:sz w:val="26"/>
          <w:szCs w:val="26"/>
        </w:rPr>
        <w:t xml:space="preserve">Alertes de gestion (Pilotage &gt; Alertes)</w:t>
      </w:r>
    </w:p>
    <w:p>
      <w:pPr>
        <w:spacing w:after="100"/>
        <w:jc w:val="both"/>
      </w:pPr>
      <w:r>
        <w:rPr>
          <w:rFonts w:ascii="Calibri" w:cs="Calibri" w:eastAsia="Calibri" w:hAnsi="Calibri"/>
          <w:sz w:val="20"/>
          <w:szCs w:val="20"/>
        </w:rPr>
        <w:t xml:space="preserve">Chaque règle compare une valeur constatée à un seuil fixé avec la direction (Administration &gt; Seuils et taux) : trésorerie minimale, DSCR minimal, délai de recouvrement cible, part échue des créances, concentration sur un client, dettes fournisseurs échues, marge transport, dépassement budgétaire… Gravités : bloquante (interdit la clôture), critique, élevée, moyenne. « Toutes les règles » affiche aussi les règles conformes. Un seuil laissé à 0 éteint sa règle : la règle « Seuils à renseigner » le signale. Les pastilles de la navigation comptent les alertes, les validations en attente et les contrôles en anomalie ; l'en-tête indique si le total des débits de l'exercice égale celui des crédits.</w:t>
      </w:r>
    </w:p>
    <w:p>
      <w:pPr>
        <w:keepNext/>
        <w:pBdr>
          <w:bottom w:val="single" w:color="1A9E9E" w:sz="6" w:space="2"/>
        </w:pBdr>
        <w:spacing w:after="100" w:before="280"/>
      </w:pPr>
      <w:r>
        <w:rPr>
          <w:rFonts w:ascii="Calibri" w:cs="Calibri" w:eastAsia="Calibri" w:hAnsi="Calibri"/>
          <w:b/>
          <w:bCs/>
          <w:color w:val="1C1E6B"/>
          <w:sz w:val="26"/>
          <w:szCs w:val="26"/>
        </w:rPr>
        <w:t xml:space="preserve">Rapport mensuel de gestion (Pilotage &gt; Rapport mensuel)</w:t>
      </w:r>
    </w:p>
    <w:p>
      <w:pPr>
        <w:spacing w:after="100"/>
        <w:jc w:val="both"/>
      </w:pPr>
      <w:r>
        <w:rPr>
          <w:rFonts w:ascii="Calibri" w:cs="Calibri" w:eastAsia="Calibri" w:hAnsi="Calibri"/>
          <w:sz w:val="20"/>
          <w:szCs w:val="20"/>
        </w:rPr>
        <w:t xml:space="preserve">Choisir le mois, puis « Imprimer » pour obtenir le rapport à diffuser : indicateurs, lecture de la période rédigée par la plateforme (le mois comparé au mois précédent et à l'an dernier), résultat du mois et cumulé, trésorerie et financement (encaissements, décaissements, cash net, service de la dette), clients et fournisseurs (DSO, dettes échues, BFR), transport (rotations, marge, camions déficitaires, rotations non facturées), flux mensuels de trésorerie, alertes avec leurs actions.</w:t>
      </w:r>
    </w:p>
    <w:p>
      <w:pPr>
        <w:keepNext/>
        <w:pBdr>
          <w:bottom w:val="single" w:color="1A9E9E" w:sz="6" w:space="2"/>
        </w:pBdr>
        <w:spacing w:after="100" w:before="280"/>
      </w:pPr>
      <w:r>
        <w:rPr>
          <w:rFonts w:ascii="Calibri" w:cs="Calibri" w:eastAsia="Calibri" w:hAnsi="Calibri"/>
          <w:b/>
          <w:bCs/>
          <w:color w:val="1C1E6B"/>
          <w:sz w:val="26"/>
          <w:szCs w:val="26"/>
        </w:rPr>
        <w:t xml:space="preserve">Activités et budget (Pilotage &gt; Activités et budget)</w:t>
      </w:r>
    </w:p>
    <w:p>
      <w:pPr>
        <w:spacing w:after="100"/>
        <w:jc w:val="both"/>
      </w:pPr>
      <w:r>
        <w:rPr>
          <w:rFonts w:ascii="Calibri" w:cs="Calibri" w:eastAsia="Calibri" w:hAnsi="Calibri"/>
          <w:sz w:val="20"/>
          <w:szCs w:val="20"/>
        </w:rPr>
        <w:t xml:space="preserve">Résultat par activité, centre de coût, chantier, ensemble routier, route ou bien immobilier, et comparaison au budget de l'exercice.</w:t>
      </w:r>
    </w:p>
    <w:p>
      <w:pPr>
        <w:keepNext/>
        <w:pBdr>
          <w:bottom w:val="single" w:color="1A9E9E" w:sz="6" w:space="2"/>
        </w:pBdr>
        <w:spacing w:after="100" w:before="280"/>
      </w:pPr>
      <w:r>
        <w:rPr>
          <w:rFonts w:ascii="Calibri" w:cs="Calibri" w:eastAsia="Calibri" w:hAnsi="Calibri"/>
          <w:b/>
          <w:bCs/>
          <w:color w:val="1C1E6B"/>
          <w:sz w:val="26"/>
          <w:szCs w:val="26"/>
        </w:rPr>
        <w:t xml:space="preserve">Approbations (Pilotage &gt; À valider)</w:t>
      </w:r>
    </w:p>
    <w:p>
      <w:pPr>
        <w:spacing w:after="100"/>
        <w:jc w:val="both"/>
      </w:pPr>
      <w:r>
        <w:rPr>
          <w:rFonts w:ascii="Calibri" w:cs="Calibri" w:eastAsia="Calibri" w:hAnsi="Calibri"/>
          <w:sz w:val="20"/>
          <w:szCs w:val="20"/>
        </w:rPr>
        <w:t xml:space="preserve">Les pièces d'achat au-delà des seuils et les règlements importants attendent l'accord de la direction. Ouvrir la pièce, vérifier les montants et la pièce jointe, puis « Approuver » ou « Refuser » avec un motif. Une pièce modifiée après approbation doit être approuvée à nouveau.</w:t>
      </w:r>
    </w:p>
    <w:p>
      <w:pPr>
        <w:keepNext/>
        <w:pBdr>
          <w:bottom w:val="single" w:color="1A9E9E" w:sz="6" w:space="2"/>
        </w:pBdr>
        <w:spacing w:after="100" w:before="280"/>
      </w:pPr>
      <w:r>
        <w:rPr>
          <w:rFonts w:ascii="Calibri" w:cs="Calibri" w:eastAsia="Calibri" w:hAnsi="Calibri"/>
          <w:b/>
          <w:bCs/>
          <w:color w:val="1C1E6B"/>
          <w:sz w:val="26"/>
          <w:szCs w:val="26"/>
        </w:rPr>
        <w:t xml:space="preserve">États financiers (Comptabilité &gt; Balance et états)</w:t>
      </w:r>
    </w:p>
    <w:p>
      <w:pPr>
        <w:spacing w:after="100"/>
        <w:jc w:val="both"/>
      </w:pPr>
      <w:r>
        <w:rPr>
          <w:rFonts w:ascii="Calibri" w:cs="Calibri" w:eastAsia="Calibri" w:hAnsi="Calibri"/>
          <w:sz w:val="20"/>
          <w:szCs w:val="20"/>
        </w:rPr>
        <w:t xml:space="preserve">Bilan, compte de résultat et tableau des flux de trésorerie au format SYSCOHADA révisé, à toute date ; balance, grand livre et rapports exportables en CSV ou XLSX.</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 la direction générale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la direction générale</dc:title>
  <dc:creator>E-VOLUTION XP</dc:creator>
  <cp:lastModifiedBy>Un-named</cp:lastModifiedBy>
  <cp:revision>1</cp:revision>
  <dcterms:created xsi:type="dcterms:W3CDTF">2026-10-17T13:15:51.344Z</dcterms:created>
  <dcterms:modified xsi:type="dcterms:W3CDTF">2026-10-17T13:15:51.344Z</dcterms:modified>
</cp:coreProperties>
</file>

<file path=docProps/custom.xml><?xml version="1.0" encoding="utf-8"?>
<Properties xmlns="http://schemas.openxmlformats.org/officeDocument/2006/custom-properties" xmlns:vt="http://schemas.openxmlformats.org/officeDocument/2006/docPropsVTypes"/>
</file>