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cabinet : AxisPro Suite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Le tableau de bord (Cabinet &gt; Dossiers)</w:t>
      </w:r>
    </w:p>
    <w:p>
      <w:pPr>
        <w:spacing w:after="100"/>
        <w:jc w:val="both"/>
      </w:pPr>
      <w:r>
        <w:rPr>
          <w:rFonts w:ascii="Calibri" w:cs="Calibri" w:eastAsia="Calibri" w:hAnsi="Calibri"/>
          <w:sz w:val="20"/>
          <w:szCs w:val="20"/>
        </w:rPr>
        <w:t xml:space="preserve">L'accueil d'AxisPro montre le portefeuille : chiffres clés, entonnoir des dossiers par étape, recommandations, puis le pilotage du cabinet. On y trouve le financement des projets (besoin, montants sollicités et obtenus, démarches par étape), ce qu'il faut surveiller (actions en retard, comptes rendus des porteurs à valider, risques critiques, relances des financeurs dans les quatorze jours), la rentabilité des projets modélisés (TRI, DSCR, VAN) et la charge des consultants. Les dossiers s'affichent en colonnes par étape (« Tableau ») ou en « Liste ».</w:t>
      </w:r>
    </w:p>
    <w:p>
      <w:pPr>
        <w:keepNext/>
        <w:pBdr>
          <w:bottom w:val="single" w:color="1A9E9E" w:sz="6" w:space="2"/>
        </w:pBdr>
        <w:spacing w:after="100" w:before="280"/>
      </w:pPr>
      <w:r>
        <w:rPr>
          <w:rFonts w:ascii="Calibri" w:cs="Calibri" w:eastAsia="Calibri" w:hAnsi="Calibri"/>
          <w:b/>
          <w:bCs/>
          <w:color w:val="1C1E6B"/>
          <w:sz w:val="26"/>
          <w:szCs w:val="26"/>
        </w:rPr>
        <w:t xml:space="preserve">La méthode MB AxisPro Consulting</w:t>
      </w:r>
    </w:p>
    <w:p>
      <w:pPr>
        <w:spacing w:after="100"/>
        <w:jc w:val="both"/>
      </w:pPr>
      <w:r>
        <w:rPr>
          <w:rFonts w:ascii="Calibri" w:cs="Calibri" w:eastAsia="Calibri" w:hAnsi="Calibri"/>
          <w:sz w:val="20"/>
          <w:szCs w:val="20"/>
        </w:rPr>
        <w:t xml:space="preserve">AxisPro Suite applique la méthode du cabinet « Project Readiness &amp; Bankability Assessment » (réf. MBAP/PROJECT-DEVELOPMENT/SC-01)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critère reçoit un statut : disponible et exploitable (1 point), incomplet / à actualiser (0,5), non disponible (0), non applicable (exclu du calcul, ou 1 point selon la politique) ; un critère non encore évalué compte comme non disponible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politique peut requalifier un statut sans toucher la saisie : un critère qui exige une preuve (knock-out ou exigence bloquante), déclaré disponible sans pièce, est retenu « incomplet » ; une preuve dont la validité est dépassée aussi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scores sur 100 : Project Readiness (toute la grille), APD Readiness (hors exigences de due diligence et de closing) et Bankability (critères pertinents pour la bancabilité) ; un score par domaine avec sa priorité (moins de 30 urgente, de 30 à 50 élevée, de 50 à 65 moyenne)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suivi par compartiment : les domaines sont répartis en compartiments d'expertise (C0 coordination, C1 foncier et autorisations, C2 technique, C3 marché et commercial, C4 coûts et modélisation financière, C5 juridique et corporate, C6 environnement, social et HSSE, C7 financement, partenaires et garanties), chacun confié à un consultant : score, critères, manques à traiter et études à produire renseignées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knock-out non disponible impose NO-GO quel que soit le score ; un knock-out incomplet ne bloque pas dans la version 3 de l'outil du cabinet (réglage de la politique)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classification : ADVANCED / BANKABLE CANDIDATE (80), APD READY (65), CONDITIONAL GO (50), MAJOR GAPS / HOLD (30), CRITICAL / NO-GO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stage gate a sa règle de passage. Version 3 de l'outil (7 gates) : recevabilité de la fiche (G0), préqualification avec une checklist complétée à 40 % au moins et un score de maturité d'au moins 30 (G1), préfaisabilité sans knock-out sur le foncier, le marché, le commercial et le réglementaire et un Project Readiness d'au moins 50 (G2), APD Readiness d'au moins 50 sans aucun knock-out (G3), Bankability d'au moins 65 et DSCR bancaire (G4), absence de red flag et data room exploitable (G5), structuration financière et financial close : conditions levées et documentation signée (G6). La version 2 comptait un gate SPV (accord des bailleurs, domaines SPV et Financement) avant le financial close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complétude documentaire minimale peut conditionner l'examen d'un gate : en dessous, le gate reste en HOLD même si son score est atteint (mesurée, comme le score, sur les gates atteints pour la préqualification et la préfaisabilité)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recommandation : BANKABLE CANDIDATE, APD READY, CONDITIONAL GO, HOLD ou NO-GO, « à compléter » tant que les critères des gates atteints ne sont pas tous évalués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écarts sont classés par priorité : un critère non disponible pèse son poids, plus 2 s'il est critique et 5 s'il est knock-out ; un critère incomplet, la moitié de son poids, plus 1 s'il est critique et 3 s'il est knock-out.</w:t>
      </w:r>
    </w:p>
    <w:p>
      <w:pPr>
        <w:keepNext/>
        <w:pBdr>
          <w:bottom w:val="single" w:color="1A9E9E" w:sz="6" w:space="2"/>
        </w:pBdr>
        <w:spacing w:after="100" w:before="280"/>
      </w:pPr>
      <w:r>
        <w:rPr>
          <w:rFonts w:ascii="Calibri" w:cs="Calibri" w:eastAsia="Calibri" w:hAnsi="Calibri"/>
          <w:b/>
          <w:bCs/>
          <w:color w:val="1C1E6B"/>
          <w:sz w:val="26"/>
          <w:szCs w:val="26"/>
        </w:rPr>
        <w:t xml:space="preserve">La grille d'évaluation (Méthode &gt; Grille d'évaluation)</w:t>
      </w:r>
    </w:p>
    <w:p>
      <w:pPr>
        <w:spacing w:after="100"/>
        <w:jc w:val="both"/>
      </w:pPr>
      <w:r>
        <w:rPr>
          <w:rFonts w:ascii="Calibri" w:cs="Calibri" w:eastAsia="Calibri" w:hAnsi="Calibri"/>
          <w:sz w:val="20"/>
          <w:szCs w:val="20"/>
        </w:rPr>
        <w:t xml:space="preserve">La grille du cabinet (stage gates et leurs règles, compartiments, domaines, critères, pièces de la data room et leurs rattachements aux critères) est une donnée : « Classeur modèle » donne le format (onglet Aide), « Importer une grille » charge une grille en nouvelle version, en brouillon.</w:t>
      </w:r>
    </w:p>
    <w:p>
      <w:pPr>
        <w:spacing w:after="100"/>
        <w:jc w:val="both"/>
      </w:pPr>
      <w:r>
        <w:rPr>
          <w:rFonts w:ascii="Calibri" w:cs="Calibri" w:eastAsia="Calibri" w:hAnsi="Calibri"/>
          <w:sz w:val="20"/>
          <w:szCs w:val="20"/>
        </w:rPr>
        <w:t xml:space="preserve">L'outil de scoring du cabinet (« Project Readiness &amp; Bankability Assessment Tool », onglets Scoring, Stage_Gate, Data_Room_Index et Parametres) s'importe tel quel, sans conversion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critères, poids, critiques, knock-outs, gates cibles, bancabilité, domaines et compartiments viennent de l'onglet Scoring ; une preuve est exigée pour les knock-outs et les exigences bloquantes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gates viennent de l'onglet Stage_Gate : la règle de passage se déduit du nom du gate, le seuil des critères de passage (« ≥ 50/100 »), la complétude minimale des exigences d'entrée (« au moins 40 % »), les domaines contrôlés des blocs cités (« Foncier / Marché-Commercial / Réglementaire ») ; le DSCR bancaire du gate de bancabilité (« 1,3x »)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seuils de classement et le barème viennent de l'onglet Parametres : « non applicable » à 1 point y est compté comme tel ; un barème différent de celui de la méthode est refusé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pièces viennent de l'onglet Data_Room_Index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codes des critères et des pièces, aides, livrables, indicateurs du modèle financier et rattachements des pièces aux critères sont repris de la version en vigueur quand le libellé est le même : les dossiers, exports et analyses gardent leurs repères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notices explicatives sous chaque tableau sont ignorées.</w:t>
      </w:r>
    </w:p>
    <w:p>
      <w:pPr>
        <w:spacing w:after="100"/>
        <w:jc w:val="both"/>
      </w:pPr>
      <w:r>
        <w:rPr>
          <w:rFonts w:ascii="Calibri" w:cs="Calibri" w:eastAsia="Calibri" w:hAnsi="Calibri"/>
          <w:sz w:val="20"/>
          <w:szCs w:val="20"/>
        </w:rPr>
        <w:t xml:space="preserve">Vérifier la version (le contrôle de cohérence signale knock-outs non critiques, pièces sans critère, critères sans pièce, domaines sans compartiment, gates sans critère), régler la méthode (seuils des classes, DSCR bancaire, pondération à plat ou par domaine, knock-out incomplet bloquant, preuve obligatoire, non applicables exclus, péremption des preuves), les règles des gates (seuils, portée du score, complétude minimale, domaines contrôlés), le compartiment de chaque domaine, puis « Mettre en vigueur ». Chaque modification ultérieure passe par « Nouvelle version » : un dossier reste évalué selon la version en vigueur à son ouverture, rappelée dans chaque rapport.</w:t>
      </w:r>
    </w:p>
    <w:p>
      <w:pPr>
        <w:spacing w:after="100"/>
        <w:jc w:val="both"/>
      </w:pPr>
      <w:r>
        <w:rPr>
          <w:rFonts w:ascii="Calibri" w:cs="Calibri" w:eastAsia="Calibri" w:hAnsi="Calibri"/>
          <w:sz w:val="20"/>
          <w:szCs w:val="20"/>
        </w:rPr>
        <w:t xml:space="preserve">Un critère peut être adossé à un indicateur du modèle financier (DSCR minimal, TRI, apport des promoteurs, délai de récupération, point mort…) avec un seuil de satisfaction et, au besoin, un seuil de satisfaction partielle. Dans le classeur : colonnes facultatives </w:t>
      </w:r>
      <w:r>
        <w:rPr>
          <w:rFonts w:ascii="Consolas" w:cs="Consolas" w:eastAsia="Consolas" w:hAnsi="Consolas"/>
          <w:color w:val="333333"/>
          <w:sz w:val="18"/>
          <w:szCs w:val="18"/>
        </w:rPr>
        <w:t xml:space="preserve">indicateur</w:t>
      </w:r>
      <w:r>
        <w:rPr>
          <w:rFonts w:ascii="Calibri" w:cs="Calibri" w:eastAsia="Calibri" w:hAnsi="Calibri"/>
          <w:sz w:val="20"/>
          <w:szCs w:val="20"/>
        </w:rPr>
        <w:t xml:space="preserve">, </w:t>
      </w:r>
      <w:r>
        <w:rPr>
          <w:rFonts w:ascii="Consolas" w:cs="Consolas" w:eastAsia="Consolas" w:hAnsi="Consolas"/>
          <w:color w:val="333333"/>
          <w:sz w:val="18"/>
          <w:szCs w:val="18"/>
        </w:rPr>
        <w:t xml:space="preserve">seuil</w:t>
      </w:r>
      <w:r>
        <w:rPr>
          <w:rFonts w:ascii="Calibri" w:cs="Calibri" w:eastAsia="Calibri" w:hAnsi="Calibri"/>
          <w:sz w:val="20"/>
          <w:szCs w:val="20"/>
        </w:rPr>
        <w:t xml:space="preserve"> et </w:t>
      </w:r>
      <w:r>
        <w:rPr>
          <w:rFonts w:ascii="Consolas" w:cs="Consolas" w:eastAsia="Consolas" w:hAnsi="Consolas"/>
          <w:color w:val="333333"/>
          <w:sz w:val="18"/>
          <w:szCs w:val="18"/>
        </w:rPr>
        <w:t xml:space="preserve">seuil_partiel</w:t>
      </w:r>
      <w:r>
        <w:rPr>
          <w:rFonts w:ascii="Calibri" w:cs="Calibri" w:eastAsia="Calibri" w:hAnsi="Calibri"/>
          <w:sz w:val="20"/>
          <w:szCs w:val="20"/>
        </w:rPr>
        <w:t xml:space="preserve"> (la feuille « Indicateurs » du classeur modèle donne les codes). Dans une version en brouillon, la colonne « Indicateur du modèle financier » se règle aussi à l'écran. L'évaluateur reçoit alors un statut suggéré, qu'il applique ou non.</w:t>
      </w:r>
    </w:p>
    <w:p>
      <w:pPr>
        <w:keepNext/>
        <w:pBdr>
          <w:bottom w:val="single" w:color="1A9E9E" w:sz="6" w:space="2"/>
        </w:pBdr>
        <w:spacing w:after="100" w:before="280"/>
      </w:pPr>
      <w:r>
        <w:rPr>
          <w:rFonts w:ascii="Calibri" w:cs="Calibri" w:eastAsia="Calibri" w:hAnsi="Calibri"/>
          <w:b/>
          <w:bCs/>
          <w:color w:val="1C1E6B"/>
          <w:sz w:val="26"/>
          <w:szCs w:val="26"/>
        </w:rPr>
        <w:t xml:space="preserve">Les dossiers</w:t>
      </w:r>
    </w:p>
    <w:p>
      <w:pPr>
        <w:spacing w:after="100"/>
        <w:jc w:val="both"/>
      </w:pPr>
      <w:r>
        <w:rPr>
          <w:rFonts w:ascii="Calibri" w:cs="Calibri" w:eastAsia="Calibri" w:hAnsi="Calibri"/>
          <w:sz w:val="20"/>
          <w:szCs w:val="20"/>
        </w:rPr>
        <w:t xml:space="preserve">« Nouveau dossier » : projet, promoteur, secteur, localisation, capacité, devise du dossier, date d'évaluation, investissement, besoin de financement. La fiche du dossier comporte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Synthèse : « où en est le dossier » (les trois scores, la classification, la recommandation et son motif, le prochain gate et ses motifs), knock-outs actifs, critiques manquants, complétude des critères et de la data room, les actions prioritaires (livrable, responsable, échéance), les contrôles de cohérence (investissement de la fiche et du modèle financier, financements, statut saisi et statut suggéré, preuves à reprendre, décision favorable malgré un knock-out), les scores par domaine, la fiche projet et les hypothèses de décision des gates 4 à 7 (DSCR et TRI déclarés à défaut de modèle financier, red flag, data room ouverte, accord des bailleurs, conditions levées, documentation signée), la rentabilité et l'accès du porteur au portail. Le suivi par compartiment montre, pour chaque bloc d'expertise, son score, ses critères, ses manques à traiter, ses études à produire renseignées et le consultant qui en a la charge ; le cabinet y confie chaque compartiment à un consultant (le changement est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Évaluation : la check-list, par domaine. « Saisie guidée » ne montre que les critères des gates atteints, les non évalués d'abord ; « Grille complète » montre tout. Filtres : compartiment, « Mes compartiments » (ceux qui vous sont confiés), domaine, gate, non évalués, écarts, knock-outs, critiques, exigences bloquantes, requalifiés, avec ou sans preuve. L'outil de scoring du cabinet, rempli hors ligne, se réimporte comme une fiche (statut, observation, étude à produire, responsable, échéance). Pour chaque critère : le statut, le statut retenu par la politique s'il diffère (avec la raison), et dans « Détails » l'étude ou le document à produire, le responsable, l'échéance, l'observation, les preuves (« Joindre une preuve » dépose la pièce dans la data room et la rattache au critère, avec sa date de validité). « Fiche d'évaluation » télécharge la fiche ; « Importer une fiche » la recharge (classeur, CSV ou export JSON, rapprochement par code ou par intitulé) après un aperçu des changements. Pour un critère adossé au modèle financier, l'encadré « Modèle financier » donne la valeur, le seuil et le statut suggéré.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Stage gates : pour chaque gate, sa règle, sa décision (GO, CONDITIONAL GO, HOLD, NO-GO) et ses motifs, les exigences d'entrée, les livrables et les critères de passage. « Passer au gate suivant » suit la décision du gate courant ; le cabinet peut passer outre avec un motif,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Modèle financier : voir ci-dessous.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Risques : registre des risques du projet, matrice probabilité × impact avant et après traitement, mesures d'atténuation ; « Créer l'action de traitement » ajoute l'action au plan.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Actions : plan d'actions du dossier. « Créer depuis les écarts prioritaires » transforme les écarts de la grille en actions du porteur ; les conditions d'un comité deviennent des actions dès que la décision est verrouillée. Chaque action a une échéance, un responsable (porteur ou cabinet) et un état ; une action du porteur visible au portail reçoit son compte rendu (« Déclarée faite »), que le cabinet valide.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démarches auprès des banques, fonds et investisseurs (instrument, montants sollicité et accordé, taux, durée, prochaine étape, date de relance), couverture du besoin.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Data room : les pièces standard, disponibles par un dépôt ou par la preuve d'un critère rattaché (l'origine est indiquée), leur date de validité, les versions, la validation ou la demande de reprise avec motif, la complétude ; « Pièces à fournir » imprime la liste pour le porteur, « Data room (.zip) » télécharge la dernière version de chaque pièce, rangée par rubrique, avec un sommaire. Formats acceptés : PDF, JPEG, PNG, Word .docx et Excel .xlsx, reconnus d'après leur contenu ; les fichiers à macros, les archives ZIP et les anciens formats .doc et .xls sont refusés. L'espace d'un dossier est limité à 400 pièces ou 1 Go pour les dépôts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Comités : revue avec décision (GO, CONDITIONAL GO, HOLD, NO-GO, ajourné), instance, membres, motif (obligatoire pour HOLD et NO-GO), conditions et compte rendu. « Enregistrer, sceller et verrouiller » fige la décision avec un instantané des scores et des indicateurs financiers et la scelle par une empreinte ; le dossier est alors figé (évaluation, fiche, hypothèses, modèle financier) jusqu'à « Ouvrir une nouvelle révision ». « Vérifier » contrôle l'empreinte à tout moment. Cocher deux revues pour les comparer (scores, gates, domaines, indicateurs financiers).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Journal : chaque changement de statut, dépôt, validation, passage de gate, décision, révision et import, avec son auteur et son heure.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 messages au porteur, ou notes internes invisibles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 rapport du comité en PDF (fiche, scores, gates, domaines, écarts, contrôles, hypothèses, modèle financier, risques, data room, décision scellée et son empreinte), classeur d'évaluation au plan du modèle du cabinet (Dashboard, Scoring, Gaps_Prioritaires, Data_Room_Index, Stage_Gate, Politique, puis modèle financier, risques et actions), export JSON, pièces à fournir et aperçu imprimable.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Temps : temps passés et facture d'honoraires au taux horaire.</w:t>
      </w:r>
    </w:p>
    <w:p>
      <w:pPr>
        <w:keepNext/>
        <w:pBdr>
          <w:bottom w:val="single" w:color="1A9E9E" w:sz="6" w:space="2"/>
        </w:pBdr>
        <w:spacing w:after="100" w:before="280"/>
      </w:pPr>
      <w:r>
        <w:rPr>
          <w:rFonts w:ascii="Calibri" w:cs="Calibri" w:eastAsia="Calibri" w:hAnsi="Calibri"/>
          <w:b/>
          <w:bCs/>
          <w:color w:val="1C1E6B"/>
          <w:sz w:val="26"/>
          <w:szCs w:val="26"/>
        </w:rPr>
        <w:t xml:space="preserve">Le modèle financier</w:t>
      </w:r>
    </w:p>
    <w:p>
      <w:pPr>
        <w:spacing w:after="100"/>
        <w:jc w:val="both"/>
      </w:pPr>
      <w:r>
        <w:rPr>
          <w:rFonts w:ascii="Calibri" w:cs="Calibri" w:eastAsia="Calibri" w:hAnsi="Calibri"/>
          <w:sz w:val="20"/>
          <w:szCs w:val="20"/>
        </w:rPr>
        <w:t xml:space="preserve">On saisit les hypothèses dans les tableaux, directement dans les cases ; tout se recalcule en quittant la case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Investissements : montant, année (0 = avant l'exploitation), durée d'amortissement (0 pour un terrain).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Produits : volume annuel à pleine capacité, unité, prix unitaire, coût variable unitaire, montée en régime en pourcentage de la capacité par année (par exemple 60;80;100), croissance des volumes et évolution des prix.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variables en pourcentage du chiffre d'affaires (commissions, redevances).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Charges fixes annuelles par rubrique (services extérieurs, personnel, impôts et taxes, autres), avec leur évolution annuelle.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financement : apports, emprunts (taux, durée, différé, annuités constantes ou amortissement constant), subventions (reprise au résultat sur leur durée).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horizon, taux d'actualisation, impôt sur les sociétés, impôt minimum, années d'exonération, report des déficits, délais clients, stocks et fournisseurs, DSCR et apport exigés.</w:t>
      </w:r>
    </w:p>
    <w:p>
      <w:pPr>
        <w:spacing w:after="100"/>
        <w:jc w:val="both"/>
      </w:pPr>
      <w:r>
        <w:rPr>
          <w:rFonts w:ascii="Calibri" w:cs="Calibri" w:eastAsia="Calibri" w:hAnsi="Calibri"/>
          <w:sz w:val="20"/>
          <w:szCs w:val="20"/>
        </w:rPr>
        <w:t xml:space="preserve">L'écran donne la VAN, le TRI du projet et des fonds propres, le DSCR minimal et moyen, le LLCR, le délai de récupération, la marge d'EBE et le point mort, les alertes (trésorerie négative, DSCR sous l'exigence, plan de financement déséquilibré, apport insuffisant), les comptes prévisionnels (résultat, flux, dette, BFR), le plan de financement initial, les sensibilités (de -20 % à +20 % sur chaque hypothèse), trois scénarios et les marges de sécurité (baisse du prix ou des volumes supportable avant une VAN négative ou un DSCR sous 1). « Export XLSX » donne le modèle complet.</w:t>
      </w:r>
    </w:p>
    <w:p>
      <w:pPr>
        <w:keepNext/>
        <w:pBdr>
          <w:bottom w:val="single" w:color="1A9E9E" w:sz="6" w:space="2"/>
        </w:pBdr>
        <w:spacing w:after="100" w:before="280"/>
      </w:pPr>
      <w:r>
        <w:rPr>
          <w:rFonts w:ascii="Calibri" w:cs="Calibri" w:eastAsia="Calibri" w:hAnsi="Calibri"/>
          <w:b/>
          <w:bCs/>
          <w:color w:val="1C1E6B"/>
          <w:sz w:val="26"/>
          <w:szCs w:val="26"/>
        </w:rPr>
        <w:t xml:space="preserve">Plan d'actions, financements, comités, temps, pièces</w:t>
      </w:r>
    </w:p>
    <w:p>
      <w:pPr>
        <w:spacing w:after="100"/>
        <w:jc w:val="both"/>
      </w:pPr>
      <w:r>
        <w:rPr>
          <w:rFonts w:ascii="Calibri" w:cs="Calibri" w:eastAsia="Calibri" w:hAnsi="Calibri"/>
          <w:sz w:val="20"/>
          <w:szCs w:val="20"/>
        </w:rPr>
        <w:t xml:space="preserve">« Plan d'actions » réunit les actions de tous les dossiers (filtres : ouvertes, en retard, à valider) ; « Financements » montre les démarches par étape et les relances à venir ; « Comités » liste les dossiers à présenter et les décisions rendues ; « Temps et facturation » récapitule les heures par dossier ; « Pièces standard » montre la liste attendue des porteurs.</w:t>
      </w:r>
    </w:p>
    <w:p>
      <w:pPr>
        <w:keepNext/>
        <w:pBdr>
          <w:bottom w:val="single" w:color="1A9E9E" w:sz="6" w:space="2"/>
        </w:pBdr>
        <w:spacing w:after="100" w:before="280"/>
      </w:pPr>
      <w:r>
        <w:rPr>
          <w:rFonts w:ascii="Calibri" w:cs="Calibri" w:eastAsia="Calibri" w:hAnsi="Calibri"/>
          <w:b/>
          <w:bCs/>
          <w:color w:val="1C1E6B"/>
          <w:sz w:val="26"/>
          <w:szCs w:val="26"/>
        </w:rPr>
        <w:t xml:space="preserve">Le portail des porteurs (Cabinet &gt; Portail des porteurs)</w:t>
      </w:r>
    </w:p>
    <w:p>
      <w:pPr>
        <w:spacing w:after="100"/>
        <w:jc w:val="both"/>
      </w:pPr>
      <w:r>
        <w:rPr>
          <w:rFonts w:ascii="Calibri" w:cs="Calibri" w:eastAsia="Calibri" w:hAnsi="Calibri"/>
          <w:sz w:val="20"/>
          <w:szCs w:val="20"/>
        </w:rPr>
        <w:t xml:space="preserve">Les onglets en tête de l'écran mènent à chaque outil ; la lecture est ouverte à l'administration et à la direction, l'écriture au profil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Synthèse</w:t>
      </w:r>
      <w:r>
        <w:rPr>
          <w:rFonts w:ascii="Calibri" w:cs="Calibri" w:eastAsia="Calibri" w:hAnsi="Calibri"/>
          <w:sz w:val="20"/>
          <w:szCs w:val="20"/>
        </w:rPr>
        <w:t xml:space="preserve"> : porteurs inscrits et actifs, messages non lus ou en attente de réponse, rendez-vous demandés, comptes rendus d'actions à valider, inscriptions aux événements, satisfaction, contenus publiés et accusés de lecture en attente, puis la liste de ce qui attend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Messages</w:t>
      </w:r>
      <w:r>
        <w:rPr>
          <w:rFonts w:ascii="Calibri" w:cs="Calibri" w:eastAsia="Calibri" w:hAnsi="Calibri"/>
          <w:sz w:val="20"/>
          <w:szCs w:val="20"/>
        </w:rPr>
        <w:t xml:space="preserve"> : la messagerie de tous les dossiers ouverts au portail. Une conversation en attente de réponse est signalée. « Note interne » écrit une note réservée au cabinet, que le porteur ne voit jamais ; un fichier joint à un message public rejoint la data room du dossier et devient visible du porteur. Une demande de mise à jour de la fiche de l'entreprise, faite par le porteur depuis son profil, arrive ici : reportez-la vous-même dans la fiche du tiers après contrôle.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Communications</w:t>
      </w:r>
      <w:r>
        <w:rPr>
          <w:rFonts w:ascii="Calibri" w:cs="Calibri" w:eastAsia="Calibri" w:hAnsi="Calibri"/>
          <w:sz w:val="20"/>
          <w:szCs w:val="20"/>
        </w:rPr>
        <w:t xml:space="preserve"> : annonces, opportunités de financement, alertes. Choisissez le public (tous les porteurs, certains dossiers, les dossiers à certaines étapes, ceux de certains secteurs), une date d'expiration, l'épinglage, un bouton vers une page ou un site, et au besoin l'accusé de lecture. La publication prévient chaque porteur du public ; les statistiques disent qui a lu et qui a confirmé.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Ressources</w:t>
      </w:r>
      <w:r>
        <w:rPr>
          <w:rFonts w:ascii="Calibri" w:cs="Calibri" w:eastAsia="Calibri" w:hAnsi="Calibri"/>
          <w:sz w:val="20"/>
          <w:szCs w:val="20"/>
        </w:rPr>
        <w:t xml:space="preserve"> : le centre de conseils du portail, en rubriques. Un contenu (article, guide, fiche, question fréquente, vidéo, modèle à télécharger) peut être recommandé à certaines étapes ; il est alors proposé en priorité aux dossiers qui y sont. Mise en forme du texte : </w:t>
      </w:r>
      <w:r>
        <w:rPr>
          <w:rFonts w:ascii="Consolas" w:cs="Consolas" w:eastAsia="Consolas" w:hAnsi="Consolas"/>
          <w:color w:val="333333"/>
          <w:sz w:val="18"/>
          <w:szCs w:val="18"/>
        </w:rPr>
        <w:t xml:space="preserve"># titre</w:t>
      </w:r>
      <w:r>
        <w:rPr>
          <w:rFonts w:ascii="Calibri" w:cs="Calibri" w:eastAsia="Calibri" w:hAnsi="Calibri"/>
          <w:sz w:val="20"/>
          <w:szCs w:val="20"/>
        </w:rPr>
        <w:t xml:space="preserve">, </w:t>
      </w:r>
      <w:r>
        <w:rPr>
          <w:rFonts w:ascii="Consolas" w:cs="Consolas" w:eastAsia="Consolas" w:hAnsi="Consolas"/>
          <w:color w:val="333333"/>
          <w:sz w:val="18"/>
          <w:szCs w:val="18"/>
        </w:rPr>
        <w:t xml:space="preserve">**gras**</w:t>
      </w:r>
      <w:r>
        <w:rPr>
          <w:rFonts w:ascii="Calibri" w:cs="Calibri" w:eastAsia="Calibri" w:hAnsi="Calibri"/>
          <w:sz w:val="20"/>
          <w:szCs w:val="20"/>
        </w:rPr>
        <w:t xml:space="preserve">, </w:t>
      </w:r>
      <w:r>
        <w:rPr>
          <w:rFonts w:ascii="Consolas" w:cs="Consolas" w:eastAsia="Consolas" w:hAnsi="Consolas"/>
          <w:color w:val="333333"/>
          <w:sz w:val="18"/>
          <w:szCs w:val="18"/>
        </w:rPr>
        <w:t xml:space="preserve">*italique*</w:t>
      </w:r>
      <w:r>
        <w:rPr>
          <w:rFonts w:ascii="Calibri" w:cs="Calibri" w:eastAsia="Calibri" w:hAnsi="Calibri"/>
          <w:sz w:val="20"/>
          <w:szCs w:val="20"/>
        </w:rPr>
        <w:t xml:space="preserve">, </w:t>
      </w:r>
      <w:r>
        <w:rPr>
          <w:rFonts w:ascii="Consolas" w:cs="Consolas" w:eastAsia="Consolas" w:hAnsi="Consolas"/>
          <w:color w:val="333333"/>
          <w:sz w:val="18"/>
          <w:szCs w:val="18"/>
        </w:rPr>
        <w:t xml:space="preserve">- liste</w:t>
      </w:r>
      <w:r>
        <w:rPr>
          <w:rFonts w:ascii="Calibri" w:cs="Calibri" w:eastAsia="Calibri" w:hAnsi="Calibri"/>
          <w:sz w:val="20"/>
          <w:szCs w:val="20"/>
        </w:rPr>
        <w:t xml:space="preserve">, </w:t>
      </w:r>
      <w:r>
        <w:rPr>
          <w:rFonts w:ascii="Consolas" w:cs="Consolas" w:eastAsia="Consolas" w:hAnsi="Consolas"/>
          <w:color w:val="333333"/>
          <w:sz w:val="18"/>
          <w:szCs w:val="18"/>
        </w:rPr>
        <w:t xml:space="preserve">&gt; encadré</w:t>
      </w:r>
      <w:r>
        <w:rPr>
          <w:rFonts w:ascii="Calibri" w:cs="Calibri" w:eastAsia="Calibri" w:hAnsi="Calibri"/>
          <w:sz w:val="20"/>
          <w:szCs w:val="20"/>
        </w:rPr>
        <w:t xml:space="preserve">, </w:t>
      </w:r>
      <w:r>
        <w:rPr>
          <w:rFonts w:ascii="Consolas" w:cs="Consolas" w:eastAsia="Consolas" w:hAnsi="Consolas"/>
          <w:color w:val="333333"/>
          <w:sz w:val="18"/>
          <w:szCs w:val="18"/>
        </w:rPr>
        <w:t xml:space="preserve">lien</w:t>
      </w:r>
      <w:r>
        <w:rPr>
          <w:rFonts w:ascii="Calibri" w:cs="Calibri" w:eastAsia="Calibri" w:hAnsi="Calibri"/>
          <w:sz w:val="20"/>
          <w:szCs w:val="20"/>
        </w:rPr>
        <w:t xml:space="preserve">, avec aperçu en direct. Les contenus proposés à l'installation sont des brouillons : relisez-les, complétez-les, publiez.</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Événements</w:t>
      </w:r>
      <w:r>
        <w:rPr>
          <w:rFonts w:ascii="Calibri" w:cs="Calibri" w:eastAsia="Calibri" w:hAnsi="Calibri"/>
          <w:sz w:val="20"/>
          <w:szCs w:val="20"/>
        </w:rPr>
        <w:t xml:space="preserve"> : ateliers, formations, webinaires, permanences, rencontres avec des financeurs. Nombre de places (liste d'attente au-delà), clôture des inscriptions, lien de connexion réservé aux inscrits. La liste des inscrits s'exporte en CSV et se pointe (présent, absent) ; annuler un événement prévient les inscrits.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Rendez-vous</w:t>
      </w:r>
      <w:r>
        <w:rPr>
          <w:rFonts w:ascii="Calibri" w:cs="Calibri" w:eastAsia="Calibri" w:hAnsi="Calibri"/>
          <w:sz w:val="20"/>
          <w:szCs w:val="20"/>
        </w:rPr>
        <w:t xml:space="preserve"> : les demandes des porteurs (jusqu'à trois créneaux proposés). Confirmez un créneau ou une autre date, avec le lieu ou le lien de visioconférence et un message ; ou déclinez. Après le rendez-vous, « Marquer tenu » partage le compte rendu avec le porteur. « Planifier un rendez-vous » fixe directement une date.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Porteurs et avis</w:t>
      </w:r>
      <w:r>
        <w:rPr>
          <w:rFonts w:ascii="Calibri" w:cs="Calibri" w:eastAsia="Calibri" w:hAnsi="Calibri"/>
          <w:sz w:val="20"/>
          <w:szCs w:val="20"/>
        </w:rPr>
        <w:t xml:space="preserve"> : les comptes du portail, leur dernière connexion et leur dernier message ; les avis des porteurs (note sur 5, recommandation sur 10 et indice de recommandation, commentaires).</w:t>
      </w:r>
    </w:p>
    <w:p>
      <w:pPr>
        <w:spacing w:after="100"/>
        <w:jc w:val="both"/>
      </w:pPr>
      <w:r>
        <w:rPr>
          <w:rFonts w:ascii="Calibri" w:cs="Calibri" w:eastAsia="Calibri" w:hAnsi="Calibri"/>
          <w:sz w:val="20"/>
          <w:szCs w:val="20"/>
        </w:rPr>
        <w:t xml:space="preserve">Le porteur reçoit une notification dans le portail pour chaque message du cabinet, pièce validée ou à reprendre, nouvelle action, étape franchie, décision de comité, piste de financement, rendez-vous et publication ; les consultants sont prévenus des messages, dépôts, comptes rendus et demandes de rendez-vous de leurs dossiers. Les courriels de notification viendront avec le serveur d'envoi.</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cabinet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cabinet : AxisPro Suite</dc:title>
  <dc:creator>E-VOLUTION XP</dc:creator>
  <cp:lastModifiedBy>Un-named</cp:lastModifiedBy>
  <cp:revision>1</cp:revision>
  <dcterms:created xsi:type="dcterms:W3CDTF">2026-10-26T15:45:44.837Z</dcterms:created>
  <dcterms:modified xsi:type="dcterms:W3CDTF">2026-10-26T15:45:44.837Z</dcterms:modified>
</cp:coreProperties>
</file>

<file path=docProps/custom.xml><?xml version="1.0" encoding="utf-8"?>
<Properties xmlns="http://schemas.openxmlformats.org/officeDocument/2006/custom-properties" xmlns:vt="http://schemas.openxmlformats.org/officeDocument/2006/docPropsVTypes"/>
</file>