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les litres de carburant et les frais (carburant, péages, frais du chauffeur, entretien, pneumatiques, autres taxes payées hors barème). Le tarif vient du tarif du client sur la route, à défaut du tarif de la route ; le kilométrage, de l'aller-retour de la route. La plateforme en déduit le chiffre d'affaires, les taxes spécifiques du barème, le manquant (toléré ou hors tolérance)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 l'application NIMOVA · Transport</w:t>
      </w:r>
    </w:p>
    <w:p>
      <w:pPr>
        <w:spacing w:after="100"/>
        <w:jc w:val="both"/>
      </w:pPr>
      <w:r>
        <w:rPr>
          <w:rFonts w:ascii="Calibri" w:cs="Calibri" w:eastAsia="Calibri" w:hAnsi="Calibri"/>
          <w:sz w:val="20"/>
          <w:szCs w:val="20"/>
        </w:rPr>
        <w:t xml:space="preserve">Transport est une application à part entière, comme Finance et AxisPro Suite : elle s'ouvre depuis l'accueil NIMOVA (rayon Transport) ou par l'adresse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avec les mêmes identifiants. Ses menus : Exploitation (tableau de bord, rotations, manquants), Gestion (rentabilité, propriétaires et répartition, taxes spécifiques), Référentiels (flotte et chauffeurs, routes et tarifs, paramètres).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volume livré du mois au compteur, état de la flotte, chiffre d'affaires, marge, à facturer, saisies à valider, contrôles de la flotte et des rotations, rotations à traiter.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(capacité, année, mise en service, propriété et charges mensuelles, tenues par la finance), chauffeurs (avec leur fiche tiers), routes (aller, aller-retour, durée, forfaits de référence : carburant, prime de route, péages, autres frais), prix du carburant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 ; un volume chargé au-delà de la capacité de la citerne est refusé, corriger le volume ou la capacité). Le formulaire affiche le montant, le coût standard de la route et la marge estimée avant l'enregistrement ; la liste montre la marge estimée tant qu'aucun frais n'est saisi.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 suivie des taxes refacturées et de la déduction du manquant hors tolérance selon les conditions du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 : km, coûts au km, consommation, coûts déclarés face aux coûts comptabilisés, charges de structure, résultat 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Manquants : par chauffeur, ensemble, client ou route ; liste des rotations hors tolérance.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Contrôles de la flotte (tableau de bord et Rentabilité) : ensemble sans immobilisation, chauffeur habituel de plusieurs ensembles, aller-retour incohérent, route sans distance, carburant de référence incohérent avec les autres routes.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Propriétaires et répartition (direction et finance) : relevés mensuels des ensembles gérés pour des propriétaires, commissions, pièces ; voir le guide de la finance.</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litres de carburant, frais éventuels, puis « Enregistrer la rotation ». Si la finance calcule les manquants à 15 °C, relever aussi les températures et la masse volumique du bon de chargement. Un volume supérieur à la capacité du camion est signalé avant l'envoi.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2026-10-22T12:25:06.541Z</dcterms:created>
  <dcterms:modified xsi:type="dcterms:W3CDTF">2026-10-22T12:25:06.541Z</dcterms:modified>
</cp:coreProperties>
</file>

<file path=docProps/custom.xml><?xml version="1.0" encoding="utf-8"?>
<Properties xmlns="http://schemas.openxmlformats.org/officeDocument/2006/custom-properties" xmlns:vt="http://schemas.openxmlformats.org/officeDocument/2006/docPropsVTypes"/>
</file>