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1428750" cy="4762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76250"/>
                    </a:xfrm>
                    <a:prstGeom prst="rect">
                      <a:avLst/>
                    </a:prstGeom>
                  </pic:spPr>
                </pic:pic>
              </a:graphicData>
            </a:graphic>
          </wp:inline>
        </w:drawing>
      </w:r>
    </w:p>
    <w:p>
      <w:pPr>
        <w:spacing w:after="160"/>
      </w:pPr>
      <w:r>
        <w:rPr>
          <w:rFonts w:ascii="Calibri" w:cs="Calibri" w:eastAsia="Calibri" w:hAnsi="Calibri"/>
          <w:b/>
          <w:bCs/>
          <w:color w:val="1C1E6B"/>
          <w:sz w:val="36"/>
          <w:szCs w:val="36"/>
        </w:rPr>
        <w:t xml:space="preserve">Guide de la gestion immobilière</w:t>
      </w:r>
    </w:p>
    <w:p>
      <w:pPr>
        <w:keepNext/>
        <w:pBdr>
          <w:bottom w:val="single" w:color="1A9E9E" w:sz="6" w:space="2"/>
        </w:pBdr>
        <w:spacing w:after="100" w:before="280"/>
      </w:pPr>
      <w:r>
        <w:rPr>
          <w:rFonts w:ascii="Calibri" w:cs="Calibri" w:eastAsia="Calibri" w:hAnsi="Calibri"/>
          <w:b/>
          <w:bCs/>
          <w:color w:val="1C1E6B"/>
          <w:sz w:val="26"/>
          <w:szCs w:val="26"/>
        </w:rPr>
        <w:t xml:space="preserve">Pour tous : se connecter</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Ouvrir l'adresse de l'application (EGUITRA Finance, AxisPro Suite ou le portail) dans un navigateur récent.</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Saisir l'identifiant et le mot de passe remis par l'administrateur.</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Première connexion : activer la double authentification (installer une application d'authentification sur le téléphone, Google Authenticator, Microsoft Authenticator ou FreeOTP, scanner le code affiché et saisir le code à 6 chiffres), puis remplacer le mot de passe provisoire par un mot de passe personnel d'au moins 10 caractères.</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Connexions suivantes : identifiant, mot de passe, puis le code à 6 chiffres du téléphone.</w:t>
      </w:r>
    </w:p>
    <w:p>
      <w:pPr>
        <w:spacing w:after="100"/>
        <w:jc w:val="both"/>
      </w:pPr>
      <w:r>
        <w:rPr>
          <w:rFonts w:ascii="Calibri" w:cs="Calibri" w:eastAsia="Calibri" w:hAnsi="Calibri"/>
          <w:sz w:val="20"/>
          <w:szCs w:val="20"/>
        </w:rPr>
        <w:t xml:space="preserve">Deux sociétés, un seul compte : si votre compte est ouvert à EGUITRA GROUP SARLU et à MB AxisPro Consulting, choisissez la société de travail avec le sélecteur en haut de l'écran ; l'écran se recharge sur les données de cette société. Les comptabilités restent séparées. La direction et la finance disposent aussi de la vue « Groupe consolidé » qui réunit les deux.</w:t>
      </w:r>
    </w:p>
    <w:p>
      <w:pPr>
        <w:spacing w:after="100"/>
        <w:jc w:val="both"/>
      </w:pPr>
      <w:r>
        <w:rPr>
          <w:rFonts w:ascii="Calibri" w:cs="Calibri" w:eastAsia="Calibri" w:hAnsi="Calibri"/>
          <w:sz w:val="20"/>
          <w:szCs w:val="20"/>
        </w:rPr>
        <w:t xml:space="preserve">Téléphone perdu ou changé : demander à l'administrateur de réinitialiser la double authentification. Mot de passe oublié : l'administrateur en remet un nouveau, provisoire. Les sessions expirent d'elles-mêmes au bout de quelques heures ; toutes les connexions sont journalisées.</w:t>
      </w:r>
    </w:p>
    <w:p>
      <w:pPr>
        <w:keepNext/>
        <w:pBdr>
          <w:bottom w:val="single" w:color="1A9E9E" w:sz="6" w:space="2"/>
        </w:pBdr>
        <w:spacing w:after="100" w:before="280"/>
      </w:pPr>
      <w:r>
        <w:rPr>
          <w:rFonts w:ascii="Calibri" w:cs="Calibri" w:eastAsia="Calibri" w:hAnsi="Calibri"/>
          <w:b/>
          <w:bCs/>
          <w:color w:val="1C1E6B"/>
          <w:sz w:val="26"/>
          <w:szCs w:val="26"/>
        </w:rPr>
        <w:t xml:space="preserve">Ce que fait la plateforme</w:t>
      </w:r>
    </w:p>
    <w:p>
      <w:pPr>
        <w:spacing w:after="100"/>
        <w:jc w:val="both"/>
      </w:pPr>
      <w:r>
        <w:rPr>
          <w:rFonts w:ascii="Calibri" w:cs="Calibri" w:eastAsia="Calibri" w:hAnsi="Calibri"/>
          <w:sz w:val="20"/>
          <w:szCs w:val="20"/>
        </w:rPr>
        <w:t xml:space="preserve">Chaque bien a sa fiche (nature, surface, adresse, valeur d'acquisition et valeur actuelle) et son axe analytique. Un bail en cours porte le locataire, le loyer et les charges par période, la périodicité (mensuelle, trimestrielle ou annuelle), la prise d'effet, l'échéance et le dépôt de garantie. Chaque nuit, la plateforme émet et valide les loyers échus, rattrapage compris : une facture par échéance, datée de l'échéance, imputée au bien et à l'activité immobilière (compte 7073). Les loyers impayés entrent dans les relances des clients.</w:t>
      </w:r>
    </w:p>
    <w:p>
      <w:pPr>
        <w:keepNext/>
        <w:pBdr>
          <w:bottom w:val="single" w:color="1A9E9E" w:sz="6" w:space="2"/>
        </w:pBdr>
        <w:spacing w:after="100" w:before="280"/>
      </w:pPr>
      <w:r>
        <w:rPr>
          <w:rFonts w:ascii="Calibri" w:cs="Calibri" w:eastAsia="Calibri" w:hAnsi="Calibri"/>
          <w:b/>
          <w:bCs/>
          <w:color w:val="1C1E6B"/>
          <w:sz w:val="26"/>
          <w:szCs w:val="26"/>
        </w:rPr>
        <w:t xml:space="preserve">L'écran (EGUITRA Finance &gt; Métiers &gt; Immobilier)</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En tête : nombre de biens et taux d'occupation, loyers annuels, valeur du patrimoine, rendement brut, loyers impayés et baux arrivant à échéance sous trois mois.</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Trois onglets : « Biens et baux », « Loyers émis », « Impayés et relances ».</w:t>
      </w:r>
    </w:p>
    <w:p>
      <w:pPr>
        <w:keepNext/>
        <w:pBdr>
          <w:bottom w:val="single" w:color="1A9E9E" w:sz="6" w:space="2"/>
        </w:pBdr>
        <w:spacing w:after="100" w:before="280"/>
      </w:pPr>
      <w:r>
        <w:rPr>
          <w:rFonts w:ascii="Calibri" w:cs="Calibri" w:eastAsia="Calibri" w:hAnsi="Calibri"/>
          <w:b/>
          <w:bCs/>
          <w:color w:val="1C1E6B"/>
          <w:sz w:val="26"/>
          <w:szCs w:val="26"/>
        </w:rPr>
        <w:t xml:space="preserve">Biens et baux</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 Nouveau bien » : désignation, nature, surface, adresse, valeur d'acquisition, valeur actuelle.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 Louer » en face d'un bien libre : référence du bail, périodicité, locataire (choisi dans la liste des tiers, ou créé depuis le même champ), prise d'effet, échéance éventuelle, loyer HT et charges par période, dépôt de garantie, case « Bail soumis à la TVA » pour un bail commercial. « Signer et activer le bail » : les loyers échus depuis la prise d'effet sont émis la nuit suivante.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 Fin de bail » en face d'un bien loué : indiquer la date de fin. Les loyers dus jusqu'à cette date sont émis, puis le bien redevient libre et n'est plus facturé. Un loyer déjà émis pour une période postérieure s'annule par un avoir, demandé à la finance.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Un bien n'a qu'un bail en cours à la fois.</w:t>
      </w:r>
    </w:p>
    <w:p>
      <w:pPr>
        <w:keepNext/>
        <w:pBdr>
          <w:bottom w:val="single" w:color="1A9E9E" w:sz="6" w:space="2"/>
        </w:pBdr>
        <w:spacing w:after="100" w:before="280"/>
      </w:pPr>
      <w:r>
        <w:rPr>
          <w:rFonts w:ascii="Calibri" w:cs="Calibri" w:eastAsia="Calibri" w:hAnsi="Calibri"/>
          <w:b/>
          <w:bCs/>
          <w:color w:val="1C1E6B"/>
          <w:sz w:val="26"/>
          <w:szCs w:val="26"/>
        </w:rPr>
        <w:t xml:space="preserve">Loyers émis et quittances</w:t>
      </w:r>
    </w:p>
    <w:p>
      <w:pPr>
        <w:spacing w:after="100"/>
        <w:jc w:val="both"/>
      </w:pPr>
      <w:r>
        <w:rPr>
          <w:rFonts w:ascii="Calibri" w:cs="Calibri" w:eastAsia="Calibri" w:hAnsi="Calibri"/>
          <w:sz w:val="20"/>
          <w:szCs w:val="20"/>
        </w:rPr>
        <w:t xml:space="preserve">L'onglet « Loyers émis » liste les loyers avec leur règlement. Pour un loyer entièrement réglé, le bouton « Quittance » ouvre la quittance de loyer, à imprimer et remettre au locataire. Aucune quittance n'est délivrée pour un loyer non réglé ou réglé en partie.</w:t>
      </w:r>
    </w:p>
    <w:p>
      <w:pPr>
        <w:spacing w:after="100"/>
        <w:jc w:val="both"/>
      </w:pPr>
      <w:r>
        <w:rPr>
          <w:rFonts w:ascii="Calibri" w:cs="Calibri" w:eastAsia="Calibri" w:hAnsi="Calibri"/>
          <w:sz w:val="20"/>
          <w:szCs w:val="20"/>
        </w:rPr>
        <w:t xml:space="preserve">« Émettre les loyers échus » (en haut de l'écran) lance tout de suite ce que la tâche de la nuit ferait : utile après la saisie d'un bail avec une prise d'effet passée.</w:t>
      </w:r>
    </w:p>
    <w:p>
      <w:pPr>
        <w:keepNext/>
        <w:pBdr>
          <w:bottom w:val="single" w:color="1A9E9E" w:sz="6" w:space="2"/>
        </w:pBdr>
        <w:spacing w:after="100" w:before="280"/>
      </w:pPr>
      <w:r>
        <w:rPr>
          <w:rFonts w:ascii="Calibri" w:cs="Calibri" w:eastAsia="Calibri" w:hAnsi="Calibri"/>
          <w:b/>
          <w:bCs/>
          <w:color w:val="1C1E6B"/>
          <w:sz w:val="26"/>
          <w:szCs w:val="26"/>
        </w:rPr>
        <w:t xml:space="preserve">Impayés et relances</w:t>
      </w:r>
    </w:p>
    <w:p>
      <w:pPr>
        <w:spacing w:after="100"/>
        <w:jc w:val="both"/>
      </w:pPr>
      <w:r>
        <w:rPr>
          <w:rFonts w:ascii="Calibri" w:cs="Calibri" w:eastAsia="Calibri" w:hAnsi="Calibri"/>
          <w:sz w:val="20"/>
          <w:szCs w:val="20"/>
        </w:rPr>
        <w:t xml:space="preserve">L'onglet « Impayés et relances » liste les loyers échus non réglés : locataire, échéance, date d'exigibilité, retard en jours, reste dû. Les relances (rappel, relance ferme, mise en demeure) sont préparées par la finance dans « Relances clients ».</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E-VOLUTION XP · Guide de la gestion immobilière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fbf04faf1ccdbaf9a1c8d13a881427d25b067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la gestion immobilière</dc:title>
  <dc:creator>E-VOLUTION XP</dc:creator>
  <cp:lastModifiedBy>Un-named</cp:lastModifiedBy>
  <cp:revision>1</cp:revision>
  <dcterms:created xsi:type="dcterms:W3CDTF">2026-10-22T12:25:06.645Z</dcterms:created>
  <dcterms:modified xsi:type="dcterms:W3CDTF">2026-10-22T12:25:06.645Z</dcterms:modified>
</cp:coreProperties>
</file>

<file path=docProps/custom.xml><?xml version="1.0" encoding="utf-8"?>
<Properties xmlns="http://schemas.openxmlformats.org/officeDocument/2006/custom-properties" xmlns:vt="http://schemas.openxmlformats.org/officeDocument/2006/docPropsVTypes"/>
</file>