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de document, version de travail du 17 octobre 2026, à relire par le gérant avant envoi au client. Il intègre les prototypes de la direction (M. Diallo, DGA), adoptés comme cahier des charges (offre, § 2.3), et le courrier du responsable financier (M. Kalissa) énumérant les vingt attentes.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transport,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selon la méthode MB AxisPro (stage gates, scoring Readiness et Bankability, knock-outs, écarts prioritaires), data room, comités et décisions scellées, rapports, modèle financier, risques et plan d'actions,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jc w:val="both"/>
      </w:pPr>
      <w:r>
        <w:rPr>
          <w:rFonts w:ascii="Calibri" w:cs="Calibri" w:eastAsia="Calibri" w:hAnsi="Calibri"/>
          <w:sz w:val="20"/>
          <w:szCs w:val="20"/>
        </w:rPr>
        <w:t xml:space="preserve">Les utilisateurs ne voient que ces quatre applications.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(quatre espaces : finance, axispro,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4"/>
        <w:gridCol w:w="6514"/>
      </w:tblGrid>
      <w:tr>
        <w:trPr>
          <w:tblHeader/>
        </w:trPr>
        <w:tc>
          <w:tcPr>
            <w:tcW w:type="dxa" w:w="31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651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approuvés avant la commande, devis joint : contrôle de la finance ; au-delà de 50 M GNF : accord de la direction ; les factures du fournisseur consomment l'engagement sans refaire le circuit, dans la limite du reste à engager (tolérance 5 %)</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 et décaissements</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règlements, sorties de caisse et de banque, échéances d'emprunt, virements internes : au-delà de 100 M GNF, accord de la direction ; l'opération reste en brouillon jusqu'à la dernière approbation</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de gestion (gravités bloquante, critique, élevée, moyenne, avec l'action recommandée)</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passage 585 non soldé (bloquant) ; trésorerie sous le minimum (à fixer par société) et compte de banque ou de caisse négatif ; DSCR &lt; 1,20 ; créances échues depuis plus de 90 jours, part échue &gt; 20 %, délai de recouvrement &gt; 60 jours, concentration sur un client &gt; 40 % ; dettes fournisseurs échues ; résultat net cumulé négatif ; marge transport &lt; 30 %, rotations non facturées, ensembles routiers déficitaires après charges de structure ; dépassement budgétaire &gt; 10 % ; clôture en retard de plus de 10 jours ; validation en attente depuis plus de 3 jours</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Pertes attendues (IFRS 9, retraitement hors livres SYSCOHADA)</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non échu 1 %, 1 à 30 jours 3 %, 31 à 60 jours 10 %, 61 à 90 jours 25 %, au-delà 50 %</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(rattrapage compris) ; impayés relancés comme les autres créances</w:t>
            </w:r>
          </w:p>
        </w:tc>
      </w:tr>
      <w:tr>
        <w:tc>
          <w:tcPr>
            <w:tcW w:type="dxa" w:w="31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65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31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(méthode MB AxisPro, réf. SC-01)</w:t>
            </w:r>
          </w:p>
        </w:tc>
        <w:tc>
          <w:tcPr>
            <w:tcW w:type="dxa" w:w="65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grille officielle de 111 critères, 15 domaines, 8 gates ; atteint 1, partiel 0,5, non disponible 0, non évalué compté non disponible ; preuve exigée ou périmée : critère ramené à partiel ; scores Project Readiness, APD Readiness et Bankability ; knock-out non atteint (ou incomplet) : NO-GO ; BANKABLE à partir de 80/100, APD READY à partir de 65, CONDITIONAL GO à partir de 50, HOLD à partir de 30 ; décision du comité scellée, dossier figé jusqu'à une nouvelle révision</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(accès 15 minutes, session de 7 jours au plus, 90 jours pour les agents du parc dans Rotations), déconnexion qui ferme toute la session,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spacing w:after="100"/>
        <w:jc w:val="both"/>
      </w:pPr>
      <w:r>
        <w:rPr>
          <w:rFonts w:ascii="Calibri" w:cs="Calibri" w:eastAsia="Calibri" w:hAnsi="Calibri"/>
          <w:sz w:val="20"/>
          <w:szCs w:val="20"/>
        </w:rPr>
        <w:t xml:space="preserve">Chaque société ne voit que ses propres données, jusque dans les pièces de la data room, les revues de comité et les grilles du cabinet. Une pièce approuvée puis modifiée doit être approuvée à nouveau. Les fichiers déposés sont contrôlés d'après leur contenu (les documents à macros sont refusés) et toujours servis en téléchargement ; les exports pour tableur ne contiennent jamais de formule. Le téléphone d'un agent du parc ne garde ni tarifs ni marges, et s'efface à la déconnexion. Les applications appliquent une politique de sécurité du contenu (aucun script ni appel vers un site tiers).</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 : les 26 valeurs de référence du classeur (équilibre, résultat, trésorerie, créances, dettes, transport, bilan) sont recalculées par la plateforme et leur conformité (« n/26 ») est annexée au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
        <w:gridCol w:w="2216"/>
        <w:gridCol w:w="1899"/>
        <w:gridCol w:w="4873"/>
      </w:tblGrid>
      <w:tr>
        <w:trPr>
          <w:tblHeader/>
        </w:trPr>
        <w:tc>
          <w:tcPr>
            <w:tcW w:type="dxa" w:w="65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21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8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87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Rapport mensuel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 ; onze questions du dirigeant avec leur verdict ; « ce qui demande une décision » ; arrêté à une date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États &gt; Consolidé du groupe ; Activités et budget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compte de résultat et bilan par société, éliminations intra-groupe, groupe ; marge par activité, centre de coût, chantier, ensemble, route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Clôtures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 ; clôture mensuelle complète (dotations, liquidation de la TVA, factures à établir, sceau et procès-verbal) ; exports XLSX et CSV des états ; SAF-T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saisie des pièces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 catégories de dépense ; saisie sur plusieurs axes par ligne ; imputation obligatoire contrôlée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(CSV, XLSX ou camt.053), soldes du relevé contrôlés, rapprochement des lignes, état de rapprochement ; flux mensuels et prévision à trois mois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ventilées par activité, sortie d'actif (cession), registre exporté</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par ligne budgétaire, réalisé, engagé, disponible, écarts, alerte de dépassement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 ; litige qui suspend les relances ; balance âgée clients et fournisseurs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et liquidée à la clôture, retenues à la source, déclarations et historique, modèle validé par l'expert-comptable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À valider</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approuvé avant la commande ; pièce, règlement ou décaissement au-delà du seuil bloqué jusqu'à approbation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 coût au km, charges de structure ; volumes, manquants et taxes spécifiques au barème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6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21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8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87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6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21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8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87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58"/>
        <w:gridCol w:w="3780"/>
      </w:tblGrid>
      <w:tr>
        <w:trPr>
          <w:tblHeader/>
        </w:trPr>
        <w:tc>
          <w:tcPr>
            <w:tcW w:type="dxa" w:w="585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w:t>
            </w:r>
          </w:p>
        </w:tc>
        <w:tc>
          <w:tcPr>
            <w:tcW w:type="dxa" w:w="378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58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78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58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78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2026-10-21T13:48:28.705Z</dcterms:created>
  <dcterms:modified xsi:type="dcterms:W3CDTF">2026-10-21T13:48:28.707Z</dcterms:modified>
</cp:coreProperties>
</file>

<file path=docProps/custom.xml><?xml version="1.0" encoding="utf-8"?>
<Properties xmlns="http://schemas.openxmlformats.org/officeDocument/2006/custom-properties" xmlns:vt="http://schemas.openxmlformats.org/officeDocument/2006/docPropsVTypes"/>
</file>