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Cahier de test : Analyse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NIMOVA · Analyse, pour EGUITRA GROUP SARLU et MB AxisPro Consulting.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Cockpit, sections d'analyse de chaque société, période et date d'arrêté, constats et leurs liens « Voir », simulateur, export Excel et impression.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7"/>
        <w:gridCol w:w="6571"/>
      </w:tblGrid>
      <w:tr>
        <w:trPr>
          <w:tblHeader/>
        </w:trP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Rubrique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À remplir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Module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Analyse (NIMOVA · Analyse)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Version de la plateforme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______ (communiquée par E-VOLUTION XP)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Date du test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______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Nom du testeur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______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Fonction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______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Profil utilisé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______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Compte de test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______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Société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EGUITRA GROUP SARLU    ☐ MB AxisPro Consulting</w:t>
            </w:r>
          </w:p>
        </w:tc>
      </w:tr>
    </w:tbl>
    <w:p>
      <w:pPr>
        <w:spacing w:after="80"/>
      </w:pP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Document préparé par E-VOLUTION XP le 26 octobre 2026, d'après les écrans de la plateforme à cette date.</w:t>
      </w:r>
    </w:p>
    <w:p>
      <w:r>
        <w:br w:type="page"/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Mode d'emploi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Ce cahier se joue sur la recette : une copie complète de NIMOVA, avec des données fictives repérées « Démo ». L'Analyse lit les données sans jamais les modifier : vous pouvez tout essayer.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Se connecter. Ouvrez l'adresse de la recette communiquée par E-VOLUTION XP, dans Chrome ou Edge, puis la tuile Analyse de l'accueil. Identifiant : le compte de test indiqué dans le scénario. Mot de passe : le mot de passe commun de la recette, communiqué par E-VOLUTION XP.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Société. Le contenu de l'Analyse dépend de la société de travail, choisie en haut à droite : vérifiez-la avant chaque scénario.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Jouer un scénario. Suivez les étapes dans l'ordre. Les chiffres fictifs de la recette sont peu nombreux : jugez la cohérence et la clarté plus que les montants.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Noter le résultat. Cochez « Réussi » si l'écran correspond au résultat attendu, sinon « Échoué ». Dans « Remarques », notez ce qui diffère : l'écran, le message affiché, l'heure.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Signaler une anomalie. Menu du compte (rond à vos initiales, en haut à droite) &gt; « Mes demandes » &gt; « Nouvelle demande », type « Remarque de recette », application NIMOVA · Analyse, la gravité ; titre commençant par le numéro du scénario (par exemple « ANA-04 : lien Voir sans effet ») ; description ; « Déposer la demande ». Reportez le numéro reçu (DEM-…) dans les remarques.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Comptes de test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1735"/>
        <w:gridCol w:w="2506"/>
        <w:gridCol w:w="3662"/>
      </w:tblGrid>
      <w:tr>
        <w:trPr>
          <w:tblHeader/>
        </w:trP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Compte</w:t>
            </w:r>
          </w:p>
        </w:tc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Profil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Sociétés</w:t>
            </w:r>
          </w:p>
        </w:tc>
        <w:tc>
          <w:tcPr>
            <w:tcW w:type="dxa" w:w="366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Rôle dans ce cahier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test.dg</w:t>
            </w:r>
          </w:p>
        </w:tc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Direction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les deux</w:t>
            </w:r>
          </w:p>
        </w:tc>
        <w:tc>
          <w:tcPr>
            <w:tcW w:type="dxa" w:w="366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toutes les sections des deux sociétés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test.daf</w:t>
            </w:r>
          </w:p>
        </w:tc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Finance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les deux</w:t>
            </w:r>
          </w:p>
        </w:tc>
        <w:tc>
          <w:tcPr>
            <w:tcW w:type="dxa" w:w="366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sections du groupe, honoraires du cabinet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test.consultant</w:t>
            </w:r>
          </w:p>
        </w:tc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Cabinet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MB AxisPro Consulting</w:t>
            </w:r>
          </w:p>
        </w:tc>
        <w:tc>
          <w:tcPr>
            <w:tcW w:type="dxa" w:w="366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sections du cabinet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test.exploitation</w:t>
            </w:r>
          </w:p>
        </w:tc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Exploitation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EGUITRA GROUP SARLU</w:t>
            </w:r>
          </w:p>
        </w:tc>
        <w:tc>
          <w:tcPr>
            <w:tcW w:type="dxa" w:w="366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refus</w:t>
            </w: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A. Direction générale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ANA-01. Lire le cockpit du groupe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le cockpit répond en une phrase et montre la santé du groupe.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test.dg, société EGUITRA GROUP SARLU.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période « Exercice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NIMOVA · Analyse &gt; Synthèse &gt; Cockpit.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Lisez la question « Où en est EGUITRA GROUP aujourd'hui ? » et la phrase de réponse.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Lisez « Score de santé », « Du chiffre d'affaires au résultat net », « Les métiers » et « Les constats qui comptent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la réponse est calculée sur la période. Le score de santé porte sur cinq axes ; la cascade va du chiffre d'affaires au résultat net. Sans écritures, l'écran le dit (« Aucune écriture validée sur la période ») au lieu d'afficher des zéros.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ANA-02. Changer la période et la date d'arrêté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tous les chiffres suivent la période choisie.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périodes « Exercice », « 12 mois », « Trimestre », « Mois » ; date d'arrêté au dernier jour du mois précédent.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Dans « Période », passez d'« Exercice » à « 12 mois », « Trimestre », puis « Mois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Dans « Arrêté au », choisissez le dernier jour du mois précédent.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Ouvrez une autre section, puis revenez au cockpit.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la réponse, les graphiques et les constats se recalculent à chaque choix ; les comparaisons portent sur la même période un an plus tôt. La période choisie est gardée d'un écran à l'autre.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ANA-03. Comprendre un constat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 constat dit sa gravité, son impact, sa confiance, l'action à mener et sa méthode.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un constat du cockpit.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Dans « Les constats qui comptent », lisez la gravité (« Critique », « Élevée », « Moyenne », « À noter » ou « Point fort »), l'impact en GNF et la confiance.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Lisez la ligne « Action :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Cliquez sur « Pourquoi ce constat ?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la méthode s'affiche (« Méthode : … ») ; aucune analyse n'est une boîte noire. Un constat positif figure parmi les constats du cockpit.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ANA-04. Suivre le lien « Voir » d'un constat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le lien d'un constat ouvre l'écran de gestion où agir, dans la même société.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un constat avec un lien « Voir » (par exemple sur les créances ou le transport).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Sur le constat, cliquez sur « Voir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Regardez l'écran ouvert et la société affichée en haut à droite.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Revenez à l'Analyse, passez à MB AxisPro Consulting, et suivez le « Voir » d'un constat du cabinet.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chaque lien ouvre l'écran concerné (par exemple Relances clients, Rentabilité du transport, un dossier AxisPro), dans les livres de la société analysée.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ANA-05. Parcourir les sections du groupe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chaque section pose sa question et y répond.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test.dg, société EGUITRA GROUP SARLU.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tour à tour, sous « EGUITRA GROUP » : « Rentabilité », « Trésorerie et prévision », « Portefeuille clients », « Flotte et routes », « Dépenses et contrôles », « Atterrissage et simulateur », « Fiabilité des données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Pour chacune, lisez la question, la réponse, le graphique et les constats.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chaque section s'ouvre sans erreur avec sa question (par exemple « Où va la trésorerie dans les 13 prochaines semaines ? », « Quelles routes et quels camions gagnent de l'argent ? »). Les survols des graphiques donnent la valeur exacte.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ANA-06. Essayer le simulateur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le simulateur recalcule l'EBE selon les hypothèses, sans rien enregistrer.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tarif +5 %, carburant +10 %, masse salariale −4 %.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« Atterrissage et simulateur », bloc « Simulateur : et si…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Déplacez les curseurs du tarif, du volume transporté, du carburant et de la masse salariale.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Essayez un scénario proposé (par exemple « Masse salariale −4 % »).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l'EBE recalculé suit chaque curseur. Sans douze mois de données, le bloc indique « Simulateur indisponible » et l'explique. Rien n'est enregistré.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ANA-07. Exporter un écran dans Excel et l'imprimer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l'export de toutes les données d'un écran et son impression.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la section « Portefeuille clients », période « Exercice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Cliquez sur « Excel ». Ouvrez le classeur.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Revenez à l'écran et cliquez sur « Imprimer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le classeur porte un onglet de synthèse (société, période, fiabilité), un onglet des constats et un onglet par tableau ou graphique ; les chiffres sont des nombres. L'impression est propre, sans menus.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ANA-08. Passer à l'analyse du cabinet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l'Analyse change de contenu avec la société, et passe d'elle-même dans les bons livres quand le compte y est ouvert.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En haut à droite, passez à MB AxisPro Consulting. Lisez le cockpit : « Où en est le portefeuille de projets du cabinet ?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Regardez le menu : les sections « MB AxisPro Consulting » remplacent celles du groupe.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Dans la barre d'adresse, remplacez la fin de l'adresse par /analyse/rentabilite.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à l'étape 3, l'écran annonce « Ouverture dans les livres de EGUITRA GROUP SARLU… », puis ouvre la section Rentabilité du groupe : le compte y est ouvert.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ANA-09. Lire la qualité des données et passer en mode nuit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la pastille de fiabilité d'un écran et le mode d'affichage.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Sur un écran, lisez la pastille « Qualité des données … / 100 » et ses réserves.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Cliquez sur « Mode nuit », puis revenez en mode clair.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la pastille donne une note de 0 à 100 et les réserves (par exemple des pièces sans imputation analytique). Le mode nuit garde tout lisible.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B. Finance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ANA-10. Améliorer la fiabilité des données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les contrôles de fiabilité et l'effet d'une correction.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test.daf, société EGUITRA GROUP SARLU.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une réserve corrigeable (par exemple une pièce sans imputation analytique).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« Fiabilité des données » : lisez la question « Peut-on se fier aux chiffres ? » et les contrôles pondérés.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Corrigez dans Finance la pièce signalée (par son lien « Voir »).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Revenez à « Fiabilité des données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les onze contrôles sont listés avec leur poids ; après correction, le contrôle concerné et la note de fiabilité s'améliorent.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ANA-11. Lire l'activité et les honoraires du cabinet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la finance lit les honoraires du cabinet, et seulement eux.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test.daf, société MB AxisPro Consulting.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Passez à MB AxisPro Consulting.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Regardez le menu de l'Analyse.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Ouvrez « Activité et honoraires » : « Le temps du cabinet se transforme-t-il en honoraires ?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sous « MB AxisPro Consulting », la finance ne voit que le cockpit et « Activité et honoraires ». L'écran donne les heures, le taux de réalisation et la rentabilité par dossier.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C. Cabinet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ANA-12. Parcourir l'analyse du portefeuille de projets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les sections du cabinet.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test.consultant.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NIMOVA · Analyse : le cockpit du cabinet s'ouvre.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Ouvrez « Projets et pipeline », « Diagnostic des projets », « Qualité des décisions », « Financements », « Activité et honoraires » et « Risques et exécution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Dans « Diagnostic des projets », lisez le bloc par compartiment d'expertise.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chaque section répond à sa question (par exemple « Le comité décide-t-il comme la méthode le recommande ? »). Le diagnostic montre les faiblesses qui reviennent d'un dossier à l'autre, par domaine et par compartiment.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D. Refus attendus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ANA-13. Le cabinet ne voit pas l'analyse du groupe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 compte du cabinet seul n'ouvre aucune analyse d'EGUITRA GROUP SARLU.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test.consultant.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Regardez le menu de l'Analyse.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Dans la barre d'adresse, remplacez la fin de l'adresse par /analyse/tresorerie.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le menu ne propose aucune section « EGUITRA GROUP ». À l'étape 2, l'écran indique « Cette analyse concerne EGUITRA GROUP SARLU. », précise que le compte n'est pas ouvert à cette société et propose de revenir au cockpit ; aucun chiffre du groupe n'est montré.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ANA-14. L'exploitation n'ouvre pas l'Analyse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l'Analyse est réservée à la direction, à la finance, au cabinet et à l'administration.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test.exploitation.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Connectez-vous : l'accueil ne montre pas de tuile Analyse.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Dans la barre d'adresse, remplacez la fin de l'adresse par /analyse.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la page « Accès non ouvert à votre profil » s'affiche, sans aucune donnée.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E. Contrôles de saisie et de sécurité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ANA-15. Message clair en cas de coupure et export unique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le message en cas de coupure et qu'un double clic sur « Excel » ne prépare qu'un classeur.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Coupez le réseau du poste, puis changez de période.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Rétablissez le réseau et cliquez sur « Réessayer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Double-cliquez sur « Excel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à l'étape 1, un message en français indique que le serveur ne répond pas et invite à vérifier la connexion ; aucun texte en anglais ni code. À l'étape 2, l'écran revient. À l'étape 3, le bouton tourne pendant la préparation et un seul classeur est téléchargé.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ANA-16. Déconnexion après une minute sans activité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l'Analyse, souvent laissée ouverte en réunion, applique la déconnexion après inactivité.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le cockpit et laissez l'écran sans y toucher pendant une minute.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Répondez « Je suis là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Recommencez et laissez passer les 30 secondes.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après une minute, la question « Êtes-vous toujours là ? » s'affiche ; « Je suis là » garde l'écran ouvert. Sans réponse, la page de connexion s'affiche avec « Vous avez été déconnecté après une période d'inactivité.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Synthèse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1157"/>
        <w:gridCol w:w="1157"/>
        <w:gridCol w:w="1157"/>
        <w:gridCol w:w="1157"/>
      </w:tblGrid>
      <w:tr>
        <w:trPr>
          <w:tblHeader/>
        </w:trP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Partie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Scénarios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Réussis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Échoués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Non joués</w:t>
            </w: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A. Direction générale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9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B. Finance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C. Cabinet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D. Refus attendus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E. Contrôles de saisie et de sécurité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Total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16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L'Analyse ne comporte ni saisie de montants ni action irréversible : le simulateur se règle par des curseurs et rien n'est enregistré. Les contrôles des nombres et des confirmations sont donc joués dans les autres cahiers.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Réserves et anomalies relevées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157"/>
        <w:gridCol w:w="5012"/>
        <w:gridCol w:w="1542"/>
        <w:gridCol w:w="1349"/>
      </w:tblGrid>
      <w:tr>
        <w:trPr>
          <w:tblHeader/>
        </w:trPr>
        <w:tc>
          <w:tcPr>
            <w:tcW w:type="dxa" w:w="57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N°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Scénario</w:t>
            </w:r>
          </w:p>
        </w:tc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Constat</w:t>
            </w:r>
          </w:p>
        </w:tc>
        <w:tc>
          <w:tcPr>
            <w:tcW w:type="dxa" w:w="154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Demande DEM-…</w:t>
            </w:r>
          </w:p>
        </w:tc>
        <w:tc>
          <w:tcPr>
            <w:tcW w:type="dxa" w:w="134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Gravité</w:t>
            </w:r>
          </w:p>
        </w:tc>
      </w:tr>
      <w:tr>
        <w:tc>
          <w:tcPr>
            <w:tcW w:type="dxa" w:w="57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54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4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7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54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4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7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54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4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7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54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4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7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54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4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Signatures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Le testeur</w:t>
            </w:r>
          </w:p>
        </w:tc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Le référent du domaine</w:t>
            </w:r>
          </w:p>
        </w:tc>
      </w:tr>
      <w:tr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Nom :</w:t>
            </w:r>
          </w:p>
        </w:tc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Nom :</w:t>
            </w:r>
          </w:p>
        </w:tc>
      </w:tr>
      <w:tr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Fonction :</w:t>
            </w:r>
          </w:p>
        </w:tc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Fonction :</w:t>
            </w:r>
          </w:p>
        </w:tc>
      </w:tr>
      <w:tr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Date :</w:t>
            </w:r>
          </w:p>
        </w:tc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Date :</w:t>
            </w:r>
          </w:p>
        </w:tc>
      </w:tr>
      <w:tr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Signature :</w:t>
            </w:r>
          </w:p>
        </w:tc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Signature :</w:t>
            </w:r>
          </w:p>
        </w:tc>
      </w:tr>
    </w:tbl>
    <w:p>
      <w:pPr>
        <w:spacing w:after="8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NIMOVA · Cahier de test : Analyse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Cahier de test : Analyse</dc:title>
  <dc:creator>E-VOLUTION XP</dc:creator>
  <cp:lastModifiedBy>Un-named</cp:lastModifiedBy>
  <cp:revision>1</cp:revision>
  <dcterms:created xsi:type="dcterms:W3CDTF">2026-10-26T18:23:51.454Z</dcterms:created>
  <dcterms:modified xsi:type="dcterms:W3CDTF">2026-10-26T18:23:51.454Z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