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60"/>
      </w:pPr>
      <w:r>
        <w:drawing>
          <wp:inline distT="0" distB="0" distL="0" distR="0">
            <wp:extent cx="1428750" cy="476250"/>
            <wp:effectExtent t="0" r="0" b="0" l="0"/>
            <wp:docPr id="5"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428750" cy="476250"/>
                    </a:xfrm>
                    <a:prstGeom prst="rect">
                      <a:avLst/>
                    </a:prstGeom>
                  </pic:spPr>
                </pic:pic>
              </a:graphicData>
            </a:graphic>
          </wp:inline>
        </w:drawing>
      </w:r>
    </w:p>
    <w:p>
      <w:pPr>
        <w:spacing w:after="160"/>
      </w:pPr>
      <w:r>
        <w:rPr>
          <w:rFonts w:ascii="Calibri" w:cs="Calibri" w:eastAsia="Calibri" w:hAnsi="Calibri"/>
          <w:b/>
          <w:bCs/>
          <w:color w:val="1C1E6B"/>
          <w:sz w:val="36"/>
          <w:szCs w:val="36"/>
        </w:rPr>
        <w:t xml:space="preserve">Guide de l'exploitation transport</w:t>
      </w:r>
    </w:p>
    <w:p>
      <w:pPr>
        <w:keepNext/>
        <w:pBdr>
          <w:bottom w:val="single" w:color="1A9E9E" w:sz="6" w:space="2"/>
        </w:pBdr>
        <w:spacing w:after="100" w:before="280"/>
      </w:pPr>
      <w:r>
        <w:rPr>
          <w:rFonts w:ascii="Calibri" w:cs="Calibri" w:eastAsia="Calibri" w:hAnsi="Calibri"/>
          <w:b/>
          <w:bCs/>
          <w:color w:val="1C1E6B"/>
          <w:sz w:val="26"/>
          <w:szCs w:val="26"/>
        </w:rPr>
        <w:t xml:space="preserve">Pour tous : se connecter</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(EGUITRA Finance, AxisPro Suite ou le portail) dans un navigateur récent.</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Saisir l'identifiant et le mot de passe remis par l'administrateur.</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Première connexion : activer la double authentification (installer une application d'authentification sur le téléphone, Google Authenticator, Microsoft Authenticator ou FreeOTP, scanner le code affiché et saisir le code à 6 chiffres), puis remplacer le mot de passe provisoire par un mot de passe personnel d'au moins 10 caractères.</w:t>
      </w:r>
    </w:p>
    <w:p>
      <w:pPr>
        <w:tabs>
          <w:tab w:val="left" w:pos="360"/>
        </w:tabs>
        <w:spacing w:after="60"/>
        <w:ind w:left="360" w:hanging="360"/>
        <w:jc w:val="both"/>
      </w:pPr>
      <w:r>
        <w:rPr>
          <w:rFonts w:ascii="Calibri" w:cs="Calibri" w:eastAsia="Calibri" w:hAnsi="Calibri"/>
          <w:b/>
          <w:bCs/>
          <w:color w:val="1A9E9E"/>
          <w:sz w:val="20"/>
          <w:szCs w:val="20"/>
        </w:rPr>
        <w:t xml:space="preserve">4.	</w:t>
      </w:r>
      <w:r>
        <w:rPr>
          <w:rFonts w:ascii="Calibri" w:cs="Calibri" w:eastAsia="Calibri" w:hAnsi="Calibri"/>
          <w:sz w:val="20"/>
          <w:szCs w:val="20"/>
        </w:rPr>
        <w:t xml:space="preserve">Connexions suivantes : identifiant, mot de passe, puis le code à 6 chiffres du téléphone.</w:t>
      </w:r>
    </w:p>
    <w:p>
      <w:pPr>
        <w:spacing w:after="100"/>
        <w:jc w:val="both"/>
      </w:pPr>
      <w:r>
        <w:rPr>
          <w:rFonts w:ascii="Calibri" w:cs="Calibri" w:eastAsia="Calibri" w:hAnsi="Calibri"/>
          <w:sz w:val="20"/>
          <w:szCs w:val="20"/>
        </w:rPr>
        <w:t xml:space="preserve">Deux sociétés, un seul compte : si votre compte est ouvert à EGUITRA GROUP SARLU et à MB AxisPro Consulting, choisissez la société de travail avec le sélecteur en haut de l'écran ; l'écran se recharge sur les données de cette société. Les comptabilités restent séparées. La direction et la finance disposent aussi de la vue « Groupe consolidé » qui réunit les deux.</w:t>
      </w:r>
    </w:p>
    <w:p>
      <w:pPr>
        <w:spacing w:after="100"/>
        <w:jc w:val="both"/>
      </w:pPr>
      <w:r>
        <w:rPr>
          <w:rFonts w:ascii="Calibri" w:cs="Calibri" w:eastAsia="Calibri" w:hAnsi="Calibri"/>
          <w:sz w:val="20"/>
          <w:szCs w:val="20"/>
        </w:rPr>
        <w:t xml:space="preserve">Téléphone perdu ou changé : demander à l'administrateur de réinitialiser la double authentification. Mot de passe oublié : l'administrateur en remet un nouveau, provisoire. Les sessions expirent d'elles-mêmes au bout de quelques heures ; toutes les connexions sont journalisées.</w:t>
      </w:r>
    </w:p>
    <w:p>
      <w:pPr>
        <w:keepNext/>
        <w:pBdr>
          <w:bottom w:val="single" w:color="1A9E9E" w:sz="6" w:space="2"/>
        </w:pBdr>
        <w:spacing w:after="100" w:before="280"/>
      </w:pPr>
      <w:r>
        <w:rPr>
          <w:rFonts w:ascii="Calibri" w:cs="Calibri" w:eastAsia="Calibri" w:hAnsi="Calibri"/>
          <w:b/>
          <w:bCs/>
          <w:color w:val="1C1E6B"/>
          <w:sz w:val="26"/>
          <w:szCs w:val="26"/>
        </w:rPr>
        <w:t xml:space="preserve">La rotation, saisie une seule fois</w:t>
      </w:r>
    </w:p>
    <w:p>
      <w:pPr>
        <w:spacing w:after="100"/>
        <w:jc w:val="both"/>
      </w:pPr>
      <w:r>
        <w:rPr>
          <w:rFonts w:ascii="Calibri" w:cs="Calibri" w:eastAsia="Calibri" w:hAnsi="Calibri"/>
          <w:sz w:val="20"/>
          <w:szCs w:val="20"/>
        </w:rPr>
        <w:t xml:space="preserve">Une rotation porte l'ensemble routier, le chauffeur, le client, la route, le produit, le bon de livraison, les volumes chargé et livré, les litres de carburant et les frais (carburant, péages, frais du chauffeur, entretien, pneumatiques, autres taxes payées hors barème). Le tarif vient du tarif du client sur la route, à défaut du tarif de la route ; le kilométrage, de l'aller-retour de la route. La plateforme en déduit le chiffre d'affaires, les taxes spécifiques du barème, le manquant (toléré ou hors tolérance) et la marge.</w:t>
      </w:r>
    </w:p>
    <w:p>
      <w:pPr>
        <w:keepNext/>
        <w:pBdr>
          <w:bottom w:val="single" w:color="1A9E9E" w:sz="6" w:space="2"/>
        </w:pBdr>
        <w:spacing w:after="100" w:before="280"/>
      </w:pPr>
      <w:r>
        <w:rPr>
          <w:rFonts w:ascii="Calibri" w:cs="Calibri" w:eastAsia="Calibri" w:hAnsi="Calibri"/>
          <w:b/>
          <w:bCs/>
          <w:color w:val="1C1E6B"/>
          <w:sz w:val="26"/>
          <w:szCs w:val="26"/>
        </w:rPr>
        <w:t xml:space="preserve">Au bureau (EGUITRA Finance &gt; Métiers &gt; Transport)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Référentiels : ensembles routiers (capacité, année, mise en service), chauffeurs (avec leur fiche tiers), routes (aller, aller-retour, durée) et tarifs par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Rotations : saisie, correction, puis « Valider » (volume et tarif requis ; un volume chargé au-delà de la capacité de la citerne est refusé, corriger le volume ou la capacité).</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Facturation : sélectionner les rotations validées d'un client, puis « Facturer » : une facture par client, une ligne par rotation, suivie des taxes refacturées et de la déduction du manquant hors tolérance selon les conditions du client.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Rentabilité par ensemble routier, route, chauffeur, client ou mois : km, coûts au km, consommation, coûts déclarés face aux coûts comptabilisés, charges de structure, résultat net.</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Manquants : par chauffeur, ensemble, client ou route ; liste des rotations hors tolérance.</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Contrôles de la flotte (onglet Rentabilité) : ensemble sans immobilisation, chauffeur habituel de plusieurs ensembles, aller-retour incohérent, route sans distance.</w:t>
      </w:r>
    </w:p>
    <w:p>
      <w:pPr>
        <w:keepNext/>
        <w:pBdr>
          <w:bottom w:val="single" w:color="1A9E9E" w:sz="6" w:space="2"/>
        </w:pBdr>
        <w:spacing w:after="100" w:before="280"/>
      </w:pPr>
      <w:r>
        <w:rPr>
          <w:rFonts w:ascii="Calibri" w:cs="Calibri" w:eastAsia="Calibri" w:hAnsi="Calibri"/>
          <w:b/>
          <w:bCs/>
          <w:color w:val="1C1E6B"/>
          <w:sz w:val="26"/>
          <w:szCs w:val="26"/>
        </w:rPr>
        <w:t xml:space="preserve">Au parc : l'application Rotations</w:t>
      </w:r>
    </w:p>
    <w:p>
      <w:pPr>
        <w:spacing w:after="100"/>
        <w:jc w:val="both"/>
      </w:pPr>
      <w:r>
        <w:rPr>
          <w:rFonts w:ascii="Calibri" w:cs="Calibri" w:eastAsia="Calibri" w:hAnsi="Calibri"/>
          <w:sz w:val="20"/>
          <w:szCs w:val="20"/>
        </w:rPr>
        <w:t xml:space="preserve">Installation sur le téléphone (une fois, avec du réseau) :</w:t>
      </w:r>
    </w:p>
    <w:p>
      <w:pPr>
        <w:tabs>
          <w:tab w:val="left" w:pos="360"/>
        </w:tabs>
        <w:spacing w:after="60"/>
        <w:ind w:left="360" w:hanging="360"/>
        <w:jc w:val="both"/>
      </w:pPr>
      <w:r>
        <w:rPr>
          <w:rFonts w:ascii="Calibri" w:cs="Calibri" w:eastAsia="Calibri" w:hAnsi="Calibri"/>
          <w:b/>
          <w:bCs/>
          <w:color w:val="1A9E9E"/>
          <w:sz w:val="20"/>
          <w:szCs w:val="20"/>
        </w:rPr>
        <w:t xml:space="preserve">1.	</w:t>
      </w:r>
      <w:r>
        <w:rPr>
          <w:rFonts w:ascii="Calibri" w:cs="Calibri" w:eastAsia="Calibri" w:hAnsi="Calibri"/>
          <w:sz w:val="20"/>
          <w:szCs w:val="20"/>
        </w:rPr>
        <w:t xml:space="preserve">Ouvrir l'adresse de l'application suivie de </w:t>
      </w:r>
      <w:r>
        <w:rPr>
          <w:rFonts w:ascii="Consolas" w:cs="Consolas" w:eastAsia="Consolas" w:hAnsi="Consolas"/>
          <w:color w:val="333333"/>
          <w:sz w:val="18"/>
          <w:szCs w:val="18"/>
        </w:rPr>
        <w:t xml:space="preserve">/mobile</w:t>
      </w:r>
      <w:r>
        <w:rPr>
          <w:rFonts w:ascii="Calibri" w:cs="Calibri" w:eastAsia="Calibri" w:hAnsi="Calibri"/>
          <w:sz w:val="20"/>
          <w:szCs w:val="20"/>
        </w:rPr>
        <w:t xml:space="preserve"> dans le navigateur du téléphone.</w:t>
      </w:r>
    </w:p>
    <w:p>
      <w:pPr>
        <w:tabs>
          <w:tab w:val="left" w:pos="360"/>
        </w:tabs>
        <w:spacing w:after="60"/>
        <w:ind w:left="360" w:hanging="360"/>
        <w:jc w:val="both"/>
      </w:pPr>
      <w:r>
        <w:rPr>
          <w:rFonts w:ascii="Calibri" w:cs="Calibri" w:eastAsia="Calibri" w:hAnsi="Calibri"/>
          <w:b/>
          <w:bCs/>
          <w:color w:val="1A9E9E"/>
          <w:sz w:val="20"/>
          <w:szCs w:val="20"/>
        </w:rPr>
        <w:t xml:space="preserve">2.	</w:t>
      </w:r>
      <w:r>
        <w:rPr>
          <w:rFonts w:ascii="Calibri" w:cs="Calibri" w:eastAsia="Calibri" w:hAnsi="Calibri"/>
          <w:sz w:val="20"/>
          <w:szCs w:val="20"/>
        </w:rPr>
        <w:t xml:space="preserve">Se connecter (identifiant, mot de passe, code de double authentification).</w:t>
      </w:r>
    </w:p>
    <w:p>
      <w:pPr>
        <w:tabs>
          <w:tab w:val="left" w:pos="360"/>
        </w:tabs>
        <w:spacing w:after="60"/>
        <w:ind w:left="360" w:hanging="360"/>
        <w:jc w:val="both"/>
      </w:pPr>
      <w:r>
        <w:rPr>
          <w:rFonts w:ascii="Calibri" w:cs="Calibri" w:eastAsia="Calibri" w:hAnsi="Calibri"/>
          <w:b/>
          <w:bCs/>
          <w:color w:val="1A9E9E"/>
          <w:sz w:val="20"/>
          <w:szCs w:val="20"/>
        </w:rPr>
        <w:t xml:space="preserve">3.	</w:t>
      </w:r>
      <w:r>
        <w:rPr>
          <w:rFonts w:ascii="Calibri" w:cs="Calibri" w:eastAsia="Calibri" w:hAnsi="Calibri"/>
          <w:sz w:val="20"/>
          <w:szCs w:val="20"/>
        </w:rPr>
        <w:t xml:space="preserve">Menu du navigateur &gt; « Ajouter à l'écran d'accueil » : l'icône Rotations apparaît.</w:t>
      </w:r>
    </w:p>
    <w:p>
      <w:pPr>
        <w:spacing w:after="100"/>
        <w:jc w:val="both"/>
      </w:pPr>
      <w:r>
        <w:rPr>
          <w:rFonts w:ascii="Calibri" w:cs="Calibri" w:eastAsia="Calibri" w:hAnsi="Calibri"/>
          <w:sz w:val="20"/>
          <w:szCs w:val="20"/>
        </w:rPr>
        <w:t xml:space="preserve">Saisie :</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Nouvelle » : date, camion (le chauffeur habituel se remplit seul), client, route, produit, bon de livraison, volumes, litres de carburant, frais éventuels, puis « Enregistrer la rotation ». Si la finance calcule les manquants à 15 °C, relever aussi les températures et la masse volumique du bon de chargement. Un volume supérieur à la capacité du camion est signalé avant l'envoi.</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Sans réseau : la rotation est gardée sur le téléphone (« À envoyer ») et part seule dès que le réseau revient. Une saisie envoyée deux fois n'est créée qu'une fois.</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Une saisie refusée apparaît en rouge dans « À envoyer » avec le motif : « Corriger » puis enregistrer à nouveau.</w:t>
      </w:r>
    </w:p>
    <w:p>
      <w:pPr>
        <w:tabs>
          <w:tab w:val="left" w:pos="360"/>
        </w:tabs>
        <w:spacing w:after="60"/>
        <w:ind w:left="360" w:hanging="360"/>
        <w:jc w:val="both"/>
      </w:pPr>
      <w:r>
        <w:rPr>
          <w:rFonts w:ascii="Calibri" w:cs="Calibri" w:eastAsia="Calibri" w:hAnsi="Calibri"/>
          <w:b/>
          <w:bCs/>
          <w:color w:val="1A9E9E"/>
          <w:sz w:val="20"/>
          <w:szCs w:val="20"/>
        </w:rPr>
        <w:t xml:space="preserve">•	</w:t>
      </w:r>
      <w:r>
        <w:rPr>
          <w:rFonts w:ascii="Calibri" w:cs="Calibri" w:eastAsia="Calibri" w:hAnsi="Calibri"/>
          <w:sz w:val="20"/>
          <w:szCs w:val="20"/>
        </w:rPr>
        <w:t xml:space="preserve">« Envoyées » : les dernières rotations reçues au bureau et leur état.</w:t>
      </w:r>
    </w:p>
    <w:p>
      <w:pPr>
        <w:spacing w:after="100"/>
        <w:jc w:val="both"/>
      </w:pPr>
      <w:r>
        <w:rPr>
          <w:rFonts w:ascii="Calibri" w:cs="Calibri" w:eastAsia="Calibri" w:hAnsi="Calibri"/>
          <w:sz w:val="20"/>
          <w:szCs w:val="20"/>
        </w:rPr>
        <w:t xml:space="preserve">La session du téléphone dure 30 jours sans retour au réseau, 90 jours au plus ; ensuite, se reconnecter avec du réseau. « Se déconnecter » efface du téléphone les listes et la page gardée pour l'usage hors réseau ; les saisies non envoyées restent et partiront à la prochaine connexion de leur auteur. Le téléphone ne garde ni tarifs ni marges.</w:t>
      </w:r>
    </w:p>
    <w:sectPr>
      <w:footerReference w:type="default" r:id="rId6"/>
      <w:pgSz w:w="11906" w:h="16838" w:orient="portrait"/>
      <w:pgMar w:top="1134" w:right="1134" w:bottom="1134" w:left="1134"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Calibri" w:cs="Calibri" w:eastAsia="Calibri" w:hAnsi="Calibri"/>
        <w:color w:val="777777"/>
        <w:sz w:val="16"/>
        <w:szCs w:val="16"/>
      </w:rPr>
      <w:t xml:space="preserve">E-VOLUTION XP · Guide de l'exploitation transport · page </w:t>
    </w:r>
    <w:r>
      <w:rPr>
        <w:rFonts w:ascii="Calibri" w:cs="Calibri" w:eastAsia="Calibri" w:hAnsi="Calibri"/>
        <w:color w:val="777777"/>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Normal" w:default="1">
    <w:name w:val="Normal"/>
    <w:qFormat/>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theme" Target="theme/theme1.xml"/><Relationship Id="rId8" Type="http://schemas.openxmlformats.org/officeDocument/2006/relationships/image" Target="media/4fbf04faf1ccdbaf9a1c8d13a881427d25b06747.pn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de l'exploitation transport</dc:title>
  <dc:creator>E-VOLUTION XP</dc:creator>
  <cp:lastModifiedBy>Un-named</cp:lastModifiedBy>
  <cp:revision>1</cp:revision>
  <dcterms:created xsi:type="dcterms:W3CDTF">2026-10-17T13:15:51.373Z</dcterms:created>
  <dcterms:modified xsi:type="dcterms:W3CDTF">2026-10-17T13:15:51.373Z</dcterms:modified>
</cp:coreProperties>
</file>

<file path=docProps/custom.xml><?xml version="1.0" encoding="utf-8"?>
<Properties xmlns="http://schemas.openxmlformats.org/officeDocument/2006/custom-properties" xmlns:vt="http://schemas.openxmlformats.org/officeDocument/2006/docPropsVTypes"/>
</file>