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5"/>
        <w:gridCol w:w="2661"/>
        <w:gridCol w:w="4872"/>
      </w:tblGrid>
      <w:tr>
        <w:trPr>
          <w:tblHeader/>
        </w:trPr>
        <w:tc>
          <w:tcPr>
            <w:tcW w:type="dxa" w:w="210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66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487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dépense à engager (commande, contrat)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Engager avant de commander, devis joint : l'engagement approuvé couvre ensuite les factures du fournisseur.</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Métiers &gt; Transport (ou Rotations au parc)</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puis « Mettre en service ».</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déblocage d'un emprunt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type « Déblocage d'emprunt »</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Désigner le financement : l'entrée de banque crédite son compte de dette.</w:t>
            </w:r>
          </w:p>
        </w:tc>
      </w:tr>
      <w:tr>
        <w:tc>
          <w:tcPr>
            <w:tcW w:type="dxa" w:w="210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487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 ; droit « Saisie libre des comptes ».</w:t>
            </w:r>
          </w:p>
        </w:tc>
      </w:tr>
      <w:tr>
        <w:tc>
          <w:tcPr>
            <w:tcW w:type="dxa" w:w="210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487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Reprise des à-nouveaux, révision du budget, inventaire de la flotte et des stocks.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 et les questions du dirigeant, le tableau de bord, le rapport mensuel, l'écran Dette et le transport affichent alors la valeur sans la juger (« Seuil non fixé »), au lieu de la comparer à une valeur par défaut. Seule une trésorerie négative reste signalée en rouge. La « Marge du mois » du transport se juge contre la marge minimale fixée (30 % par défaut).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Sans compte saisi, la ligne prend le compte de produit de l'activité ; choisir un autre compte demande le droit « Saisie libre des comptes ».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(Métiers &gt; Transport)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Export des rotations (XLSX ou CSV) : une colonne par frais (pneumatiques compris), puis kilométrage et ratios (distance, carburant, durée, chiffre d'affaires et coût au kilomètre, coût au litre, consommation aux 100 km).</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Engagements de dépense (Pilotage &gt; Engagements de dépense)</w:t>
      </w:r>
    </w:p>
    <w:p>
      <w:pPr>
        <w:spacing w:after="100"/>
        <w:jc w:val="both"/>
      </w:pPr>
      <w:r>
        <w:rPr>
          <w:rFonts w:ascii="Calibri" w:cs="Calibri" w:eastAsia="Calibri" w:hAnsi="Calibri"/>
          <w:sz w:val="20"/>
          <w:szCs w:val="20"/>
        </w:rPr>
        <w:t xml:space="preserve">Avant toute commande ou tout contrat : « Nouvel engagement » (fournisseur, objet, montant, axes analytiques, devis joint), puis « Soumettre ». L'engagement suit le circuit d'approbation (finance, direction au-delà de 50 M GNF). Une fois approuvé, les factures du fournisseur rattachées à l'engagement (il est proposé à la saisie) se comptabilisent sans refaire le circuit, tant qu'elles restent dans le reste à engager (tolérance de 5 %). Le suivi budgétaire montre l'engagé et le disponible de chaque ligne ; l'état « Engagements de dépense non soldés » est au registre des rapports. Solder un engagement libère son reste.</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(choisir un autre compte demande le droit « Saisie libre des comptes » ; sans lui, la catégorie est obligatoire).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 Choisir soi-même le compte d'imputation demande le droit « Saisie libre des comptes » ; sans lui, l'opération prend le compte de son type, ou reste à rapprocher.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un type à part d'emprunt demande le financement concerné (Dette et financement, financement en service) et prend son compte. « Déblocage d'emprunt » : l'entrée de banque crédite le compte de dette ; c'est ainsi que le déblocage se comptabilise (plusieurs tranches possibles, dans la limite du montant emprunté). « Remboursement anticipé d'emprunt (capital) » et « Intérêts d'emprunt hors échéancier » : la sortie débite le compte de dette ou le compte de charges financières. Ces deux types ne règlent jamais une échéance de l'échéancier, qui se règle depuis la ligne du relevé (« Rapprocher ») ou par « Régler » : un montant égal à une échéance non réglée est refusé, l'échéance ne peut pas être comptée deux fois. Après un remboursement anticipé, l'écart avec l'échéancier est signalé à la clôture jusqu'à sa révision par la banque.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 CSV ou XLSX avec date, libellé et montant (ou débit et crédit), ou relevé normalisé ISO 20022 camt.053 (XML) fourni par la banque. Les soldes initial et final sont lus dans le fichier (lignes « Solde initial », « Nouveau solde », colonne de solde, soldes d'ouverture et de clôture du camt.053) ou saisis : un relevé qui ne s'équilibre pas est refusé, sauf confirmation. Les opérations en attente d'un camt.053 ne sont pas importées.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Sorties de caisse et de banque, règlement d'une échéance d'emprunt, virement interne : au-delà de 100 M GNF, l'opération reste en brouillon et part au circuit d'approbation (« À valider ») ; elle se comptabilise à la dernière approbation.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imputer selon un type d'opération (frais bancaires, déblocage d'emprunt reçu en banque…, avec le financement pour un type d'emprunt) ou, avec le droit « Saisie libre des comptes »,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 Chaque ligne d'une OD porte un compte choisi : la saisie des OD est réservée au droit « Saisie libre des comptes » (sans lui, le bouton « Nouvelle OD » est inactif et la plateforme refuse l'opération).</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(sens, compte de contrepartie ou part d'emprunt : déblocage, capital, intérêts), modes de paiement. Un essai montre l'imputation qu'appliqueraient les règles. « Proposer les types usuels » ajoute les types courants, dont les trois types des financements.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comptes des catégories de dépense, des types d'opération et des financements deviennent ceux des pièces des autres utilisateurs : les fixer ou les changer demande le droit « Saisie libre des comptes ».</w:t>
      </w:r>
    </w:p>
    <w:p>
      <w:pPr>
        <w:keepNext/>
        <w:pBdr>
          <w:bottom w:val="single" w:color="1A9E9E" w:sz="6" w:space="2"/>
        </w:pBdr>
        <w:spacing w:after="100" w:before="280"/>
      </w:pPr>
      <w:r>
        <w:rPr>
          <w:rFonts w:ascii="Calibri" w:cs="Calibri" w:eastAsia="Calibri" w:hAnsi="Calibri"/>
          <w:b/>
          <w:bCs/>
          <w:color w:val="1C1E6B"/>
          <w:sz w:val="26"/>
          <w:szCs w:val="26"/>
        </w:rPr>
        <w:t xml:space="preserve">Saisie libre des comptes (Administration &gt; Utilisateurs)</w:t>
      </w:r>
    </w:p>
    <w:p>
      <w:pPr>
        <w:spacing w:after="100"/>
        <w:jc w:val="both"/>
      </w:pPr>
      <w:r>
        <w:rPr>
          <w:rFonts w:ascii="Calibri" w:cs="Calibri" w:eastAsia="Calibri" w:hAnsi="Calibri"/>
          <w:sz w:val="20"/>
          <w:szCs w:val="20"/>
        </w:rPr>
        <w:t xml:space="preserve">Droit complémentaire aux profils, accordé d'office aux comptes finance, direction et administration (rien ne change pour eux) et retirable compte par compte (case « Saisie libre des comptes » de la fiche de l'utilisateur). Sans ce droit, l'utilisateur ne choisit plus de compte : la ligne prend le compte de sa catégorie de dépense, du type d'opération, de l'activité (compte de produit) ou du produit ; les opérations diverses, l'imputation directe à un compte au rapprochement et le paramétrage des comptes lui sont refusés, avec un message qui l'explique. Les écrans masquent alors le choix du compte.</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 Le registre s'exporte en CSV ou XLSX, avec l'en-tête des états : société, exercice, date d'arrêté (dotations comptabilisées à ce jour) et date d'export.</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jugé contre le minimum fixé dans les seuils (sans minimum : « seuil non fixé »). Le déblocage se comptabilise depuis la Trésorerie (type « Déblocage d'emprunt », voir plus haut), comme les remboursements anticipés et les intérêts hors échéancier.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La clôture passe ensuite, chacune une seule fois : les dotations aux amortissements du mois, la liquidation de la TVA (pièce « TVA-mm/aaaa » datée de la fin du mois, TVA due au 4441 ou crédit reporté au 4451), les factures à établir des rotations validées non facturées (pièce « FAE-mm/aaaa », extournée le premier jour du mois suivant) et, si des comptes sont en devise, la réévaluation au cours de clôture. Elle verrouille enfin les écritures et scelle la période : l'empreinte figure sur le procès-verbal de clôture, à imprimer et conserver hors du système ; les contrôles d'intégrité la recalculent. La réouverture est réservée et tracée dans le registre.</w:t>
      </w:r>
    </w:p>
    <w:p>
      <w:pPr>
        <w:spacing w:after="100"/>
        <w:jc w:val="both"/>
      </w:pPr>
      <w:r>
        <w:rPr>
          <w:rFonts w:ascii="Calibri" w:cs="Calibri" w:eastAsia="Calibri" w:hAnsi="Calibri"/>
          <w:sz w:val="20"/>
          <w:szCs w:val="20"/>
        </w:rPr>
        <w:t xml:space="preserve">Validation de la reprise (même écran) : la valeur de référence de chaque indicateur du classeur est chargée depuis le fichier fourni à la reprise ; la plateforme recalcule les 26 indicateurs (équilibre, produits, charges, EBITDA, résultat, trésorerie, stocks, créances et dettes dont échues, CA et achats TTC, transport, bilan, capitaux propres) et donne l'écart de chacun. Le résultat « n/26 », horodaté, s'imprime en annexe du procès-verbal de bascule.</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(SAF-T), en CSV ou XLSX. Les flux mensuels exportés sont ceux du tableau de bord (un seul calcul), arrêtés à la date d'arrêté, avec la colonne « Contrôle » de chaque mois (à venir, sous le seuil de sécurité, cash net négatif, conforme). L'onglet « Consolidé du groupe » donne le compte de résultat et le bilan de chaque société, les éliminations des opérations entre sociétés du groupe (ventes et achats réciproques, créances et dettes, comptes courants) et le total du groupe ; il demande un compte ouvert aux deux sociétés.</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 historique des déclarations. Retenues à la source : taux et comptes paramétrables, appliqués à la saisie d'une pièce d'achat (ou par défaut depuis la fiche du fournisseur) et repris dans la déclaration du mois. IFRS : matrice des pertes attendues par ancienneté des créances (retraitement hors des livres SYSCOHADA) et passerelle des retraitements.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2026-10-17T15:17:15.313Z</dcterms:created>
  <dcterms:modified xsi:type="dcterms:W3CDTF">2026-10-17T15:17:15.313Z</dcterms:modified>
</cp:coreProperties>
</file>

<file path=docProps/custom.xml><?xml version="1.0" encoding="utf-8"?>
<Properties xmlns="http://schemas.openxmlformats.org/officeDocument/2006/custom-properties" xmlns:vt="http://schemas.openxmlformats.org/officeDocument/2006/docPropsVTypes"/>
</file>