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60"/>
      </w:pPr>
      <w:r>
        <w:drawing>
          <wp:inline distT="0" distB="0" distL="0" distR="0">
            <wp:extent cx="1428750" cy="4762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28750" cy="476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</w:pPr>
      <w:r>
        <w:rPr>
          <w:rFonts w:ascii="Calibri" w:cs="Calibri" w:eastAsia="Calibri" w:hAnsi="Calibri"/>
          <w:b/>
          <w:bCs/>
          <w:color w:val="1C1E6B"/>
          <w:sz w:val="36"/>
          <w:szCs w:val="36"/>
        </w:rPr>
        <w:t xml:space="preserve">Plan de démonstration de la plateforme, 16 octobre 2026</w:t>
      </w:r>
    </w:p>
    <w:p>
      <w:pPr>
        <w:spacing w:after="100"/>
        <w:jc w:val="both"/>
      </w:pPr>
      <w:r>
        <w:rPr>
          <w:rFonts w:ascii="Calibri" w:cs="Calibri" w:eastAsia="Calibri" w:hAnsi="Calibri"/>
          <w:sz w:val="20"/>
          <w:szCs w:val="20"/>
        </w:rPr>
        <w:t xml:space="preserve">Première présentation du système au DG, sur la </w:t>
      </w:r>
      <w:r>
        <w:rPr>
          <w:rFonts w:ascii="Calibri" w:cs="Calibri" w:eastAsia="Calibri" w:hAnsi="Calibri"/>
          <w:b/>
          <w:bCs/>
          <w:sz w:val="20"/>
          <w:szCs w:val="20"/>
        </w:rPr>
        <w:t xml:space="preserve">recette</w:t>
      </w:r>
      <w:r>
        <w:rPr>
          <w:rFonts w:ascii="Calibri" w:cs="Calibri" w:eastAsia="Calibri" w:hAnsi="Calibri"/>
          <w:sz w:val="20"/>
          <w:szCs w:val="20"/>
        </w:rPr>
        <w:t xml:space="preserve"> (données fictives repérées « Démo »). Durée visée : 45 minutes, plus les questions. La production existe mais ne contient encore aucune donnée : on ne la montre pas.</w:t>
      </w:r>
    </w:p>
    <w:p>
      <w:pPr>
        <w:keepNext/>
        <w:pBdr>
          <w:bottom w:val="single" w:color="1A9E9E" w:sz="6" w:space="2"/>
        </w:pBdr>
        <w:spacing w:after="100" w:before="280"/>
      </w:pPr>
      <w:r>
        <w:rPr>
          <w:rFonts w:ascii="Calibri" w:cs="Calibri" w:eastAsia="Calibri" w:hAnsi="Calibri"/>
          <w:b/>
          <w:bCs/>
          <w:color w:val="1C1E6B"/>
          <w:sz w:val="26"/>
          <w:szCs w:val="26"/>
        </w:rPr>
        <w:t xml:space="preserve">Préparation, avant la réunion (15 minutes)</w:t>
      </w:r>
    </w:p>
    <w:p>
      <w:pPr>
        <w:tabs>
          <w:tab w:val="left" w:pos="360"/>
        </w:tabs>
        <w:spacing w:after="60"/>
        <w:ind w:left="360" w:hanging="360"/>
        <w:jc w:val="both"/>
      </w:pPr>
      <w:r>
        <w:rPr>
          <w:rFonts w:ascii="Calibri" w:cs="Calibri" w:eastAsia="Calibri" w:hAnsi="Calibri"/>
          <w:b/>
          <w:bCs/>
          <w:color w:val="1A9E9E"/>
          <w:sz w:val="20"/>
          <w:szCs w:val="20"/>
        </w:rPr>
        <w:t xml:space="preserve">1.	</w:t>
      </w:r>
      <w:r>
        <w:rPr>
          <w:rFonts w:ascii="Calibri" w:cs="Calibri" w:eastAsia="Calibri" w:hAnsi="Calibri"/>
          <w:sz w:val="20"/>
          <w:szCs w:val="20"/>
        </w:rPr>
        <w:t xml:space="preserve">Ouvrir le tunnel dans PowerShell et laisser la fenêtre ouverte : </w:t>
      </w:r>
      <w:r>
        <w:rPr>
          <w:rFonts w:ascii="Consolas" w:cs="Consolas" w:eastAsia="Consolas" w:hAnsi="Consolas"/>
          <w:color w:val="333333"/>
          <w:sz w:val="18"/>
          <w:szCs w:val="18"/>
        </w:rPr>
        <w:t xml:space="preserve">ssh -N -L 3100:127.0.0.1:3100 eguitra-vps</w:t>
      </w:r>
    </w:p>
    <w:p>
      <w:pPr>
        <w:tabs>
          <w:tab w:val="left" w:pos="360"/>
        </w:tabs>
        <w:spacing w:after="60"/>
        <w:ind w:left="360" w:hanging="360"/>
        <w:jc w:val="both"/>
      </w:pPr>
      <w:r>
        <w:rPr>
          <w:rFonts w:ascii="Calibri" w:cs="Calibri" w:eastAsia="Calibri" w:hAnsi="Calibri"/>
          <w:b/>
          <w:bCs/>
          <w:color w:val="1A9E9E"/>
          <w:sz w:val="20"/>
          <w:szCs w:val="20"/>
        </w:rPr>
        <w:t xml:space="preserve">2.	</w:t>
      </w:r>
      <w:r>
        <w:rPr>
          <w:rFonts w:ascii="Calibri" w:cs="Calibri" w:eastAsia="Calibri" w:hAnsi="Calibri"/>
          <w:sz w:val="20"/>
          <w:szCs w:val="20"/>
        </w:rPr>
        <w:t xml:space="preserve">Dans Chrome ou Edge (pas Safari), ouvrir http://localhost:3100/finance et se connecter avec l'identifiant </w:t>
      </w:r>
      <w:r>
        <w:rPr>
          <w:rFonts w:ascii="Consolas" w:cs="Consolas" w:eastAsia="Consolas" w:hAnsi="Consolas"/>
          <w:color w:val="333333"/>
          <w:sz w:val="18"/>
          <w:szCs w:val="18"/>
        </w:rPr>
        <w:t xml:space="preserve">emkouyate</w:t>
      </w:r>
      <w:r>
        <w:rPr>
          <w:rFonts w:ascii="Calibri" w:cs="Calibri" w:eastAsia="Calibri" w:hAnsi="Calibri"/>
          <w:sz w:val="20"/>
          <w:szCs w:val="20"/>
        </w:rPr>
        <w:t xml:space="preserve"> et le mot de passe provisoire. Activer la double authentification avec le téléphone, puis choisir le mot de passe définitif. À faire maintenant, pas devant le DG.</w:t>
      </w:r>
    </w:p>
    <w:p>
      <w:pPr>
        <w:tabs>
          <w:tab w:val="left" w:pos="360"/>
        </w:tabs>
        <w:spacing w:after="60"/>
        <w:ind w:left="360" w:hanging="360"/>
        <w:jc w:val="both"/>
      </w:pPr>
      <w:r>
        <w:rPr>
          <w:rFonts w:ascii="Calibri" w:cs="Calibri" w:eastAsia="Calibri" w:hAnsi="Calibri"/>
          <w:b/>
          <w:bCs/>
          <w:color w:val="1A9E9E"/>
          <w:sz w:val="20"/>
          <w:szCs w:val="20"/>
        </w:rPr>
        <w:t xml:space="preserve">3.	</w:t>
      </w:r>
      <w:r>
        <w:rPr>
          <w:rFonts w:ascii="Calibri" w:cs="Calibri" w:eastAsia="Calibri" w:hAnsi="Calibri"/>
          <w:sz w:val="20"/>
          <w:szCs w:val="20"/>
        </w:rPr>
        <w:t xml:space="preserve">Ouvrir à l'avance un onglet par étape : Tableau de bord, À valider, Transport, Immobilier, Clôtures et contrôles, puis AxisPro (http://localhost:3100/axispro).</w:t>
      </w:r>
    </w:p>
    <w:p>
      <w:pPr>
        <w:tabs>
          <w:tab w:val="left" w:pos="360"/>
        </w:tabs>
        <w:spacing w:after="60"/>
        <w:ind w:left="360" w:hanging="360"/>
        <w:jc w:val="both"/>
      </w:pPr>
      <w:r>
        <w:rPr>
          <w:rFonts w:ascii="Calibri" w:cs="Calibri" w:eastAsia="Calibri" w:hAnsi="Calibri"/>
          <w:b/>
          <w:bCs/>
          <w:color w:val="1A9E9E"/>
          <w:sz w:val="20"/>
          <w:szCs w:val="20"/>
        </w:rPr>
        <w:t xml:space="preserve">4.	</w:t>
      </w:r>
      <w:r>
        <w:rPr>
          <w:rFonts w:ascii="Calibri" w:cs="Calibri" w:eastAsia="Calibri" w:hAnsi="Calibri"/>
          <w:sz w:val="20"/>
          <w:szCs w:val="20"/>
        </w:rPr>
        <w:t xml:space="preserve">Facultatif, pour montrer le portail : AxisPro, dossier « Unité de séchage de mangues (démo) », carte « Accès du porteur au portail » : identifiant </w:t>
      </w:r>
      <w:r>
        <w:rPr>
          <w:rFonts w:ascii="Consolas" w:cs="Consolas" w:eastAsia="Consolas" w:hAnsi="Consolas"/>
          <w:color w:val="333333"/>
          <w:sz w:val="18"/>
          <w:szCs w:val="18"/>
        </w:rPr>
        <w:t xml:space="preserve">porteur.mamou</w:t>
      </w:r>
      <w:r>
        <w:rPr>
          <w:rFonts w:ascii="Calibri" w:cs="Calibri" w:eastAsia="Calibri" w:hAnsi="Calibri"/>
          <w:sz w:val="20"/>
          <w:szCs w:val="20"/>
        </w:rPr>
        <w:t xml:space="preserve">, nom « Promoteur Mamou », un mot de passe provisoire, « Ouvrir l'accès ». Dans une fenêtre de navigation privée, se connecter sur http://localhost:3100/portail avec ce compte, activer sa double authentification et changer le mot de passe.</w:t>
      </w:r>
    </w:p>
    <w:p>
      <w:pPr>
        <w:tabs>
          <w:tab w:val="left" w:pos="360"/>
        </w:tabs>
        <w:spacing w:after="60"/>
        <w:ind w:left="360" w:hanging="360"/>
        <w:jc w:val="both"/>
      </w:pPr>
      <w:r>
        <w:rPr>
          <w:rFonts w:ascii="Calibri" w:cs="Calibri" w:eastAsia="Calibri" w:hAnsi="Calibri"/>
          <w:b/>
          <w:bCs/>
          <w:color w:val="1A9E9E"/>
          <w:sz w:val="20"/>
          <w:szCs w:val="20"/>
        </w:rPr>
        <w:t xml:space="preserve">5.	</w:t>
      </w:r>
      <w:r>
        <w:rPr>
          <w:rFonts w:ascii="Calibri" w:cs="Calibri" w:eastAsia="Calibri" w:hAnsi="Calibri"/>
          <w:sz w:val="20"/>
          <w:szCs w:val="20"/>
        </w:rPr>
        <w:t xml:space="preserve">Rotations : touche F12, puis l'icône « téléphone » (Ctrl+Maj+M) pour afficher l'écran du parc.</w:t>
      </w:r>
    </w:p>
    <w:p>
      <w:pPr>
        <w:spacing w:after="100"/>
        <w:jc w:val="both"/>
      </w:pPr>
      <w:r>
        <w:rPr>
          <w:rFonts w:ascii="Calibri" w:cs="Calibri" w:eastAsia="Calibri" w:hAnsi="Calibri"/>
          <w:sz w:val="20"/>
          <w:szCs w:val="20"/>
        </w:rPr>
        <w:t xml:space="preserve">Chiffres attendus (EGUITRA GROUP, exercice 2026, fictifs) : chiffre d'affaires environ 3,66 Md GNF, résultat environ 0,87 Md, trésorerie environ 0,99 Md, créances environ 1,26 Md dont 158 M échues.</w:t>
      </w:r>
    </w:p>
    <w:p>
      <w:pPr>
        <w:keepNext/>
        <w:pBdr>
          <w:bottom w:val="single" w:color="1A9E9E" w:sz="6" w:space="2"/>
        </w:pBdr>
        <w:spacing w:after="100" w:before="280"/>
      </w:pPr>
      <w:r>
        <w:rPr>
          <w:rFonts w:ascii="Calibri" w:cs="Calibri" w:eastAsia="Calibri" w:hAnsi="Calibri"/>
          <w:b/>
          <w:bCs/>
          <w:color w:val="1C1E6B"/>
          <w:sz w:val="26"/>
          <w:szCs w:val="26"/>
        </w:rPr>
        <w:t xml:space="preserve">Déroulé</w:t>
      </w:r>
    </w:p>
    <w:p>
      <w:pPr>
        <w:keepNext/>
        <w:spacing w:after="100" w:before="200"/>
      </w:pPr>
      <w:r>
        <w:rPr>
          <w:rFonts w:ascii="Calibri" w:cs="Calibri" w:eastAsia="Calibri" w:hAnsi="Calibri"/>
          <w:b/>
          <w:bCs/>
          <w:color w:val="1A9E9E"/>
          <w:sz w:val="22"/>
          <w:szCs w:val="22"/>
        </w:rPr>
        <w:t xml:space="preserve">1. Ouverture (3 min)</w:t>
      </w:r>
    </w:p>
    <w:p>
      <w:pPr>
        <w:tabs>
          <w:tab w:val="left" w:pos="360"/>
        </w:tabs>
        <w:spacing w:after="60"/>
        <w:ind w:left="360" w:hanging="360"/>
        <w:jc w:val="both"/>
      </w:pPr>
      <w:r>
        <w:rPr>
          <w:rFonts w:ascii="Calibri" w:cs="Calibri" w:eastAsia="Calibri" w:hAnsi="Calibri"/>
          <w:b/>
          <w:bCs/>
          <w:color w:val="1A9E9E"/>
          <w:sz w:val="20"/>
          <w:szCs w:val="20"/>
        </w:rPr>
        <w:t xml:space="preserve">•	</w:t>
      </w:r>
      <w:r>
        <w:rPr>
          <w:rFonts w:ascii="Calibri" w:cs="Calibri" w:eastAsia="Calibri" w:hAnsi="Calibri"/>
          <w:sz w:val="20"/>
          <w:szCs w:val="20"/>
        </w:rPr>
        <w:t xml:space="preserve">La note du DG demande un outil unique aux deux structures, pour centraliser, maîtriser et décider. Ce que vous montrez existe : une plateforme installée sur un serveur dédié, avec un environnement de production et un environnement de recette.</w:t>
      </w:r>
    </w:p>
    <w:p>
      <w:pPr>
        <w:tabs>
          <w:tab w:val="left" w:pos="360"/>
        </w:tabs>
        <w:spacing w:after="60"/>
        <w:ind w:left="360" w:hanging="360"/>
        <w:jc w:val="both"/>
      </w:pPr>
      <w:r>
        <w:rPr>
          <w:rFonts w:ascii="Calibri" w:cs="Calibri" w:eastAsia="Calibri" w:hAnsi="Calibri"/>
          <w:b/>
          <w:bCs/>
          <w:color w:val="1A9E9E"/>
          <w:sz w:val="20"/>
          <w:szCs w:val="20"/>
        </w:rPr>
        <w:t xml:space="preserve">•	</w:t>
      </w:r>
      <w:r>
        <w:rPr>
          <w:rFonts w:ascii="Calibri" w:cs="Calibri" w:eastAsia="Calibri" w:hAnsi="Calibri"/>
          <w:sz w:val="20"/>
          <w:szCs w:val="20"/>
        </w:rPr>
        <w:t xml:space="preserve">Les chiffres de la démonstration sont fictifs. L'identité NIMOVA est en cours d'application à tous les écrans.</w:t>
      </w:r>
    </w:p>
    <w:p>
      <w:pPr>
        <w:keepNext/>
        <w:spacing w:after="100" w:before="200"/>
      </w:pPr>
      <w:r>
        <w:rPr>
          <w:rFonts w:ascii="Calibri" w:cs="Calibri" w:eastAsia="Calibri" w:hAnsi="Calibri"/>
          <w:b/>
          <w:bCs/>
          <w:color w:val="1A9E9E"/>
          <w:sz w:val="22"/>
          <w:szCs w:val="22"/>
        </w:rPr>
        <w:t xml:space="preserve">2. Connexion et sécurité (3 min)</w:t>
      </w:r>
    </w:p>
    <w:p>
      <w:pPr>
        <w:tabs>
          <w:tab w:val="left" w:pos="360"/>
        </w:tabs>
        <w:spacing w:after="60"/>
        <w:ind w:left="360" w:hanging="360"/>
        <w:jc w:val="both"/>
      </w:pPr>
      <w:r>
        <w:rPr>
          <w:rFonts w:ascii="Calibri" w:cs="Calibri" w:eastAsia="Calibri" w:hAnsi="Calibri"/>
          <w:b/>
          <w:bCs/>
          <w:color w:val="1A9E9E"/>
          <w:sz w:val="20"/>
          <w:szCs w:val="20"/>
        </w:rPr>
        <w:t xml:space="preserve">•	</w:t>
      </w:r>
      <w:r>
        <w:rPr>
          <w:rFonts w:ascii="Calibri" w:cs="Calibri" w:eastAsia="Calibri" w:hAnsi="Calibri"/>
          <w:sz w:val="20"/>
          <w:szCs w:val="20"/>
        </w:rPr>
        <w:t xml:space="preserve">Identifiant, mot de passe, puis code du téléphone : obligatoire pour tous, porteurs compris.</w:t>
      </w:r>
    </w:p>
    <w:p>
      <w:pPr>
        <w:tabs>
          <w:tab w:val="left" w:pos="360"/>
        </w:tabs>
        <w:spacing w:after="60"/>
        <w:ind w:left="360" w:hanging="360"/>
        <w:jc w:val="both"/>
      </w:pPr>
      <w:r>
        <w:rPr>
          <w:rFonts w:ascii="Calibri" w:cs="Calibri" w:eastAsia="Calibri" w:hAnsi="Calibri"/>
          <w:b/>
          <w:bCs/>
          <w:color w:val="1A9E9E"/>
          <w:sz w:val="20"/>
          <w:szCs w:val="20"/>
        </w:rPr>
        <w:t xml:space="preserve">•	</w:t>
      </w:r>
      <w:r>
        <w:rPr>
          <w:rFonts w:ascii="Calibri" w:cs="Calibri" w:eastAsia="Calibri" w:hAnsi="Calibri"/>
          <w:sz w:val="20"/>
          <w:szCs w:val="20"/>
        </w:rPr>
        <w:t xml:space="preserve">Chaque profil ne voit que son périmètre ; toutes les connexions sont journalisées. Personne ne travaille directement dans Odoo : c'est le moteur, invisible.</w:t>
      </w:r>
    </w:p>
    <w:p>
      <w:pPr>
        <w:keepNext/>
        <w:spacing w:after="100" w:before="200"/>
      </w:pPr>
      <w:r>
        <w:rPr>
          <w:rFonts w:ascii="Calibri" w:cs="Calibri" w:eastAsia="Calibri" w:hAnsi="Calibri"/>
          <w:b/>
          <w:bCs/>
          <w:color w:val="1A9E9E"/>
          <w:sz w:val="22"/>
          <w:szCs w:val="22"/>
        </w:rPr>
        <w:t xml:space="preserve">3. Deux sociétés, un seul compte (3 min)</w:t>
      </w:r>
    </w:p>
    <w:p>
      <w:pPr>
        <w:tabs>
          <w:tab w:val="left" w:pos="360"/>
        </w:tabs>
        <w:spacing w:after="60"/>
        <w:ind w:left="360" w:hanging="360"/>
        <w:jc w:val="both"/>
      </w:pPr>
      <w:r>
        <w:rPr>
          <w:rFonts w:ascii="Calibri" w:cs="Calibri" w:eastAsia="Calibri" w:hAnsi="Calibri"/>
          <w:b/>
          <w:bCs/>
          <w:color w:val="1A9E9E"/>
          <w:sz w:val="20"/>
          <w:szCs w:val="20"/>
        </w:rPr>
        <w:t xml:space="preserve">•	</w:t>
      </w:r>
      <w:r>
        <w:rPr>
          <w:rFonts w:ascii="Calibri" w:cs="Calibri" w:eastAsia="Calibri" w:hAnsi="Calibri"/>
          <w:sz w:val="20"/>
          <w:szCs w:val="20"/>
        </w:rPr>
        <w:t xml:space="preserve">Sélecteur de société en haut de l'écran : EGUITRA GROUP SARLU, puis MB AxisPro Consulting. Deux comptabilités séparées : plans de comptes, journaux, numérotations.</w:t>
      </w:r>
    </w:p>
    <w:p>
      <w:pPr>
        <w:tabs>
          <w:tab w:val="left" w:pos="360"/>
        </w:tabs>
        <w:spacing w:after="60"/>
        <w:ind w:left="360" w:hanging="360"/>
        <w:jc w:val="both"/>
      </w:pPr>
      <w:r>
        <w:rPr>
          <w:rFonts w:ascii="Calibri" w:cs="Calibri" w:eastAsia="Calibri" w:hAnsi="Calibri"/>
          <w:b/>
          <w:bCs/>
          <w:color w:val="1A9E9E"/>
          <w:sz w:val="20"/>
          <w:szCs w:val="20"/>
        </w:rPr>
        <w:t xml:space="preserve">•	</w:t>
      </w:r>
      <w:r>
        <w:rPr>
          <w:rFonts w:ascii="Calibri" w:cs="Calibri" w:eastAsia="Calibri" w:hAnsi="Calibri"/>
          <w:sz w:val="20"/>
          <w:szCs w:val="20"/>
        </w:rPr>
        <w:t xml:space="preserve">Sur le tableau de bord, « Groupe consolidé » réunit les deux pour la direction.</w:t>
      </w:r>
    </w:p>
    <w:p>
      <w:pPr>
        <w:keepNext/>
        <w:spacing w:after="100" w:before="200"/>
      </w:pPr>
      <w:r>
        <w:rPr>
          <w:rFonts w:ascii="Calibri" w:cs="Calibri" w:eastAsia="Calibri" w:hAnsi="Calibri"/>
          <w:b/>
          <w:bCs/>
          <w:color w:val="1A9E9E"/>
          <w:sz w:val="22"/>
          <w:szCs w:val="22"/>
        </w:rPr>
        <w:t xml:space="preserve">4. Tableau de bord du dirigeant (5 min)</w:t>
      </w:r>
    </w:p>
    <w:p>
      <w:pPr>
        <w:tabs>
          <w:tab w:val="left" w:pos="360"/>
        </w:tabs>
        <w:spacing w:after="60"/>
        <w:ind w:left="360" w:hanging="360"/>
        <w:jc w:val="both"/>
      </w:pPr>
      <w:r>
        <w:rPr>
          <w:rFonts w:ascii="Calibri" w:cs="Calibri" w:eastAsia="Calibri" w:hAnsi="Calibri"/>
          <w:b/>
          <w:bCs/>
          <w:color w:val="1A9E9E"/>
          <w:sz w:val="20"/>
          <w:szCs w:val="20"/>
        </w:rPr>
        <w:t xml:space="preserve">•	</w:t>
      </w:r>
      <w:r>
        <w:rPr>
          <w:rFonts w:ascii="Calibri" w:cs="Calibri" w:eastAsia="Calibri" w:hAnsi="Calibri"/>
          <w:sz w:val="20"/>
          <w:szCs w:val="20"/>
        </w:rPr>
        <w:t xml:space="preserve">Chiffre d'affaires, résultat, trésorerie par compte, créances et leur ancienneté.</w:t>
      </w:r>
    </w:p>
    <w:p>
      <w:pPr>
        <w:tabs>
          <w:tab w:val="left" w:pos="360"/>
        </w:tabs>
        <w:spacing w:after="60"/>
        <w:ind w:left="360" w:hanging="360"/>
        <w:jc w:val="both"/>
      </w:pPr>
      <w:r>
        <w:rPr>
          <w:rFonts w:ascii="Calibri" w:cs="Calibri" w:eastAsia="Calibri" w:hAnsi="Calibri"/>
          <w:b/>
          <w:bCs/>
          <w:color w:val="1A9E9E"/>
          <w:sz w:val="20"/>
          <w:szCs w:val="20"/>
        </w:rPr>
        <w:t xml:space="preserve">•	</w:t>
      </w:r>
      <w:r>
        <w:rPr>
          <w:rFonts w:ascii="Calibri" w:cs="Calibri" w:eastAsia="Calibri" w:hAnsi="Calibri"/>
          <w:sz w:val="20"/>
          <w:szCs w:val="20"/>
        </w:rPr>
        <w:t xml:space="preserve">Alertes : la route Conakry - Labé passe sous le seuil de marge de 15 %.</w:t>
      </w:r>
    </w:p>
    <w:p>
      <w:pPr>
        <w:tabs>
          <w:tab w:val="left" w:pos="360"/>
        </w:tabs>
        <w:spacing w:after="60"/>
        <w:ind w:left="360" w:hanging="360"/>
        <w:jc w:val="both"/>
      </w:pPr>
      <w:r>
        <w:rPr>
          <w:rFonts w:ascii="Calibri" w:cs="Calibri" w:eastAsia="Calibri" w:hAnsi="Calibri"/>
          <w:b/>
          <w:bCs/>
          <w:color w:val="1A9E9E"/>
          <w:sz w:val="20"/>
          <w:szCs w:val="20"/>
        </w:rPr>
        <w:t xml:space="preserve">•	</w:t>
      </w:r>
      <w:r>
        <w:rPr>
          <w:rFonts w:ascii="Calibri" w:cs="Calibri" w:eastAsia="Calibri" w:hAnsi="Calibri"/>
          <w:sz w:val="20"/>
          <w:szCs w:val="20"/>
        </w:rPr>
        <w:t xml:space="preserve">Rapport mensuel de gestion : la synthèse à remettre à la direction chaque mois.</w:t>
      </w:r>
    </w:p>
    <w:p>
      <w:pPr>
        <w:keepNext/>
        <w:spacing w:after="100" w:before="200"/>
      </w:pPr>
      <w:r>
        <w:rPr>
          <w:rFonts w:ascii="Calibri" w:cs="Calibri" w:eastAsia="Calibri" w:hAnsi="Calibri"/>
          <w:b/>
          <w:bCs/>
          <w:color w:val="1A9E9E"/>
          <w:sz w:val="22"/>
          <w:szCs w:val="22"/>
        </w:rPr>
        <w:t xml:space="preserve">5. Approbation en direct (5 min)</w:t>
      </w:r>
    </w:p>
    <w:p>
      <w:pPr>
        <w:tabs>
          <w:tab w:val="left" w:pos="360"/>
        </w:tabs>
        <w:spacing w:after="60"/>
        <w:ind w:left="360" w:hanging="360"/>
        <w:jc w:val="both"/>
      </w:pPr>
      <w:r>
        <w:rPr>
          <w:rFonts w:ascii="Calibri" w:cs="Calibri" w:eastAsia="Calibri" w:hAnsi="Calibri"/>
          <w:b/>
          <w:bCs/>
          <w:color w:val="1A9E9E"/>
          <w:sz w:val="20"/>
          <w:szCs w:val="20"/>
        </w:rPr>
        <w:t xml:space="preserve">•	</w:t>
      </w:r>
      <w:r>
        <w:rPr>
          <w:rFonts w:ascii="Calibri" w:cs="Calibri" w:eastAsia="Calibri" w:hAnsi="Calibri"/>
          <w:sz w:val="20"/>
          <w:szCs w:val="20"/>
        </w:rPr>
        <w:t xml:space="preserve">« À valider » : deux pièces d'achat saisies par le comptable. La première (17,7 M TTC) relève de la finance seule ; la seconde (85 M TTC) de la finance puis de la direction.</w:t>
      </w:r>
    </w:p>
    <w:p>
      <w:pPr>
        <w:tabs>
          <w:tab w:val="left" w:pos="360"/>
        </w:tabs>
        <w:spacing w:after="60"/>
        <w:ind w:left="360" w:hanging="360"/>
        <w:jc w:val="both"/>
      </w:pPr>
      <w:r>
        <w:rPr>
          <w:rFonts w:ascii="Calibri" w:cs="Calibri" w:eastAsia="Calibri" w:hAnsi="Calibri"/>
          <w:b/>
          <w:bCs/>
          <w:color w:val="1A9E9E"/>
          <w:sz w:val="20"/>
          <w:szCs w:val="20"/>
        </w:rPr>
        <w:t xml:space="preserve">•	</w:t>
      </w:r>
      <w:r>
        <w:rPr>
          <w:rFonts w:ascii="Calibri" w:cs="Calibri" w:eastAsia="Calibri" w:hAnsi="Calibri"/>
          <w:sz w:val="20"/>
          <w:szCs w:val="20"/>
        </w:rPr>
        <w:t xml:space="preserve">Approuver la première : elle est comptabilisée aussitôt. Ouvrir la seconde : deux niveaux.</w:t>
      </w:r>
    </w:p>
    <w:p>
      <w:pPr>
        <w:tabs>
          <w:tab w:val="left" w:pos="360"/>
        </w:tabs>
        <w:spacing w:after="60"/>
        <w:ind w:left="360" w:hanging="360"/>
        <w:jc w:val="both"/>
      </w:pPr>
      <w:r>
        <w:rPr>
          <w:rFonts w:ascii="Calibri" w:cs="Calibri" w:eastAsia="Calibri" w:hAnsi="Calibri"/>
          <w:b/>
          <w:bCs/>
          <w:color w:val="1A9E9E"/>
          <w:sz w:val="20"/>
          <w:szCs w:val="20"/>
        </w:rPr>
        <w:t xml:space="preserve">•	</w:t>
      </w:r>
      <w:r>
        <w:rPr>
          <w:rFonts w:ascii="Calibri" w:cs="Calibri" w:eastAsia="Calibri" w:hAnsi="Calibri"/>
          <w:sz w:val="20"/>
          <w:szCs w:val="20"/>
        </w:rPr>
        <w:t xml:space="preserve">Personne n'approuve sa propre pièce ; une pièce modifiée après accord repart au circuit.</w:t>
      </w:r>
    </w:p>
    <w:p>
      <w:pPr>
        <w:keepNext/>
        <w:spacing w:after="100" w:before="200"/>
      </w:pPr>
      <w:r>
        <w:rPr>
          <w:rFonts w:ascii="Calibri" w:cs="Calibri" w:eastAsia="Calibri" w:hAnsi="Calibri"/>
          <w:b/>
          <w:bCs/>
          <w:color w:val="1A9E9E"/>
          <w:sz w:val="22"/>
          <w:szCs w:val="22"/>
        </w:rPr>
        <w:t xml:space="preserve">6. Finance au quotidien (8 min)</w:t>
      </w:r>
    </w:p>
    <w:p>
      <w:pPr>
        <w:tabs>
          <w:tab w:val="left" w:pos="360"/>
        </w:tabs>
        <w:spacing w:after="60"/>
        <w:ind w:left="360" w:hanging="360"/>
        <w:jc w:val="both"/>
      </w:pPr>
      <w:r>
        <w:rPr>
          <w:rFonts w:ascii="Calibri" w:cs="Calibri" w:eastAsia="Calibri" w:hAnsi="Calibri"/>
          <w:b/>
          <w:bCs/>
          <w:color w:val="1A9E9E"/>
          <w:sz w:val="20"/>
          <w:szCs w:val="20"/>
        </w:rPr>
        <w:t xml:space="preserve">•	</w:t>
      </w:r>
      <w:r>
        <w:rPr>
          <w:rFonts w:ascii="Calibri" w:cs="Calibri" w:eastAsia="Calibri" w:hAnsi="Calibri"/>
          <w:sz w:val="20"/>
          <w:szCs w:val="20"/>
        </w:rPr>
        <w:t xml:space="preserve">Ventes : une facture et son PDF (identité de la société, NIF, RCCM au pied).</w:t>
      </w:r>
    </w:p>
    <w:p>
      <w:pPr>
        <w:tabs>
          <w:tab w:val="left" w:pos="360"/>
        </w:tabs>
        <w:spacing w:after="60"/>
        <w:ind w:left="360" w:hanging="360"/>
        <w:jc w:val="both"/>
      </w:pPr>
      <w:r>
        <w:rPr>
          <w:rFonts w:ascii="Calibri" w:cs="Calibri" w:eastAsia="Calibri" w:hAnsi="Calibri"/>
          <w:b/>
          <w:bCs/>
          <w:color w:val="1A9E9E"/>
          <w:sz w:val="20"/>
          <w:szCs w:val="20"/>
        </w:rPr>
        <w:t xml:space="preserve">•	</w:t>
      </w:r>
      <w:r>
        <w:rPr>
          <w:rFonts w:ascii="Calibri" w:cs="Calibri" w:eastAsia="Calibri" w:hAnsi="Calibri"/>
          <w:sz w:val="20"/>
          <w:szCs w:val="20"/>
        </w:rPr>
        <w:t xml:space="preserve">Trésorerie : position par compte, import d'un relevé, rapprochement assisté.</w:t>
      </w:r>
    </w:p>
    <w:p>
      <w:pPr>
        <w:tabs>
          <w:tab w:val="left" w:pos="360"/>
        </w:tabs>
        <w:spacing w:after="60"/>
        <w:ind w:left="360" w:hanging="360"/>
        <w:jc w:val="both"/>
      </w:pPr>
      <w:r>
        <w:rPr>
          <w:rFonts w:ascii="Calibri" w:cs="Calibri" w:eastAsia="Calibri" w:hAnsi="Calibri"/>
          <w:b/>
          <w:bCs/>
          <w:color w:val="1A9E9E"/>
          <w:sz w:val="20"/>
          <w:szCs w:val="20"/>
        </w:rPr>
        <w:t xml:space="preserve">•	</w:t>
      </w:r>
      <w:r>
        <w:rPr>
          <w:rFonts w:ascii="Calibri" w:cs="Calibri" w:eastAsia="Calibri" w:hAnsi="Calibri"/>
          <w:sz w:val="20"/>
          <w:szCs w:val="20"/>
        </w:rPr>
        <w:t xml:space="preserve">Relances clients : rappel, relance ferme, mise en demeure, jamais envoyée sans décision.</w:t>
      </w:r>
    </w:p>
    <w:p>
      <w:pPr>
        <w:tabs>
          <w:tab w:val="left" w:pos="360"/>
        </w:tabs>
        <w:spacing w:after="60"/>
        <w:ind w:left="360" w:hanging="360"/>
        <w:jc w:val="both"/>
      </w:pPr>
      <w:r>
        <w:rPr>
          <w:rFonts w:ascii="Calibri" w:cs="Calibri" w:eastAsia="Calibri" w:hAnsi="Calibri"/>
          <w:b/>
          <w:bCs/>
          <w:color w:val="1A9E9E"/>
          <w:sz w:val="20"/>
          <w:szCs w:val="20"/>
        </w:rPr>
        <w:t xml:space="preserve">•	</w:t>
      </w:r>
      <w:r>
        <w:rPr>
          <w:rFonts w:ascii="Calibri" w:cs="Calibri" w:eastAsia="Calibri" w:hAnsi="Calibri"/>
          <w:sz w:val="20"/>
          <w:szCs w:val="20"/>
        </w:rPr>
        <w:t xml:space="preserve">Immobilisations : deux biens amortis chaque mois sans intervention.</w:t>
      </w:r>
    </w:p>
    <w:p>
      <w:pPr>
        <w:tabs>
          <w:tab w:val="left" w:pos="360"/>
        </w:tabs>
        <w:spacing w:after="60"/>
        <w:ind w:left="360" w:hanging="360"/>
        <w:jc w:val="both"/>
      </w:pPr>
      <w:r>
        <w:rPr>
          <w:rFonts w:ascii="Calibri" w:cs="Calibri" w:eastAsia="Calibri" w:hAnsi="Calibri"/>
          <w:b/>
          <w:bCs/>
          <w:color w:val="1A9E9E"/>
          <w:sz w:val="20"/>
          <w:szCs w:val="20"/>
        </w:rPr>
        <w:t xml:space="preserve">•	</w:t>
      </w:r>
      <w:r>
        <w:rPr>
          <w:rFonts w:ascii="Calibri" w:cs="Calibri" w:eastAsia="Calibri" w:hAnsi="Calibri"/>
          <w:sz w:val="20"/>
          <w:szCs w:val="20"/>
        </w:rPr>
        <w:t xml:space="preserve">Dette et financement : emprunt d'un milliard, échéancier, échéances réglées.</w:t>
      </w:r>
    </w:p>
    <w:p>
      <w:pPr>
        <w:tabs>
          <w:tab w:val="left" w:pos="360"/>
        </w:tabs>
        <w:spacing w:after="60"/>
        <w:ind w:left="360" w:hanging="360"/>
        <w:jc w:val="both"/>
      </w:pPr>
      <w:r>
        <w:rPr>
          <w:rFonts w:ascii="Calibri" w:cs="Calibri" w:eastAsia="Calibri" w:hAnsi="Calibri"/>
          <w:b/>
          <w:bCs/>
          <w:color w:val="1A9E9E"/>
          <w:sz w:val="20"/>
          <w:szCs w:val="20"/>
        </w:rPr>
        <w:t xml:space="preserve">•	</w:t>
      </w:r>
      <w:r>
        <w:rPr>
          <w:rFonts w:ascii="Calibri" w:cs="Calibri" w:eastAsia="Calibri" w:hAnsi="Calibri"/>
          <w:sz w:val="20"/>
          <w:szCs w:val="20"/>
        </w:rPr>
        <w:t xml:space="preserve">Balance et états : bilan, compte de résultat et tableau des flux au format SYSCOHADA ; exports Excel. Fiscalité : TVA du mois, export pour l'auditeur.</w:t>
      </w:r>
    </w:p>
    <w:p>
      <w:pPr>
        <w:tabs>
          <w:tab w:val="left" w:pos="360"/>
        </w:tabs>
        <w:spacing w:after="60"/>
        <w:ind w:left="360" w:hanging="360"/>
        <w:jc w:val="both"/>
      </w:pPr>
      <w:r>
        <w:rPr>
          <w:rFonts w:ascii="Calibri" w:cs="Calibri" w:eastAsia="Calibri" w:hAnsi="Calibri"/>
          <w:b/>
          <w:bCs/>
          <w:color w:val="1A9E9E"/>
          <w:sz w:val="20"/>
          <w:szCs w:val="20"/>
        </w:rPr>
        <w:t xml:space="preserve">•	</w:t>
      </w:r>
      <w:r>
        <w:rPr>
          <w:rFonts w:ascii="Calibri" w:cs="Calibri" w:eastAsia="Calibri" w:hAnsi="Calibri"/>
          <w:sz w:val="20"/>
          <w:szCs w:val="20"/>
        </w:rPr>
        <w:t xml:space="preserve">Clôtures et contrôles : contrôles avant clôture, verrouillage et chaînage des écritures, contrôles d'intégrité (une écriture modifiée hors de la plateforme serait signalée).</w:t>
      </w:r>
    </w:p>
    <w:p>
      <w:pPr>
        <w:keepNext/>
        <w:spacing w:after="100" w:before="200"/>
      </w:pPr>
      <w:r>
        <w:rPr>
          <w:rFonts w:ascii="Calibri" w:cs="Calibri" w:eastAsia="Calibri" w:hAnsi="Calibri"/>
          <w:b/>
          <w:bCs/>
          <w:color w:val="1A9E9E"/>
          <w:sz w:val="22"/>
          <w:szCs w:val="22"/>
        </w:rPr>
        <w:t xml:space="preserve">7. Transport (6 min)</w:t>
      </w:r>
    </w:p>
    <w:p>
      <w:pPr>
        <w:tabs>
          <w:tab w:val="left" w:pos="360"/>
        </w:tabs>
        <w:spacing w:after="60"/>
        <w:ind w:left="360" w:hanging="360"/>
        <w:jc w:val="both"/>
      </w:pPr>
      <w:r>
        <w:rPr>
          <w:rFonts w:ascii="Calibri" w:cs="Calibri" w:eastAsia="Calibri" w:hAnsi="Calibri"/>
          <w:b/>
          <w:bCs/>
          <w:color w:val="1A9E9E"/>
          <w:sz w:val="20"/>
          <w:szCs w:val="20"/>
        </w:rPr>
        <w:t xml:space="preserve">•	</w:t>
      </w:r>
      <w:r>
        <w:rPr>
          <w:rFonts w:ascii="Calibri" w:cs="Calibri" w:eastAsia="Calibri" w:hAnsi="Calibri"/>
          <w:sz w:val="20"/>
          <w:szCs w:val="20"/>
        </w:rPr>
        <w:t xml:space="preserve">Rotations : 30 rotations sur quatre mois, validées au bureau, facturées par client.</w:t>
      </w:r>
    </w:p>
    <w:p>
      <w:pPr>
        <w:tabs>
          <w:tab w:val="left" w:pos="360"/>
        </w:tabs>
        <w:spacing w:after="60"/>
        <w:ind w:left="360" w:hanging="360"/>
        <w:jc w:val="both"/>
      </w:pPr>
      <w:r>
        <w:rPr>
          <w:rFonts w:ascii="Calibri" w:cs="Calibri" w:eastAsia="Calibri" w:hAnsi="Calibri"/>
          <w:b/>
          <w:bCs/>
          <w:color w:val="1A9E9E"/>
          <w:sz w:val="20"/>
          <w:szCs w:val="20"/>
        </w:rPr>
        <w:t xml:space="preserve">•	</w:t>
      </w:r>
      <w:r>
        <w:rPr>
          <w:rFonts w:ascii="Calibri" w:cs="Calibri" w:eastAsia="Calibri" w:hAnsi="Calibri"/>
          <w:sz w:val="20"/>
          <w:szCs w:val="20"/>
        </w:rPr>
        <w:t xml:space="preserve">Rentabilité par ensemble routier, par route et par mois ; la route Labé apparaît en alerte.</w:t>
      </w:r>
    </w:p>
    <w:p>
      <w:pPr>
        <w:tabs>
          <w:tab w:val="left" w:pos="360"/>
        </w:tabs>
        <w:spacing w:after="60"/>
        <w:ind w:left="360" w:hanging="360"/>
        <w:jc w:val="both"/>
      </w:pPr>
      <w:r>
        <w:rPr>
          <w:rFonts w:ascii="Calibri" w:cs="Calibri" w:eastAsia="Calibri" w:hAnsi="Calibri"/>
          <w:b/>
          <w:bCs/>
          <w:color w:val="1A9E9E"/>
          <w:sz w:val="20"/>
          <w:szCs w:val="20"/>
        </w:rPr>
        <w:t xml:space="preserve">•	</w:t>
      </w:r>
      <w:r>
        <w:rPr>
          <w:rFonts w:ascii="Calibri" w:cs="Calibri" w:eastAsia="Calibri" w:hAnsi="Calibri"/>
          <w:sz w:val="20"/>
          <w:szCs w:val="20"/>
        </w:rPr>
        <w:t xml:space="preserve">Écran du parc (Rotations, en mode téléphone) : saisir une rotation, couper le réseau (F12, onglet Réseau, « Hors connexion »), en saisir une autre, rétablir : elle part seule, sans doublon.</w:t>
      </w:r>
    </w:p>
    <w:p>
      <w:pPr>
        <w:keepNext/>
        <w:spacing w:after="100" w:before="200"/>
      </w:pPr>
      <w:r>
        <w:rPr>
          <w:rFonts w:ascii="Calibri" w:cs="Calibri" w:eastAsia="Calibri" w:hAnsi="Calibri"/>
          <w:b/>
          <w:bCs/>
          <w:color w:val="1A9E9E"/>
          <w:sz w:val="22"/>
          <w:szCs w:val="22"/>
        </w:rPr>
        <w:t xml:space="preserve">8. Chantiers et immobilier (4 min)</w:t>
      </w:r>
    </w:p>
    <w:p>
      <w:pPr>
        <w:tabs>
          <w:tab w:val="left" w:pos="360"/>
        </w:tabs>
        <w:spacing w:after="60"/>
        <w:ind w:left="360" w:hanging="360"/>
        <w:jc w:val="both"/>
      </w:pPr>
      <w:r>
        <w:rPr>
          <w:rFonts w:ascii="Calibri" w:cs="Calibri" w:eastAsia="Calibri" w:hAnsi="Calibri"/>
          <w:b/>
          <w:bCs/>
          <w:color w:val="1A9E9E"/>
          <w:sz w:val="20"/>
          <w:szCs w:val="20"/>
        </w:rPr>
        <w:t xml:space="preserve">•	</w:t>
      </w:r>
      <w:r>
        <w:rPr>
          <w:rFonts w:ascii="Calibri" w:cs="Calibri" w:eastAsia="Calibri" w:hAnsi="Calibri"/>
          <w:sz w:val="20"/>
          <w:szCs w:val="20"/>
        </w:rPr>
        <w:t xml:space="preserve">Chantier : situation d'avancement, retenue de garantie de 5 % suivie jusqu'à sa libération.</w:t>
      </w:r>
    </w:p>
    <w:p>
      <w:pPr>
        <w:tabs>
          <w:tab w:val="left" w:pos="360"/>
        </w:tabs>
        <w:spacing w:after="60"/>
        <w:ind w:left="360" w:hanging="360"/>
        <w:jc w:val="both"/>
      </w:pPr>
      <w:r>
        <w:rPr>
          <w:rFonts w:ascii="Calibri" w:cs="Calibri" w:eastAsia="Calibri" w:hAnsi="Calibri"/>
          <w:b/>
          <w:bCs/>
          <w:color w:val="1A9E9E"/>
          <w:sz w:val="20"/>
          <w:szCs w:val="20"/>
        </w:rPr>
        <w:t xml:space="preserve">•	</w:t>
      </w:r>
      <w:r>
        <w:rPr>
          <w:rFonts w:ascii="Calibri" w:cs="Calibri" w:eastAsia="Calibri" w:hAnsi="Calibri"/>
          <w:sz w:val="20"/>
          <w:szCs w:val="20"/>
        </w:rPr>
        <w:t xml:space="preserve">Immobilier : bail des bureaux de Kaloum, loyers émis et validés chaque nuit, quittance pour un loyer réglé, impayés, fin de bail.</w:t>
      </w:r>
    </w:p>
    <w:p>
      <w:pPr>
        <w:keepNext/>
        <w:spacing w:after="100" w:before="200"/>
      </w:pPr>
      <w:r>
        <w:rPr>
          <w:rFonts w:ascii="Calibri" w:cs="Calibri" w:eastAsia="Calibri" w:hAnsi="Calibri"/>
          <w:b/>
          <w:bCs/>
          <w:color w:val="1A9E9E"/>
          <w:sz w:val="22"/>
          <w:szCs w:val="22"/>
        </w:rPr>
        <w:t xml:space="preserve">9. AxisPro (6 min)</w:t>
      </w:r>
    </w:p>
    <w:p>
      <w:pPr>
        <w:tabs>
          <w:tab w:val="left" w:pos="360"/>
        </w:tabs>
        <w:spacing w:after="60"/>
        <w:ind w:left="360" w:hanging="360"/>
        <w:jc w:val="both"/>
      </w:pPr>
      <w:r>
        <w:rPr>
          <w:rFonts w:ascii="Calibri" w:cs="Calibri" w:eastAsia="Calibri" w:hAnsi="Calibri"/>
          <w:b/>
          <w:bCs/>
          <w:color w:val="1A9E9E"/>
          <w:sz w:val="20"/>
          <w:szCs w:val="20"/>
        </w:rPr>
        <w:t xml:space="preserve">•	</w:t>
      </w:r>
      <w:r>
        <w:rPr>
          <w:rFonts w:ascii="Calibri" w:cs="Calibri" w:eastAsia="Calibri" w:hAnsi="Calibri"/>
          <w:sz w:val="20"/>
          <w:szCs w:val="20"/>
        </w:rPr>
        <w:t xml:space="preserve">Passer sur MB AxisPro Consulting. Grille d'évaluation : grille de démonstration de 10 critères ; la grille officielle de 111 critères s'importera depuis le classeur du cabinet.</w:t>
      </w:r>
    </w:p>
    <w:p>
      <w:pPr>
        <w:tabs>
          <w:tab w:val="left" w:pos="360"/>
        </w:tabs>
        <w:spacing w:after="60"/>
        <w:ind w:left="360" w:hanging="360"/>
        <w:jc w:val="both"/>
      </w:pPr>
      <w:r>
        <w:rPr>
          <w:rFonts w:ascii="Calibri" w:cs="Calibri" w:eastAsia="Calibri" w:hAnsi="Calibri"/>
          <w:b/>
          <w:bCs/>
          <w:color w:val="1A9E9E"/>
          <w:sz w:val="20"/>
          <w:szCs w:val="20"/>
        </w:rPr>
        <w:t xml:space="preserve">•	</w:t>
      </w:r>
      <w:r>
        <w:rPr>
          <w:rFonts w:ascii="Calibri" w:cs="Calibri" w:eastAsia="Calibri" w:hAnsi="Calibri"/>
          <w:sz w:val="20"/>
          <w:szCs w:val="20"/>
        </w:rPr>
        <w:t xml:space="preserve">Dossier « Usine de briques compressées » : évaluation par étape, score, critères éliminatoires, pièces de la data room, comités verrouillés, rapport Excel, temps et honoraires.</w:t>
      </w:r>
    </w:p>
    <w:p>
      <w:pPr>
        <w:tabs>
          <w:tab w:val="left" w:pos="360"/>
        </w:tabs>
        <w:spacing w:after="60"/>
        <w:ind w:left="360" w:hanging="360"/>
        <w:jc w:val="both"/>
      </w:pPr>
      <w:r>
        <w:rPr>
          <w:rFonts w:ascii="Calibri" w:cs="Calibri" w:eastAsia="Calibri" w:hAnsi="Calibri"/>
          <w:b/>
          <w:bCs/>
          <w:color w:val="1A9E9E"/>
          <w:sz w:val="20"/>
          <w:szCs w:val="20"/>
        </w:rPr>
        <w:t xml:space="preserve">•	</w:t>
      </w:r>
      <w:r>
        <w:rPr>
          <w:rFonts w:ascii="Calibri" w:cs="Calibri" w:eastAsia="Calibri" w:hAnsi="Calibri"/>
          <w:sz w:val="20"/>
          <w:szCs w:val="20"/>
        </w:rPr>
        <w:t xml:space="preserve">Portail du porteur (fenêtre privée, si préparé) : ses pièces à déposer, ses échanges, sans jamais voir les notes internes du cabinet.</w:t>
      </w:r>
    </w:p>
    <w:p>
      <w:pPr>
        <w:keepNext/>
        <w:spacing w:after="100" w:before="200"/>
      </w:pPr>
      <w:r>
        <w:rPr>
          <w:rFonts w:ascii="Calibri" w:cs="Calibri" w:eastAsia="Calibri" w:hAnsi="Calibri"/>
          <w:b/>
          <w:bCs/>
          <w:color w:val="1A9E9E"/>
          <w:sz w:val="22"/>
          <w:szCs w:val="22"/>
        </w:rPr>
        <w:t xml:space="preserve">10. Administration et sûreté (3 min)</w:t>
      </w:r>
    </w:p>
    <w:p>
      <w:pPr>
        <w:tabs>
          <w:tab w:val="left" w:pos="360"/>
        </w:tabs>
        <w:spacing w:after="60"/>
        <w:ind w:left="360" w:hanging="360"/>
        <w:jc w:val="both"/>
      </w:pPr>
      <w:r>
        <w:rPr>
          <w:rFonts w:ascii="Calibri" w:cs="Calibri" w:eastAsia="Calibri" w:hAnsi="Calibri"/>
          <w:b/>
          <w:bCs/>
          <w:color w:val="1A9E9E"/>
          <w:sz w:val="20"/>
          <w:szCs w:val="20"/>
        </w:rPr>
        <w:t xml:space="preserve">•	</w:t>
      </w:r>
      <w:r>
        <w:rPr>
          <w:rFonts w:ascii="Calibri" w:cs="Calibri" w:eastAsia="Calibri" w:hAnsi="Calibri"/>
          <w:sz w:val="20"/>
          <w:szCs w:val="20"/>
        </w:rPr>
        <w:t xml:space="preserve">Utilisateurs, profils et sociétés de chaque compte ; identité des sociétés ; journal d'audit.</w:t>
      </w:r>
    </w:p>
    <w:p>
      <w:pPr>
        <w:tabs>
          <w:tab w:val="left" w:pos="360"/>
        </w:tabs>
        <w:spacing w:after="60"/>
        <w:ind w:left="360" w:hanging="360"/>
        <w:jc w:val="both"/>
      </w:pPr>
      <w:r>
        <w:rPr>
          <w:rFonts w:ascii="Calibri" w:cs="Calibri" w:eastAsia="Calibri" w:hAnsi="Calibri"/>
          <w:b/>
          <w:bCs/>
          <w:color w:val="1A9E9E"/>
          <w:sz w:val="20"/>
          <w:szCs w:val="20"/>
        </w:rPr>
        <w:t xml:space="preserve">•	</w:t>
      </w:r>
      <w:r>
        <w:rPr>
          <w:rFonts w:ascii="Calibri" w:cs="Calibri" w:eastAsia="Calibri" w:hAnsi="Calibri"/>
          <w:sz w:val="20"/>
          <w:szCs w:val="20"/>
        </w:rPr>
        <w:t xml:space="preserve">Sauvegarde continue (15 minutes de données au plus), test de restauration chaque mois, supervision toutes les 5 minutes.</w:t>
      </w:r>
    </w:p>
    <w:p>
      <w:pPr>
        <w:keepNext/>
        <w:spacing w:after="100" w:before="200"/>
      </w:pPr>
      <w:r>
        <w:rPr>
          <w:rFonts w:ascii="Calibri" w:cs="Calibri" w:eastAsia="Calibri" w:hAnsi="Calibri"/>
          <w:b/>
          <w:bCs/>
          <w:color w:val="1A9E9E"/>
          <w:sz w:val="22"/>
          <w:szCs w:val="22"/>
        </w:rPr>
        <w:t xml:space="preserve">11. Suite et décisions (5 min)</w:t>
      </w:r>
    </w:p>
    <w:p>
      <w:pPr>
        <w:tabs>
          <w:tab w:val="left" w:pos="360"/>
        </w:tabs>
        <w:spacing w:after="60"/>
        <w:ind w:left="360" w:hanging="360"/>
        <w:jc w:val="both"/>
      </w:pPr>
      <w:r>
        <w:rPr>
          <w:rFonts w:ascii="Calibri" w:cs="Calibri" w:eastAsia="Calibri" w:hAnsi="Calibri"/>
          <w:b/>
          <w:bCs/>
          <w:color w:val="1A9E9E"/>
          <w:sz w:val="20"/>
          <w:szCs w:val="20"/>
        </w:rPr>
        <w:t xml:space="preserve">•	</w:t>
      </w:r>
      <w:r>
        <w:rPr>
          <w:rFonts w:ascii="Calibri" w:cs="Calibri" w:eastAsia="Calibri" w:hAnsi="Calibri"/>
          <w:sz w:val="20"/>
          <w:szCs w:val="20"/>
        </w:rPr>
        <w:t xml:space="preserve">Identité NIMOVA : appliquée à tous les écrans avant la recette ; domaine nimovagroup.com à enregistrer au nom du client (nimova.com est déjà pris).</w:t>
      </w:r>
    </w:p>
    <w:p>
      <w:pPr>
        <w:tabs>
          <w:tab w:val="left" w:pos="360"/>
        </w:tabs>
        <w:spacing w:after="60"/>
        <w:ind w:left="360" w:hanging="360"/>
        <w:jc w:val="both"/>
      </w:pPr>
      <w:r>
        <w:rPr>
          <w:rFonts w:ascii="Calibri" w:cs="Calibri" w:eastAsia="Calibri" w:hAnsi="Calibri"/>
          <w:b/>
          <w:bCs/>
          <w:color w:val="1A9E9E"/>
          <w:sz w:val="20"/>
          <w:szCs w:val="20"/>
        </w:rPr>
        <w:t xml:space="preserve">•	</w:t>
      </w:r>
      <w:r>
        <w:rPr>
          <w:rFonts w:ascii="Calibri" w:cs="Calibri" w:eastAsia="Calibri" w:hAnsi="Calibri"/>
          <w:sz w:val="20"/>
          <w:szCs w:val="20"/>
        </w:rPr>
        <w:t xml:space="preserve">Reprise de l'exercice 2026 dès réception du classeur et des relevés bancaires ; grille AxisPro officielle ; liste des utilisateurs ; validation du plan de comptes par l'expert-comptable.</w:t>
      </w:r>
    </w:p>
    <w:p>
      <w:pPr>
        <w:tabs>
          <w:tab w:val="left" w:pos="360"/>
        </w:tabs>
        <w:spacing w:after="60"/>
        <w:ind w:left="360" w:hanging="360"/>
        <w:jc w:val="both"/>
      </w:pPr>
      <w:r>
        <w:rPr>
          <w:rFonts w:ascii="Calibri" w:cs="Calibri" w:eastAsia="Calibri" w:hAnsi="Calibri"/>
          <w:b/>
          <w:bCs/>
          <w:color w:val="1A9E9E"/>
          <w:sz w:val="20"/>
          <w:szCs w:val="20"/>
        </w:rPr>
        <w:t xml:space="preserve">•	</w:t>
      </w:r>
      <w:r>
        <w:rPr>
          <w:rFonts w:ascii="Calibri" w:cs="Calibri" w:eastAsia="Calibri" w:hAnsi="Calibri"/>
          <w:sz w:val="20"/>
          <w:szCs w:val="20"/>
        </w:rPr>
        <w:t xml:space="preserve">La note NIMOVA va au-delà du contrat (stocks et carburant, maintenance, ressources humaines, commandes et réceptions d'achat, devis) : à chiffrer séparément si le DG les veut.</w:t>
      </w:r>
    </w:p>
    <w:p>
      <w:pPr>
        <w:tabs>
          <w:tab w:val="left" w:pos="360"/>
        </w:tabs>
        <w:spacing w:after="60"/>
        <w:ind w:left="360" w:hanging="360"/>
        <w:jc w:val="both"/>
      </w:pPr>
      <w:r>
        <w:rPr>
          <w:rFonts w:ascii="Calibri" w:cs="Calibri" w:eastAsia="Calibri" w:hAnsi="Calibri"/>
          <w:b/>
          <w:bCs/>
          <w:color w:val="1A9E9E"/>
          <w:sz w:val="20"/>
          <w:szCs w:val="20"/>
        </w:rPr>
        <w:t xml:space="preserve">•	</w:t>
      </w:r>
      <w:r>
        <w:rPr>
          <w:rFonts w:ascii="Calibri" w:cs="Calibri" w:eastAsia="Calibri" w:hAnsi="Calibri"/>
          <w:sz w:val="20"/>
          <w:szCs w:val="20"/>
        </w:rPr>
        <w:t xml:space="preserve">Calendrier : recette avec les référents, formation par profil, bascule en production.</w:t>
      </w:r>
    </w:p>
    <w:p>
      <w:pPr>
        <w:keepNext/>
        <w:pBdr>
          <w:bottom w:val="single" w:color="1A9E9E" w:sz="6" w:space="2"/>
        </w:pBdr>
        <w:spacing w:after="100" w:before="280"/>
      </w:pPr>
      <w:r>
        <w:rPr>
          <w:rFonts w:ascii="Calibri" w:cs="Calibri" w:eastAsia="Calibri" w:hAnsi="Calibri"/>
          <w:b/>
          <w:bCs/>
          <w:color w:val="1C1E6B"/>
          <w:sz w:val="26"/>
          <w:szCs w:val="26"/>
        </w:rPr>
        <w:t xml:space="preserve">Si l'on vous demande</w:t>
      </w:r>
    </w:p>
    <w:p>
      <w:pPr>
        <w:tabs>
          <w:tab w:val="left" w:pos="360"/>
        </w:tabs>
        <w:spacing w:after="60"/>
        <w:ind w:left="360" w:hanging="360"/>
        <w:jc w:val="both"/>
      </w:pPr>
      <w:r>
        <w:rPr>
          <w:rFonts w:ascii="Calibri" w:cs="Calibri" w:eastAsia="Calibri" w:hAnsi="Calibri"/>
          <w:b/>
          <w:bCs/>
          <w:color w:val="1A9E9E"/>
          <w:sz w:val="20"/>
          <w:szCs w:val="20"/>
        </w:rPr>
        <w:t xml:space="preserve">•	</w:t>
      </w:r>
      <w:r>
        <w:rPr>
          <w:rFonts w:ascii="Calibri" w:cs="Calibri" w:eastAsia="Calibri" w:hAnsi="Calibri"/>
          <w:sz w:val="20"/>
          <w:szCs w:val="20"/>
        </w:rPr>
        <w:t xml:space="preserve">« C'est Odoo ? » Odoo est le moteur comptable, invisible. L'interface, les règles et les écrans sont faits pour vous.</w:t>
      </w:r>
    </w:p>
    <w:p>
      <w:pPr>
        <w:tabs>
          <w:tab w:val="left" w:pos="360"/>
        </w:tabs>
        <w:spacing w:after="60"/>
        <w:ind w:left="360" w:hanging="360"/>
        <w:jc w:val="both"/>
      </w:pPr>
      <w:r>
        <w:rPr>
          <w:rFonts w:ascii="Calibri" w:cs="Calibri" w:eastAsia="Calibri" w:hAnsi="Calibri"/>
          <w:b/>
          <w:bCs/>
          <w:color w:val="1A9E9E"/>
          <w:sz w:val="20"/>
          <w:szCs w:val="20"/>
        </w:rPr>
        <w:t xml:space="preserve">•	</w:t>
      </w:r>
      <w:r>
        <w:rPr>
          <w:rFonts w:ascii="Calibri" w:cs="Calibri" w:eastAsia="Calibri" w:hAnsi="Calibri"/>
          <w:sz w:val="20"/>
          <w:szCs w:val="20"/>
        </w:rPr>
        <w:t xml:space="preserve">« Et sans réseau au parc ? » Rotations fonctionne hors ligne et envoie tout au retour du réseau.</w:t>
      </w:r>
    </w:p>
    <w:p>
      <w:pPr>
        <w:tabs>
          <w:tab w:val="left" w:pos="360"/>
        </w:tabs>
        <w:spacing w:after="60"/>
        <w:ind w:left="360" w:hanging="360"/>
        <w:jc w:val="both"/>
      </w:pPr>
      <w:r>
        <w:rPr>
          <w:rFonts w:ascii="Calibri" w:cs="Calibri" w:eastAsia="Calibri" w:hAnsi="Calibri"/>
          <w:b/>
          <w:bCs/>
          <w:color w:val="1A9E9E"/>
          <w:sz w:val="20"/>
          <w:szCs w:val="20"/>
        </w:rPr>
        <w:t xml:space="preserve">•	</w:t>
      </w:r>
      <w:r>
        <w:rPr>
          <w:rFonts w:ascii="Calibri" w:cs="Calibri" w:eastAsia="Calibri" w:hAnsi="Calibri"/>
          <w:sz w:val="20"/>
          <w:szCs w:val="20"/>
        </w:rPr>
        <w:t xml:space="preserve">« Nos données sont-elles en sécurité ? » Double authentification pour tous, sauvegarde continue, copie hors site chiffrée dès que le stockage est fourni.</w:t>
      </w:r>
    </w:p>
    <w:p>
      <w:pPr>
        <w:tabs>
          <w:tab w:val="left" w:pos="360"/>
        </w:tabs>
        <w:spacing w:after="60"/>
        <w:ind w:left="360" w:hanging="360"/>
        <w:jc w:val="both"/>
      </w:pPr>
      <w:r>
        <w:rPr>
          <w:rFonts w:ascii="Calibri" w:cs="Calibri" w:eastAsia="Calibri" w:hAnsi="Calibri"/>
          <w:b/>
          <w:bCs/>
          <w:color w:val="1A9E9E"/>
          <w:sz w:val="20"/>
          <w:szCs w:val="20"/>
        </w:rPr>
        <w:t xml:space="preserve">•	</w:t>
      </w:r>
      <w:r>
        <w:rPr>
          <w:rFonts w:ascii="Calibri" w:cs="Calibri" w:eastAsia="Calibri" w:hAnsi="Calibri"/>
          <w:sz w:val="20"/>
          <w:szCs w:val="20"/>
        </w:rPr>
        <w:t xml:space="preserve">« Pourquoi pas encore NIMOVA à l'écran ? » L'identité est en cours d'application, tous écrans confondus, avant la recette.</w:t>
      </w:r>
    </w:p>
    <w:p>
      <w:pPr>
        <w:keepNext/>
        <w:pBdr>
          <w:bottom w:val="single" w:color="1A9E9E" w:sz="6" w:space="2"/>
        </w:pBdr>
        <w:spacing w:after="100" w:before="280"/>
      </w:pPr>
      <w:r>
        <w:rPr>
          <w:rFonts w:ascii="Calibri" w:cs="Calibri" w:eastAsia="Calibri" w:hAnsi="Calibri"/>
          <w:b/>
          <w:bCs/>
          <w:color w:val="1C1E6B"/>
          <w:sz w:val="26"/>
          <w:szCs w:val="26"/>
        </w:rPr>
        <w:t xml:space="preserve">À éviter pendant la démonstration</w:t>
      </w:r>
    </w:p>
    <w:p>
      <w:pPr>
        <w:tabs>
          <w:tab w:val="left" w:pos="360"/>
        </w:tabs>
        <w:spacing w:after="60"/>
        <w:ind w:left="360" w:hanging="360"/>
        <w:jc w:val="both"/>
      </w:pPr>
      <w:r>
        <w:rPr>
          <w:rFonts w:ascii="Calibri" w:cs="Calibri" w:eastAsia="Calibri" w:hAnsi="Calibri"/>
          <w:b/>
          <w:bCs/>
          <w:color w:val="1A9E9E"/>
          <w:sz w:val="20"/>
          <w:szCs w:val="20"/>
        </w:rPr>
        <w:t xml:space="preserve">•	</w:t>
      </w:r>
      <w:r>
        <w:rPr>
          <w:rFonts w:ascii="Calibri" w:cs="Calibri" w:eastAsia="Calibri" w:hAnsi="Calibri"/>
          <w:sz w:val="20"/>
          <w:szCs w:val="20"/>
        </w:rPr>
        <w:t xml:space="preserve">La production (vide) ; Safari ; « Clôturer le mois » ; toute suppression.</w:t>
      </w:r>
    </w:p>
    <w:p>
      <w:pPr>
        <w:tabs>
          <w:tab w:val="left" w:pos="360"/>
        </w:tabs>
        <w:spacing w:after="60"/>
        <w:ind w:left="360" w:hanging="360"/>
        <w:jc w:val="both"/>
      </w:pPr>
      <w:r>
        <w:rPr>
          <w:rFonts w:ascii="Calibri" w:cs="Calibri" w:eastAsia="Calibri" w:hAnsi="Calibri"/>
          <w:b/>
          <w:bCs/>
          <w:color w:val="1A9E9E"/>
          <w:sz w:val="20"/>
          <w:szCs w:val="20"/>
        </w:rPr>
        <w:t xml:space="preserve">•	</w:t>
      </w:r>
      <w:r>
        <w:rPr>
          <w:rFonts w:ascii="Calibri" w:cs="Calibri" w:eastAsia="Calibri" w:hAnsi="Calibri"/>
          <w:sz w:val="20"/>
          <w:szCs w:val="20"/>
        </w:rPr>
        <w:t xml:space="preserve">Promettre les modules hors contrat sans chiffrage.</w:t>
      </w:r>
    </w:p>
    <w:sectPr>
      <w:footerReference w:type="default" r:id="rId6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color w:val="777777"/>
        <w:sz w:val="16"/>
        <w:szCs w:val="16"/>
      </w:rPr>
      <w:t xml:space="preserve">E-VOLUTION XP · Plan de démonstration, 16 octobre 2026 · page </w:t>
    </w:r>
    <w:r>
      <w:rPr>
        <w:rFonts w:ascii="Calibri" w:cs="Calibri" w:eastAsia="Calibri" w:hAnsi="Calibri"/>
        <w:color w:val="777777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0"/>
        <w:szCs w:val="20"/>
      </w:rPr>
    </w:rPrDefault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footer" Target="footer1.xml"/><Relationship Id="rId7" Type="http://schemas.openxmlformats.org/officeDocument/2006/relationships/theme" Target="theme/theme1.xml"/><Relationship Id="rId8" Type="http://schemas.openxmlformats.org/officeDocument/2006/relationships/image" Target="media/4fbf04faf1ccdbaf9a1c8d13a881427d25b06747.png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Plan de démonstration de la plateforme</dc:title>
  <dc:creator>E-VOLUTION XP</dc:creator>
  <cp:lastModifiedBy>Un-named</cp:lastModifiedBy>
  <cp:revision>1</cp:revision>
  <dcterms:created xsi:type="dcterms:W3CDTF">2026-10-16T08:43:24.951Z</dcterms:created>
  <dcterms:modified xsi:type="dcterms:W3CDTF">2026-10-16T08:43:24.952Z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